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/>
          <w:iCs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16"/>
    <w:bookmarkStart w:id="1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7"/>
    <w:bookmarkStart w:id="1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8"/>
    <w:bookmarkStart w:id="1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9"/>
    <w:bookmarkStart w:id="2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0"/>
    <w:bookmarkStart w:id="2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1"/>
    <w:bookmarkStart w:id="2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2"/>
    <w:bookmarkStart w:id="2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3"/>
    <w:bookmarkStart w:id="2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4"/>
    <w:bookmarkStart w:id="25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 2025) (created course)</w:t>
      </w:r>
    </w:p>
    <w:p>
      <w:pPr>
        <w:pStyle w:val="Compact"/>
        <w:numPr>
          <w:ilvl w:val="0"/>
          <w:numId w:val="1001"/>
        </w:numPr>
      </w:pPr>
      <w:r>
        <w:t xml:space="preserve">THP 400 — Creative Performance Studies VII: The Frankenstein Project (F 2025) (created course, with Debashis Sinha)</w:t>
      </w:r>
    </w:p>
    <w:p>
      <w:pPr>
        <w:pStyle w:val="Compact"/>
        <w:numPr>
          <w:ilvl w:val="0"/>
          <w:numId w:val="1001"/>
        </w:numPr>
      </w:pPr>
      <w:r>
        <w:t xml:space="preserve">FCD 816 — Global Campus Studio (F 2025)</w:t>
      </w:r>
    </w:p>
    <w:p>
      <w:pPr>
        <w:pStyle w:val="Compact"/>
        <w:numPr>
          <w:ilvl w:val="0"/>
          <w:numId w:val="1001"/>
        </w:numPr>
      </w:pPr>
      <w:r>
        <w:t xml:space="preserve">FCD 230 — New York City Experience: Creative Enterprise (S 2025, S 2026) (created travel intensive; taught as overload)</w:t>
      </w:r>
    </w:p>
    <w:p>
      <w:pPr>
        <w:pStyle w:val="Compact"/>
        <w:numPr>
          <w:ilvl w:val="0"/>
          <w:numId w:val="1001"/>
        </w:numPr>
      </w:pPr>
      <w:r>
        <w:t xml:space="preserve">THP 403 — Travel Intensive to Oulu, Finland (F 2024)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(W 2017 – F 2022)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2017–20, F 2020, W 2022, W 2024)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THT 582 — Scenic Automation (F 2017)</w:t>
      </w:r>
    </w:p>
    <w:p>
      <w:pPr>
        <w:pStyle w:val="Compact"/>
        <w:numPr>
          <w:ilvl w:val="0"/>
          <w:numId w:val="1001"/>
        </w:numPr>
      </w:pPr>
      <w:r>
        <w:t xml:space="preserve">THP 500 — Conceiving the Production (F 2018)</w:t>
      </w:r>
    </w:p>
    <w:p>
      <w:pPr>
        <w:pStyle w:val="Compact"/>
        <w:numPr>
          <w:ilvl w:val="0"/>
          <w:numId w:val="1001"/>
        </w:numPr>
      </w:pPr>
      <w:r>
        <w:t xml:space="preserve">THF 501 — Research Methods (W 2018–19)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2021–24) (lighting section 2017; projection design section 2022–24)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p>
      <w:pPr>
        <w:pStyle w:val="Compact"/>
        <w:numPr>
          <w:ilvl w:val="0"/>
          <w:numId w:val="1001"/>
        </w:numPr>
      </w:pPr>
      <w:r>
        <w:t xml:space="preserve">CRI 815 — Creative Impact Supercourse I, Creative Industries (F 2018)</w:t>
      </w:r>
    </w:p>
    <w:bookmarkEnd w:id="25"/>
    <w:bookmarkStart w:id="2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6"/>
    <w:bookmarkStart w:id="2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End w:id="29"/>
    <w:bookmarkStart w:id="37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30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30"/>
    <w:bookmarkStart w:id="31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31"/>
    <w:bookmarkStart w:id="32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32"/>
    <w:bookmarkStart w:id="33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33"/>
    <w:bookmarkStart w:id="34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34"/>
    <w:bookmarkStart w:id="35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35"/>
    <w:bookmarkStart w:id="36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2026-08-19T18:22:26Z</dcterms:created>
  <dcterms:modified xsi:type="dcterms:W3CDTF">2026-08-19T18:22:26Z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