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ocgs-curriculum-vitae-michael-f-bergmann"/>
    <w:p>
      <w:pPr>
        <w:pStyle w:val="Heading1"/>
      </w:pPr>
      <w:r>
        <w:t xml:space="preserve">OCGS 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9" w:name="a-name"/>
    <w:p>
      <w:pPr>
        <w:pStyle w:val="Heading2"/>
      </w:pPr>
      <w:r>
        <w:t xml:space="preserve">a) Name</w:t>
      </w:r>
    </w:p>
    <w:p>
      <w:pPr>
        <w:pStyle w:val="FirstParagraph"/>
      </w:pPr>
      <w:r>
        <w:t xml:space="preserve">Bergmann, Michael F. — Associate Professor, Performance, The Creative School, Toronto Metropolitan University</w:t>
      </w:r>
    </w:p>
    <w:bookmarkEnd w:id="9"/>
    <w:bookmarkStart w:id="10" w:name="b-degrees"/>
    <w:p>
      <w:pPr>
        <w:pStyle w:val="Heading2"/>
      </w:pPr>
      <w:r>
        <w:t xml:space="preserve">b) Degrees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10"/>
    <w:bookmarkStart w:id="11" w:name="c-employment-history"/>
    <w:p>
      <w:pPr>
        <w:pStyle w:val="Heading2"/>
      </w:pPr>
      <w:r>
        <w:t xml:space="preserve">c) Employment History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11"/>
    <w:bookmarkStart w:id="12" w:name="d-honours"/>
    <w:p>
      <w:pPr>
        <w:pStyle w:val="Heading2"/>
      </w:pPr>
      <w:r>
        <w:t xml:space="preserve">d) Honours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12"/>
    <w:bookmarkStart w:id="13" w:name="X44f417340f2cdecd9e1adfb3726b49eb7f563d9"/>
    <w:p>
      <w:pPr>
        <w:pStyle w:val="Heading2"/>
      </w:pPr>
      <w:r>
        <w:t xml:space="preserve">e) Scholarly and Professional Academic Activities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13"/>
    <w:bookmarkStart w:id="14" w:name="f-graduate-supervisions"/>
    <w:p>
      <w:pPr>
        <w:pStyle w:val="Heading2"/>
      </w:pPr>
      <w:r>
        <w:t xml:space="preserve">f) Graduate Supervisions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“Bridging Chasms: An Interactive Projection Mapping Installation for Cross-Cultural Exchange of Information.”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“AR-based Theatrical Design Pre-Visualization using Unreal.”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“Casting and Technology: Revamping the Audition Process.”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“Collider: Using Virtual Reality for Immersive Theatre and the Performing Arts.”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“Happiness In Your Hand: The power of compact Bright Light Therapy.”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“The Scoop: How to Protect Your Digital Privacy in the Age of Surveillance Capitalism.”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“Live Video in Theatrical Productions.”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“Extending the human umwelt: Reframing our understanding of an environment via mixed reality and digital soundscapes/visualizations.”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“The A.I. Storyteller: Perpetuating Orality Using Developments in Machine Learning.”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14"/>
    <w:bookmarkStart w:id="15" w:name="g-graduate-courses"/>
    <w:p>
      <w:pPr>
        <w:pStyle w:val="Heading2"/>
      </w:pPr>
      <w:r>
        <w:t xml:space="preserve">g) Graduate Courses</w:t>
      </w:r>
    </w:p>
    <w:p>
      <w:pPr>
        <w:pStyle w:val="FirstParagraph"/>
      </w:pPr>
      <w:r>
        <w:t xml:space="preserve">None — the School of Performance offers no graduate program; graduate work is supervised through the Master of Digital Media program (see f).</w:t>
      </w:r>
    </w:p>
    <w:bookmarkEnd w:id="15"/>
    <w:bookmarkStart w:id="18" w:name="h-research-funding"/>
    <w:p>
      <w:pPr>
        <w:pStyle w:val="Heading2"/>
      </w:pPr>
      <w:r>
        <w:t xml:space="preserve">h) Research Funding</w:t>
      </w:r>
    </w:p>
    <w:bookmarkStart w:id="16" w:name="external-research-funding"/>
    <w:p>
      <w:pPr>
        <w:pStyle w:val="Heading3"/>
      </w:pPr>
      <w:r>
        <w:t xml:space="preserve">1. External Research Funding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European Union / OAMK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Partnership Engage Grant, COVID-19 Special Initiative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$24,620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Cintia Cristiá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Yale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$40,000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Fellowship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16"/>
    <w:bookmarkStart w:id="17" w:name="internal-research-funding"/>
    <w:p>
      <w:pPr>
        <w:pStyle w:val="Heading3"/>
      </w:pPr>
      <w:r>
        <w:t xml:space="preserve">2. Internal Research Funding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Study RA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of Live Entertainment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Co-I with Jonathon Anderson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$9,888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Pavlo Bosyy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17"/>
    <w:bookmarkEnd w:id="18"/>
    <w:bookmarkStart w:id="20" w:name="i-publications"/>
    <w:p>
      <w:pPr>
        <w:pStyle w:val="Heading2"/>
      </w:pPr>
      <w:r>
        <w:t xml:space="preserve">i) Publications</w:t>
      </w:r>
    </w:p>
    <w:bookmarkStart w:id="19" w:name="life-time-summary"/>
    <w:p>
      <w:pPr>
        <w:pStyle w:val="Heading3"/>
      </w:pPr>
      <w:r>
        <w:t xml:space="preserve">Life-time summary</w:t>
      </w:r>
    </w:p>
    <w:p>
      <w:pPr>
        <w:pStyle w:val="Compact"/>
        <w:numPr>
          <w:ilvl w:val="0"/>
          <w:numId w:val="1001"/>
        </w:numPr>
      </w:pPr>
      <w:r>
        <w:t xml:space="preserve">Books authored: 0</w:t>
      </w:r>
    </w:p>
    <w:p>
      <w:pPr>
        <w:pStyle w:val="Compact"/>
        <w:numPr>
          <w:ilvl w:val="0"/>
          <w:numId w:val="1001"/>
        </w:numPr>
      </w:pPr>
      <w:r>
        <w:t xml:space="preserve">Books edited: 0</w:t>
      </w:r>
    </w:p>
    <w:p>
      <w:pPr>
        <w:pStyle w:val="Compact"/>
        <w:numPr>
          <w:ilvl w:val="0"/>
          <w:numId w:val="1001"/>
        </w:numPr>
      </w:pPr>
      <w:r>
        <w:t xml:space="preserve">Chapters in books: 0</w:t>
      </w:r>
    </w:p>
    <w:p>
      <w:pPr>
        <w:pStyle w:val="Compact"/>
        <w:numPr>
          <w:ilvl w:val="0"/>
          <w:numId w:val="1001"/>
        </w:numPr>
      </w:pPr>
      <w:r>
        <w:t xml:space="preserve">Papers in refereed journals: 0</w:t>
      </w:r>
    </w:p>
    <w:p>
      <w:pPr>
        <w:pStyle w:val="Compact"/>
        <w:numPr>
          <w:ilvl w:val="0"/>
          <w:numId w:val="1001"/>
        </w:numPr>
      </w:pPr>
      <w:r>
        <w:t xml:space="preserve">Papers in refereed conference proceedings: 1</w:t>
      </w:r>
    </w:p>
    <w:p>
      <w:pPr>
        <w:pStyle w:val="Compact"/>
        <w:numPr>
          <w:ilvl w:val="0"/>
          <w:numId w:val="1001"/>
        </w:numPr>
      </w:pPr>
      <w:r>
        <w:t xml:space="preserve">Major invited contributions and/or technical reports: 0</w:t>
      </w:r>
    </w:p>
    <w:p>
      <w:pPr>
        <w:pStyle w:val="Compact"/>
        <w:numPr>
          <w:ilvl w:val="0"/>
          <w:numId w:val="1001"/>
        </w:numPr>
      </w:pPr>
      <w:r>
        <w:t xml:space="preserve">Abstracts and/or papers read: 21</w:t>
      </w:r>
    </w:p>
    <w:p>
      <w:pPr>
        <w:pStyle w:val="Compact"/>
        <w:numPr>
          <w:ilvl w:val="0"/>
          <w:numId w:val="1001"/>
        </w:numPr>
      </w:pPr>
      <w:r>
        <w:t xml:space="preserve">Other (data sets, magazine and literary publications): 3</w:t>
      </w:r>
    </w:p>
    <w:bookmarkEnd w:id="19"/>
    <w:bookmarkEnd w:id="20"/>
    <w:bookmarkStart w:id="21" w:name="X51288f3bb7e263bdb7b629f429ac60b2902e3cc"/>
    <w:p>
      <w:pPr>
        <w:pStyle w:val="Heading2"/>
      </w:pPr>
      <w:r>
        <w:t xml:space="preserve">Papers in refereed conference proceedings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“Augmented Symphony: An augmented reality application for immersive music listening.”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</w:tbl>
    <w:bookmarkEnd w:id="21"/>
    <w:bookmarkStart w:id="22" w:name="abstracts-andor-papers-read"/>
    <w:p>
      <w:pPr>
        <w:pStyle w:val="Heading2"/>
      </w:pPr>
      <w:r>
        <w:t xml:space="preserve">Abstracts and/or papers read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“Hallucinating Children: Improvisation After the Algorithmic Shipwreck.”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“Beyond Tools: Reimaging Technology as Co-Participants in Performance Design.”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“Robotics, AI, and the Future of Theatre.”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“Almost Alchemy.”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“Envisioning theatre with non-human collaborators: A Paramanifesto.”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“AI Sentience.”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“Augmented Symphony: An augmented reality application for immersive music listening.”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“Stepping Back In: Taking the best of virtual delivery to a new in-person experience.”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“Student-driven curriculum development for creative practice.”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“Cultivating Empathy through Robotic Performance.”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“Unapologetically learning together: Adapting Production and Design curriculum to a virtual stage.”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“Pandemic Performance: Adapting Production and Design curriculum to a virtual stage.”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“l’automate: Robotic Controlled Apparatuses for Circus Performance.”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“Human-robot Interactions in Dance.”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“Putting Up the Show: The very large group project.”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“Theatre in TheatAR: Explorations of augmented reality in theatrical performance.”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“TheatAR: A previsualization system for theatrical design.”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“The Creative Laboratory Project.”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“Technology as a tool: Creating a mindset of embracing technology within a theatrical framework.”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“Shadow-selves: Projection as a medium of exploring reflections of self in Belinda McGuire’s Slaughterhouse/Requiem.”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“Projecting on film: the surreal effect of rear projected backgrounds in the film Nuptials.”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2"/>
    <w:bookmarkStart w:id="23" w:name="Xc2ca1e6a0f342647e0e39e98012af3c434b9bfb"/>
    <w:p>
      <w:pPr>
        <w:pStyle w:val="Heading2"/>
      </w:pPr>
      <w:r>
        <w:t xml:space="preserve">Other (data sets, magazine and literary publications)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“Uncanny Text.”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“Performance Art: New Magic.”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3"/>
    <w:bookmarkStart w:id="24" w:name="Xe4e459f6e3716858bf0f8156e23d7f22a59a5ec"/>
    <w:p>
      <w:pPr>
        <w:pStyle w:val="Heading2"/>
      </w:pPr>
      <w:r>
        <w:t xml:space="preserve">Submitted and in-press (listed separately per OCGS instructions)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“Cultivating Empathy through Robotic Performance.”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“Improvising with Commercial AI: Questions of Care and Ethics.”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4"/>
    <w:bookmarkStart w:id="25" w:name="creative-and-professional-work"/>
    <w:p>
      <w:pPr>
        <w:pStyle w:val="Heading2"/>
      </w:pPr>
      <w:r>
        <w:t xml:space="preserve">Creative and Professional Work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“Before I Was This.”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“To my creators…”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“To my creators…”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“rocketmanperson.”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“Who’s There?”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“The Uncanny Robots Project: Phase 1.”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2026-08-19T18:22:22Z</dcterms:created>
  <dcterms:modified xsi:type="dcterms:W3CDTF">2026-08-19T18:22:22Z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