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2020-07-21. * = resulted from previous SSHRC support. Generated 2026-07-21; prose sections (significance, training narrative, relevant experience) live in prose/sshrc-prose.md and are appended below.</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p>
      <w:pPr>
        <w:numPr>
          <w:ilvl w:val="0"/>
          <w:numId w:val="1001"/>
        </w:numPr>
        <w:pStyle w:val="Compact"/>
      </w:pPr>
      <w:r>
        <w:t xml:space="preserve">*</w:t>
      </w:r>
      <w:r>
        <w:t xml:space="preserve"> </w:t>
      </w:r>
      <w:r>
        <w:rPr>
          <w:bCs/>
          <w:b/>
        </w:rPr>
        <w:t xml:space="preserve">2022-07</w:t>
      </w:r>
      <w:r>
        <w:t xml:space="preserve"> </w:t>
      </w:r>
      <w:r>
        <w:t xml:space="preserve">— Bouchard, D., Cristiá, C., Bergmann, M., and Robert, D.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DOI: 10.14236/ewic/EVA2022.39.</w:t>
      </w:r>
    </w:p>
    <w:bookmarkEnd w:id="21"/>
    <w:bookmarkStart w:id="22" w:name="other-refereed-contributions"/>
    <w:p>
      <w:pPr>
        <w:pStyle w:val="Heading2"/>
      </w:pPr>
      <w:r>
        <w:t xml:space="preserve">Other refereed contributions</w:t>
      </w:r>
    </w:p>
    <w:p>
      <w:pPr>
        <w:numPr>
          <w:ilvl w:val="0"/>
          <w:numId w:val="1002"/>
        </w:numPr>
        <w:pStyle w:val="Compact"/>
      </w:pPr>
      <w:r>
        <w:rPr>
          <w:bCs/>
          <w:b/>
        </w:rPr>
        <w:t xml:space="preserve">2025-09</w:t>
      </w:r>
      <w:r>
        <w:t xml:space="preserve"> </w:t>
      </w:r>
      <w:r>
        <w:t xml:space="preserve">— 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p>
      <w:pPr>
        <w:numPr>
          <w:ilvl w:val="0"/>
          <w:numId w:val="1002"/>
        </w:numPr>
        <w:pStyle w:val="Compact"/>
      </w:pPr>
      <w:r>
        <w:rPr>
          <w:bCs/>
          <w:b/>
        </w:rPr>
        <w:t xml:space="preserve">2024-10</w:t>
      </w:r>
      <w:r>
        <w:t xml:space="preserve"> </w:t>
      </w:r>
      <w:r>
        <w:t xml:space="preserve">— 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p>
      <w:pPr>
        <w:numPr>
          <w:ilvl w:val="0"/>
          <w:numId w:val="1002"/>
        </w:numPr>
        <w:pStyle w:val="Compact"/>
      </w:pPr>
      <w:r>
        <w:rPr>
          <w:bCs/>
          <w:b/>
        </w:rPr>
        <w:t xml:space="preserve">2024-03</w:t>
      </w:r>
      <w:r>
        <w:t xml:space="preserve"> </w:t>
      </w:r>
      <w:r>
        <w:t xml:space="preserve">— 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p>
      <w:pPr>
        <w:numPr>
          <w:ilvl w:val="0"/>
          <w:numId w:val="1002"/>
        </w:numPr>
        <w:pStyle w:val="Compact"/>
      </w:pPr>
      <w:r>
        <w:rPr>
          <w:bCs/>
          <w:b/>
        </w:rPr>
        <w:t xml:space="preserve">2023-06</w:t>
      </w:r>
      <w:r>
        <w:t xml:space="preserve"> </w:t>
      </w:r>
      <w:r>
        <w:t xml:space="preserve">— 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p>
      <w:pPr>
        <w:numPr>
          <w:ilvl w:val="0"/>
          <w:numId w:val="1002"/>
        </w:numPr>
        <w:pStyle w:val="Compact"/>
      </w:pPr>
      <w:r>
        <w:rPr>
          <w:bCs/>
          <w:b/>
        </w:rPr>
        <w:t xml:space="preserve">2023-06</w:t>
      </w:r>
      <w:r>
        <w:t xml:space="preserve"> </w:t>
      </w:r>
      <w:r>
        <w:t xml:space="preserve">— 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p>
      <w:pPr>
        <w:numPr>
          <w:ilvl w:val="0"/>
          <w:numId w:val="1002"/>
        </w:numPr>
        <w:pStyle w:val="Compact"/>
      </w:pPr>
      <w:r>
        <w:rPr>
          <w:bCs/>
          <w:b/>
        </w:rPr>
        <w:t xml:space="preserve">2022-05</w:t>
      </w:r>
      <w:r>
        <w:t xml:space="preserve"> </w:t>
      </w:r>
      <w:r>
        <w:t xml:space="preserve">— 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p>
      <w:pPr>
        <w:numPr>
          <w:ilvl w:val="0"/>
          <w:numId w:val="1002"/>
        </w:numPr>
        <w:pStyle w:val="Compact"/>
      </w:pPr>
      <w:r>
        <w:rPr>
          <w:bCs/>
          <w:b/>
        </w:rPr>
        <w:t xml:space="preserve">2022-05</w:t>
      </w:r>
      <w:r>
        <w:t xml:space="preserve"> </w:t>
      </w:r>
      <w:r>
        <w:t xml:space="preserve">— 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p>
      <w:pPr>
        <w:numPr>
          <w:ilvl w:val="0"/>
          <w:numId w:val="1002"/>
        </w:numPr>
        <w:pStyle w:val="Compact"/>
      </w:pPr>
      <w:r>
        <w:rPr>
          <w:bCs/>
          <w:b/>
        </w:rPr>
        <w:t xml:space="preserve">2021-10</w:t>
      </w:r>
      <w:r>
        <w:t xml:space="preserve"> </w:t>
      </w:r>
      <w:r>
        <w:t xml:space="preserve">— 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p>
      <w:pPr>
        <w:numPr>
          <w:ilvl w:val="0"/>
          <w:numId w:val="1002"/>
        </w:numPr>
        <w:pStyle w:val="Compact"/>
      </w:pPr>
      <w:r>
        <w:rPr>
          <w:bCs/>
          <w:b/>
        </w:rPr>
        <w:t xml:space="preserve">2021-06</w:t>
      </w:r>
      <w:r>
        <w:t xml:space="preserve"> </w:t>
      </w:r>
      <w:r>
        <w:t xml:space="preserve">— 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p>
      <w:pPr>
        <w:numPr>
          <w:ilvl w:val="0"/>
          <w:numId w:val="1002"/>
        </w:numPr>
        <w:pStyle w:val="Compact"/>
      </w:pPr>
      <w:r>
        <w:rPr>
          <w:bCs/>
          <w:b/>
        </w:rPr>
        <w:t xml:space="preserve">2021-05</w:t>
      </w:r>
      <w:r>
        <w:t xml:space="preserve"> </w:t>
      </w:r>
      <w:r>
        <w:t xml:space="preserve">— 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p>
      <w:pPr>
        <w:numPr>
          <w:ilvl w:val="0"/>
          <w:numId w:val="1002"/>
        </w:numPr>
        <w:pStyle w:val="Compact"/>
      </w:pPr>
      <w:r>
        <w:rPr>
          <w:bCs/>
          <w:b/>
        </w:rPr>
        <w:t xml:space="preserve">2024-01</w:t>
      </w:r>
      <w:r>
        <w:t xml:space="preserve"> </w:t>
      </w:r>
      <w:r>
        <w:t xml:space="preserve">— 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p>
      <w:pPr>
        <w:numPr>
          <w:ilvl w:val="0"/>
          <w:numId w:val="1002"/>
        </w:numPr>
        <w:pStyle w:val="Compact"/>
      </w:pPr>
      <w:r>
        <w:rPr>
          <w:bCs/>
          <w:b/>
        </w:rPr>
        <w:t xml:space="preserve">2020-11</w:t>
      </w:r>
      <w:r>
        <w:t xml:space="preserve"> </w:t>
      </w:r>
      <w:r>
        <w:t xml:space="preserve">— 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bookmarkEnd w:id="22"/>
    <w:bookmarkStart w:id="23" w:name="non-refereed-contributions"/>
    <w:p>
      <w:pPr>
        <w:pStyle w:val="Heading2"/>
      </w:pPr>
      <w:r>
        <w:t xml:space="preserve">Non-refereed contributions</w:t>
      </w:r>
    </w:p>
    <w:p>
      <w:pPr>
        <w:numPr>
          <w:ilvl w:val="0"/>
          <w:numId w:val="1003"/>
        </w:numPr>
        <w:pStyle w:val="Compact"/>
      </w:pPr>
      <w:r>
        <w:t xml:space="preserve">*</w:t>
      </w:r>
      <w:r>
        <w:t xml:space="preserve"> </w:t>
      </w:r>
      <w:r>
        <w:rPr>
          <w:bCs/>
          <w:b/>
        </w:rPr>
        <w:t xml:space="preserve">2022-05</w:t>
      </w:r>
      <w:r>
        <w:t xml:space="preserve"> </w:t>
      </w:r>
      <w:r>
        <w:t xml:space="preserve">— Cristiá, C., Bouchard, D., Bergmann, M., et al. (2022). Orchestra Remote Delivery during COVID-19 Database. Open data set, Open Science Framework, May 5, 2022. DOI: 10.17605/OSF.IO/WCDU2.</w:t>
      </w:r>
    </w:p>
    <w:p>
      <w:pPr>
        <w:numPr>
          <w:ilvl w:val="0"/>
          <w:numId w:val="1003"/>
        </w:numPr>
        <w:pStyle w:val="Compact"/>
      </w:pPr>
      <w:r>
        <w:rPr>
          <w:bCs/>
          <w:b/>
        </w:rPr>
        <w:t xml:space="preserve">2021</w:t>
      </w:r>
      <w:r>
        <w:t xml:space="preserve"> </w:t>
      </w:r>
      <w:r>
        <w:t xml:space="preserve">— 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p>
      <w:pPr>
        <w:numPr>
          <w:ilvl w:val="0"/>
          <w:numId w:val="1003"/>
        </w:numPr>
        <w:pStyle w:val="Compact"/>
      </w:pPr>
      <w:r>
        <w:rPr>
          <w:bCs/>
          <w:b/>
        </w:rPr>
        <w:t xml:space="preserve">2025-02</w:t>
      </w:r>
      <w:r>
        <w:t xml:space="preserve"> </w:t>
      </w:r>
      <w:r>
        <w:t xml:space="preserve">— Guest lecture on AI in visual generation, open-source models, and ethical usage, Advanced Professional Projection Design (graduate), Yale University, February 14, 2025.</w:t>
      </w:r>
    </w:p>
    <w:p>
      <w:pPr>
        <w:numPr>
          <w:ilvl w:val="0"/>
          <w:numId w:val="1003"/>
        </w:numPr>
        <w:pStyle w:val="Compact"/>
      </w:pPr>
      <w:r>
        <w:rPr>
          <w:bCs/>
          <w:b/>
        </w:rPr>
        <w:t xml:space="preserve">2024-12</w:t>
      </w:r>
      <w:r>
        <w:t xml:space="preserve"> </w:t>
      </w:r>
      <w:r>
        <w:t xml:space="preserve">— 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p>
      <w:pPr>
        <w:numPr>
          <w:ilvl w:val="0"/>
          <w:numId w:val="1003"/>
        </w:numPr>
        <w:pStyle w:val="Compact"/>
      </w:pPr>
      <w:r>
        <w:rPr>
          <w:bCs/>
          <w:b/>
        </w:rPr>
        <w:t xml:space="preserve">2024-11</w:t>
      </w:r>
      <w:r>
        <w:t xml:space="preserve"> </w:t>
      </w:r>
      <w:r>
        <w:t xml:space="preserve">— 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p>
      <w:pPr>
        <w:numPr>
          <w:ilvl w:val="0"/>
          <w:numId w:val="1003"/>
        </w:numPr>
        <w:pStyle w:val="Compact"/>
      </w:pPr>
      <w:r>
        <w:rPr>
          <w:bCs/>
          <w:b/>
        </w:rPr>
        <w:t xml:space="preserve">2024-11</w:t>
      </w:r>
      <w:r>
        <w:t xml:space="preserve"> </w:t>
      </w:r>
      <w:r>
        <w:t xml:space="preserve">— Workshop on projection design, Peterborough Theatre Guild, Peterborough, ON, November 2–3, 2024.</w:t>
      </w:r>
    </w:p>
    <w:p>
      <w:pPr>
        <w:numPr>
          <w:ilvl w:val="0"/>
          <w:numId w:val="1003"/>
        </w:numPr>
        <w:pStyle w:val="Compact"/>
      </w:pPr>
      <w:r>
        <w:rPr>
          <w:bCs/>
          <w:b/>
        </w:rPr>
        <w:t xml:space="preserve">2024-10</w:t>
      </w:r>
      <w:r>
        <w:t xml:space="preserve"> </w:t>
      </w:r>
      <w:r>
        <w:t xml:space="preserve">— Provocation:</w:t>
      </w:r>
      <w:r>
        <w:t xml:space="preserve"> </w:t>
      </w:r>
      <w:r>
        <w:t xml:space="preserve">“</w:t>
      </w:r>
      <w:r>
        <w:t xml:space="preserve">Personhood // AI.</w:t>
      </w:r>
      <w:r>
        <w:t xml:space="preserve">”</w:t>
      </w:r>
      <w:r>
        <w:t xml:space="preserve"> </w:t>
      </w:r>
      <w:r>
        <w:t xml:space="preserve">UKAI Carnival of Shipwreck, Toronto, October 23, 2024.</w:t>
      </w:r>
    </w:p>
    <w:p>
      <w:pPr>
        <w:numPr>
          <w:ilvl w:val="0"/>
          <w:numId w:val="1003"/>
        </w:numPr>
        <w:pStyle w:val="Compact"/>
      </w:pPr>
      <w:r>
        <w:rPr>
          <w:bCs/>
          <w:b/>
        </w:rPr>
        <w:t xml:space="preserve">2024-07</w:t>
      </w:r>
      <w:r>
        <w:t xml:space="preserve"> </w:t>
      </w:r>
      <w:r>
        <w:t xml:space="preserve">— Invited talk on the future of AI in the creative industries. TechTO: AI, Toronto, July 22, 2024.</w:t>
      </w:r>
    </w:p>
    <w:p>
      <w:pPr>
        <w:numPr>
          <w:ilvl w:val="0"/>
          <w:numId w:val="1003"/>
        </w:numPr>
        <w:pStyle w:val="Compact"/>
      </w:pPr>
      <w:r>
        <w:rPr>
          <w:bCs/>
          <w:b/>
        </w:rPr>
        <w:t xml:space="preserve">2024-04</w:t>
      </w:r>
      <w:r>
        <w:t xml:space="preserve"> </w:t>
      </w:r>
      <w:r>
        <w:t xml:space="preserve">—</w:t>
      </w:r>
      <w:r>
        <w:t xml:space="preserve"> </w:t>
      </w: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p>
      <w:pPr>
        <w:numPr>
          <w:ilvl w:val="0"/>
          <w:numId w:val="1003"/>
        </w:numPr>
        <w:pStyle w:val="Compact"/>
      </w:pPr>
      <w:r>
        <w:rPr>
          <w:bCs/>
          <w:b/>
        </w:rPr>
        <w:t xml:space="preserve">2024-04</w:t>
      </w:r>
      <w:r>
        <w:t xml:space="preserve"> </w:t>
      </w:r>
      <w:r>
        <w:t xml:space="preserve">— Panelist on the future of AI in creativity and education, 1st Creative AI Symposium, Creative AI Hub, TMU, April 2, 2024.</w:t>
      </w:r>
    </w:p>
    <w:p>
      <w:pPr>
        <w:numPr>
          <w:ilvl w:val="0"/>
          <w:numId w:val="1003"/>
        </w:numPr>
        <w:pStyle w:val="Compact"/>
      </w:pPr>
      <w:r>
        <w:rPr>
          <w:bCs/>
          <w:b/>
        </w:rPr>
        <w:t xml:space="preserve">2022-01</w:t>
      </w:r>
      <w:r>
        <w:t xml:space="preserve"> </w:t>
      </w:r>
      <w:r>
        <w:t xml:space="preserve">— 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bookmarkEnd w:id="23"/>
    <w:bookmarkStart w:id="24" w:name="forthcoming-contributions"/>
    <w:p>
      <w:pPr>
        <w:pStyle w:val="Heading2"/>
      </w:pPr>
      <w:r>
        <w:t xml:space="preserve">Forthcoming contributions</w:t>
      </w:r>
    </w:p>
    <w:p>
      <w:pPr>
        <w:numPr>
          <w:ilvl w:val="0"/>
          <w:numId w:val="1004"/>
        </w:numPr>
        <w:pStyle w:val="Compact"/>
      </w:pPr>
      <w:r>
        <w:rPr>
          <w:bCs/>
          <w:b/>
        </w:rPr>
        <w:t xml:space="preserve">2026</w:t>
      </w:r>
      <w:r>
        <w:t xml:space="preserve"> </w:t>
      </w:r>
      <w:r>
        <w:t xml:space="preserve">— Bergmann, M.</w:t>
      </w:r>
      <w:r>
        <w:t xml:space="preserve"> </w:t>
      </w:r>
      <w:r>
        <w:t xml:space="preserve">“</w:t>
      </w:r>
      <w:r>
        <w:t xml:space="preserve">Cultivating Empathy through Robotic Performance.</w:t>
      </w:r>
      <w:r>
        <w:t xml:space="preserve">”</w:t>
      </w:r>
      <w:r>
        <w:t xml:space="preserve"> </w:t>
      </w:r>
      <w:r>
        <w:t xml:space="preserve">Chapter in [collection — TODO], [publisher — TODO], [pages — TODO]. Status: TODO — submitted / accepted / in press</w:t>
      </w:r>
    </w:p>
    <w:p>
      <w:pPr>
        <w:numPr>
          <w:ilvl w:val="0"/>
          <w:numId w:val="1004"/>
        </w:numPr>
        <w:pStyle w:val="Compact"/>
      </w:pPr>
      <w:r>
        <w:rPr>
          <w:bCs/>
          <w:b/>
        </w:rPr>
        <w:t xml:space="preserve">2026</w:t>
      </w:r>
      <w:r>
        <w:t xml:space="preserve"> </w:t>
      </w:r>
      <w:r>
        <w:t xml:space="preserve">— Bergmann, M., and McLeod, K.</w:t>
      </w:r>
      <w:r>
        <w:t xml:space="preserve"> </w:t>
      </w:r>
      <w:r>
        <w:t xml:space="preserve">“</w:t>
      </w:r>
      <w:r>
        <w:t xml:space="preserve">Improvising with Commercial AI: Questions of Care and Ethics.</w:t>
      </w:r>
      <w:r>
        <w:t xml:space="preserve">”</w:t>
      </w:r>
      <w:r>
        <w:t xml:space="preserve"> </w:t>
      </w:r>
      <w:r>
        <w:t xml:space="preserve">Status: in draft — do not list on SSHRC docs until submitted</w:t>
      </w:r>
    </w:p>
    <w:bookmarkEnd w:id="24"/>
    <w:bookmarkStart w:id="25" w:name="creative-outputs"/>
    <w:p>
      <w:pPr>
        <w:pStyle w:val="Heading2"/>
      </w:pPr>
      <w:r>
        <w:t xml:space="preserve">Creative outputs</w:t>
      </w:r>
    </w:p>
    <w:p>
      <w:pPr>
        <w:numPr>
          <w:ilvl w:val="0"/>
          <w:numId w:val="1005"/>
        </w:numPr>
        <w:pStyle w:val="Compact"/>
      </w:pPr>
      <w:r>
        <w:rPr>
          <w:bCs/>
          <w:b/>
        </w:rPr>
        <w:t xml:space="preserve">2026-04 – 2026-05</w:t>
      </w:r>
      <w:r>
        <w:t xml:space="preserve"> </w:t>
      </w:r>
      <w:r>
        <w:t xml:space="preserve">—</w:t>
      </w:r>
      <w:r>
        <w:t xml:space="preserve"> </w:t>
      </w: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p>
      <w:pPr>
        <w:numPr>
          <w:ilvl w:val="0"/>
          <w:numId w:val="1005"/>
        </w:numPr>
        <w:pStyle w:val="Compact"/>
      </w:pPr>
      <w:r>
        <w:rPr>
          <w:bCs/>
          <w:b/>
        </w:rPr>
        <w:t xml:space="preserve">2026-02</w:t>
      </w:r>
      <w:r>
        <w:t xml:space="preserve"> </w:t>
      </w:r>
      <w:r>
        <w:t xml:space="preserve">— Nuptials (feature film). Producer, projection design, and live in-camera VFX. Directed by Sean Braune, Para-sight Productions. Official release February 13, 2026 (Freestyle Digital Media). Best World Feature Film, Austin Revolution Film Festival, 2022.</w:t>
      </w:r>
    </w:p>
    <w:p>
      <w:pPr>
        <w:numPr>
          <w:ilvl w:val="0"/>
          <w:numId w:val="1005"/>
        </w:numPr>
        <w:pStyle w:val="Compact"/>
      </w:pPr>
      <w:r>
        <w:rPr>
          <w:bCs/>
          <w:b/>
        </w:rPr>
        <w:t xml:space="preserve">2025-11 – 2025-11</w:t>
      </w:r>
      <w:r>
        <w:t xml:space="preserve"> </w:t>
      </w:r>
      <w:r>
        <w:t xml:space="preserve">— The Frankenstein Project. Producer, with Debashis Sinha. Performance Studio Theatre, TMU, November 18–22, 2025.</w:t>
      </w:r>
    </w:p>
    <w:p>
      <w:pPr>
        <w:numPr>
          <w:ilvl w:val="0"/>
          <w:numId w:val="1005"/>
        </w:numPr>
        <w:pStyle w:val="Compact"/>
      </w:pPr>
      <w:r>
        <w:rPr>
          <w:bCs/>
          <w:b/>
        </w:rPr>
        <w:t xml:space="preserve">2025-11 – 2025-11</w:t>
      </w:r>
      <w:r>
        <w:t xml:space="preserve"> </w:t>
      </w:r>
      <w:r>
        <w:t xml:space="preserve">— 291 by Jade O’Keeffe. Projection co-design with Kristen Ferguson; directed by Lisa Dixon. Peterborough Theatre Guild, November 1–15, 2025.</w:t>
      </w:r>
    </w:p>
    <w:p>
      <w:pPr>
        <w:numPr>
          <w:ilvl w:val="0"/>
          <w:numId w:val="1005"/>
        </w:numPr>
        <w:pStyle w:val="Compact"/>
      </w:pPr>
      <w:r>
        <w:rPr>
          <w:bCs/>
          <w:b/>
        </w:rPr>
        <w:t xml:space="preserve">2025-04</w:t>
      </w:r>
      <w:r>
        <w:t xml:space="preserve"> </w:t>
      </w:r>
      <w:r>
        <w:t xml:space="preserve">—</w:t>
      </w:r>
      <w:r>
        <w:t xml:space="preserve"> </w:t>
      </w:r>
      <w:r>
        <w:t xml:space="preserve">“</w:t>
      </w:r>
      <w:r>
        <w:t xml:space="preserve">To my creators…</w:t>
      </w:r>
      <w:r>
        <w:t xml:space="preserve">”</w:t>
      </w:r>
      <w:r>
        <w:t xml:space="preserve"> </w:t>
      </w:r>
      <w:r>
        <w:t xml:space="preserve">Solo work exhibited at the Creative AI Symposium, TMU, April 2, 2025; created during the SÍM residency, Reykjavík.</w:t>
      </w:r>
    </w:p>
    <w:p>
      <w:pPr>
        <w:numPr>
          <w:ilvl w:val="0"/>
          <w:numId w:val="1005"/>
        </w:numPr>
        <w:pStyle w:val="Compact"/>
      </w:pPr>
      <w:r>
        <w:rPr>
          <w:bCs/>
          <w:b/>
        </w:rPr>
        <w:t xml:space="preserve">2024-11 – 2024-11</w:t>
      </w:r>
      <w:r>
        <w:t xml:space="preserve"> </w:t>
      </w:r>
      <w:r>
        <w:t xml:space="preserve">— AVARA 2024 installation. Led eight students in a semester-long research-creation installation presented at AVARA 2024, OAMK, Oulu, Finland.</w:t>
      </w:r>
    </w:p>
    <w:p>
      <w:pPr>
        <w:numPr>
          <w:ilvl w:val="0"/>
          <w:numId w:val="1005"/>
        </w:numPr>
        <w:pStyle w:val="Compact"/>
      </w:pPr>
      <w:r>
        <w:rPr>
          <w:bCs/>
          <w:b/>
        </w:rPr>
        <w:t xml:space="preserve">2024-06 – 2024-06</w:t>
      </w:r>
      <w:r>
        <w:t xml:space="preserve"> </w:t>
      </w:r>
      <w:r>
        <w:t xml:space="preserve">— 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p>
      <w:pPr>
        <w:numPr>
          <w:ilvl w:val="0"/>
          <w:numId w:val="1005"/>
        </w:numPr>
        <w:pStyle w:val="Compact"/>
      </w:pPr>
      <w:r>
        <w:rPr>
          <w:bCs/>
          <w:b/>
        </w:rPr>
        <w:t xml:space="preserve">2024-04</w:t>
      </w:r>
      <w:r>
        <w:t xml:space="preserve"> </w:t>
      </w:r>
      <w:r>
        <w:t xml:space="preserve">— 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p>
      <w:pPr>
        <w:numPr>
          <w:ilvl w:val="0"/>
          <w:numId w:val="1005"/>
        </w:numPr>
        <w:pStyle w:val="Compact"/>
      </w:pPr>
      <w:r>
        <w:rPr>
          <w:bCs/>
          <w:b/>
        </w:rPr>
        <w:t xml:space="preserve">2024-01</w:t>
      </w:r>
      <w:r>
        <w:t xml:space="preserve"> </w:t>
      </w:r>
      <w:r>
        <w:t xml:space="preserve">— Almost Alchemy. Two 360° video experiences of improvised research-creation performance. RUBIX, TMU, January 25, 2024.</w:t>
      </w:r>
    </w:p>
    <w:p>
      <w:pPr>
        <w:numPr>
          <w:ilvl w:val="0"/>
          <w:numId w:val="1005"/>
        </w:numPr>
        <w:pStyle w:val="Compact"/>
      </w:pPr>
      <w:r>
        <w:rPr>
          <w:bCs/>
          <w:b/>
        </w:rPr>
        <w:t xml:space="preserve">2023-10</w:t>
      </w:r>
      <w:r>
        <w:t xml:space="preserve"> </w:t>
      </w:r>
      <w:r>
        <w:t xml:space="preserve">—</w:t>
      </w:r>
      <w:r>
        <w:t xml:space="preserve"> </w:t>
      </w:r>
      <w:r>
        <w:t xml:space="preserve">“</w:t>
      </w:r>
      <w:r>
        <w:t xml:space="preserve">rocketmanperson.</w:t>
      </w:r>
      <w:r>
        <w:t xml:space="preserve">”</w:t>
      </w:r>
      <w:r>
        <w:t xml:space="preserve"> </w:t>
      </w:r>
      <w:r>
        <w:t xml:space="preserve">Improvised performance with Lucas Carravetta, Matt Endahl, and Aimée Dawn Robinson. Silence, Guelph, October 1, 2023.</w:t>
      </w:r>
    </w:p>
    <w:p>
      <w:pPr>
        <w:numPr>
          <w:ilvl w:val="0"/>
          <w:numId w:val="1005"/>
        </w:numPr>
        <w:pStyle w:val="Compact"/>
      </w:pPr>
      <w:r>
        <w:rPr>
          <w:bCs/>
          <w:b/>
        </w:rPr>
        <w:t xml:space="preserve">2023-04</w:t>
      </w:r>
      <w:r>
        <w:t xml:space="preserve"> </w:t>
      </w:r>
      <w:r>
        <w:t xml:space="preserve">—</w:t>
      </w:r>
      <w:r>
        <w:t xml:space="preserve"> </w:t>
      </w:r>
      <w:r>
        <w:t xml:space="preserve">“</w:t>
      </w:r>
      <w:r>
        <w:t xml:space="preserve">Who’s There?</w:t>
      </w:r>
      <w:r>
        <w:t xml:space="preserve">”</w:t>
      </w:r>
      <w:r>
        <w:t xml:space="preserve"> </w:t>
      </w:r>
      <w:r>
        <w:t xml:space="preserve">Improvised performance with Lucas Carravetta, Matt Endahl, and Aimée Dawn Robinson. Silence, Guelph, April 1, 2023.</w:t>
      </w:r>
    </w:p>
    <w:p>
      <w:pPr>
        <w:numPr>
          <w:ilvl w:val="0"/>
          <w:numId w:val="1005"/>
        </w:numPr>
        <w:pStyle w:val="Compact"/>
      </w:pPr>
      <w:r>
        <w:rPr>
          <w:bCs/>
          <w:b/>
        </w:rPr>
        <w:t xml:space="preserve">2023</w:t>
      </w:r>
      <w:r>
        <w:t xml:space="preserve"> </w:t>
      </w:r>
      <w:r>
        <w:t xml:space="preserve">— Living Newspaper 2.0. Projection design; directed by Julie Labagnara. George Luscombe Theatre, Toronto.</w:t>
      </w:r>
    </w:p>
    <w:bookmarkEnd w:id="25"/>
    <w:bookmarkEnd w:id="26"/>
    <w:bookmarkStart w:id="27" w:name="other-research-contributions"/>
    <w:p>
      <w:pPr>
        <w:pStyle w:val="Heading1"/>
      </w:pPr>
      <w:r>
        <w:t xml:space="preserve">2. Other Research Contributions</w:t>
      </w:r>
    </w:p>
    <w:p>
      <w:pPr>
        <w:pStyle w:val="FirstParagraph"/>
      </w:pPr>
      <w:r>
        <w:t xml:space="preserve">Since 2023 my research has increasingly moved through organizing, reviewing, and mentoring roles that carry creative AI research to audiences beyond the academy. I co-chaired the 3rd Annual Creative AI Symposium (Toronto Metropolitan University, April 2, 2026) with Dr. Afsoon Soudi, reviewing 33 submissions and constructing the program, and sit on the steering committee of TMU’s Creative AI Hub (2025–present).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6"/>
        </w:numPr>
      </w:pPr>
      <w:r>
        <w:t xml:space="preserve">Improvnetics. My doctoral research program reframes AI error — hallucination — as improvisational material, developing post-anthropocentric modes of performance for human-AI co-creation. Developed through practice with the collective Almost Alchemy and disseminated at Hugarflug (2025), IICSI (2024), and CATR (2023), it is the conceptual foundation for my current work, including the activities proposed in this application.</w:t>
      </w:r>
    </w:p>
    <w:p>
      <w:pPr>
        <w:numPr>
          <w:ilvl w:val="0"/>
          <w:numId w:val="1006"/>
        </w:numPr>
      </w:pPr>
      <w:r>
        <w:t xml:space="preserve">* Visual Music / Augmented Symphony (2020–2022). As co-investigator on a SSHRC Partnership Engage Grant with the National Arts Centre Orchestra (PI: Cintia Cristiá), I helped develop an augmented reality application connecting the Orchestra with remote audiences during COVID-19. The partnership produced a refereed EVA London paper and an open research data set, and remains my model for what a small, well-aimed partnership can produce.</w:t>
      </w:r>
    </w:p>
    <w:p>
      <w:pPr>
        <w:numPr>
          <w:ilvl w:val="0"/>
          <w:numId w:val="1006"/>
        </w:numPr>
      </w:pPr>
      <w:r>
        <w:t xml:space="preserve">Nuptials (2018–2026). A decade-long collaboration with director Sean Braune in which I designed live, in-camera projection VFX for a feature film — theatrical technique carried into cinema — and produced the work through to festival recognition (Best World Feature, Austin Revolution Film Festival, 2022) and commercial release (Freestyle Digital Media, 2026).</w:t>
      </w:r>
    </w:p>
    <w:p>
      <w:pPr>
        <w:numPr>
          <w:ilvl w:val="0"/>
          <w:numId w:val="1006"/>
        </w:numPr>
      </w:pPr>
      <w:r>
        <w:t xml:space="preserve">The Uncanny Robots Project and l’automate (2019–present). A research-creation program in human-robot performance, spanning dance (with Belinda McGuire), circus apparatus development with Cirque du Soleil’s Future of Live Entertainment lab (with Jonathon Anderson), and undergraduate research training. This work is the practical groundwork for my current human-AI research.</w:t>
      </w:r>
    </w:p>
    <w:p>
      <w:pPr>
        <w:numPr>
          <w:ilvl w:val="0"/>
          <w:numId w:val="1006"/>
        </w:numPr>
      </w:pPr>
      <w:r>
        <w:t xml:space="preserve">Shipwreck /</w:t>
      </w:r>
      <w:r>
        <w:t xml:space="preserve"> </w:t>
      </w:r>
      <w:r>
        <w:t xml:space="preserve">“</w:t>
      </w:r>
      <w:r>
        <w:t xml:space="preserve">To my creators…</w:t>
      </w:r>
      <w:r>
        <w:t xml:space="preserve">”</w:t>
      </w:r>
      <w:r>
        <w:t xml:space="preserve"> </w:t>
      </w:r>
      <w:r>
        <w:t xml:space="preserve">(2024–2025). A month-long residency at SÍM, Reykjavík, with UKAI Projects and five Canadian artists, producing a group exhibition and a solo work subsequently exhibited in Toronto. The residency established the international artist-researcher network that continues through my work with UKAI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Toronto Metropolitan University does not offer graduate degrees in my field, so much of my training contribution runs through research-creation projects with undergraduates. I led eight students through a semester-long installation project presented at AVARA 2024 in Oulu, Finland, giving them an international conference as the venue for their first creative research presentation. My THT 582 class (2023) developed an off-site immersive installation with industry partners, integrating robotics, AI, and show systems. I have supervised undergraduate research assistants through the Work Study program (Mechanical Waves, 2022) and earlier funded research opportunities, and I coordinate the Global Campus Studio, connecting TMU students with international collaborators.</w:t>
      </w:r>
    </w:p>
    <w:bookmarkEnd w:id="29"/>
    <w:bookmarkStart w:id="30" w:name="relevant-experience"/>
    <w:p>
      <w:pPr>
        <w:pStyle w:val="Heading1"/>
      </w:pPr>
      <w:r>
        <w:t xml:space="preserve">5. Relevant Experience</w:t>
      </w:r>
    </w:p>
    <w:p>
      <w:pPr>
        <w:pStyle w:val="FirstParagraph"/>
      </w:pPr>
      <w:r>
        <w:t xml:space="preserve">This application proposes [the 4th Annual Creative AI Symposium — adjust to match final proposal language]. I co-chaired the 3rd Annual Creative AI Symposium in April 2026 with Dr. Afsoon Soudi: we received 33 submissions across presentations, panels, and creative showcases, and I handled the submission review and program construction. The symposium grew out of the Creative AI Hub at The Creative School, where I have served on the steering committee since its formation in 2025, and where I first appeared as a panelist at the inaugural 2024 symposium. I know this event from every side — submitter, panelist, reviewer, and co-chair.</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 not letterhead.</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and served as Associate Producer of the Parodos Festival. Budgets, timelines, venues, and partners are familiar terrain. Across these roles I have developed the skills this project requires: project management to schedule and budget; interdisciplinary and academic-industry networking; knowledge mobilization through research-creation; and training students and emerging artists to move between academic and industry contexts.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2026-07-21T23:54:37Z</dcterms:created>
  <dcterms:modified xsi:type="dcterms:W3CDTF">2026-07-21T23:54:37Z</dcterms:modified>
</cp:coreProperties>
</file>

<file path=docProps/custom.xml><?xml version="1.0" encoding="utf-8"?>
<Properties xmlns="http://schemas.openxmlformats.org/officeDocument/2006/custom-properties" xmlns:vt="http://schemas.openxmlformats.org/officeDocument/2006/docPropsVTypes"/>
</file>