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20"/>
    <w:bookmarkStart w:id="21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Candidate,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2"/>
    <w:bookmarkStart w:id="23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NeurIPS Creative AI Track 2026: Agency, Thirty-Ninth Conference on Neural Information Processing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TFA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4"/>
    <w:bookmarkStart w:id="25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5"/>
    <w:bookmarkStart w:id="26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26"/>
    <w:bookmarkStart w:id="29" w:name="h-research-funding"/>
    <w:p>
      <w:pPr>
        <w:pStyle w:val="Heading2"/>
      </w:pPr>
      <w:r>
        <w:t xml:space="preserve">h) Research Funding</w:t>
      </w:r>
    </w:p>
    <w:bookmarkStart w:id="27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7"/>
    <w:bookmarkStart w:id="28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8"/>
    <w:bookmarkEnd w:id="29"/>
    <w:bookmarkStart w:id="31" w:name="i-publications"/>
    <w:p>
      <w:pPr>
        <w:pStyle w:val="Heading2"/>
      </w:pPr>
      <w:r>
        <w:t xml:space="preserve">i) Publications</w:t>
      </w:r>
    </w:p>
    <w:bookmarkStart w:id="30" w:name="life-time-summary"/>
    <w:p>
      <w:pPr>
        <w:pStyle w:val="Heading3"/>
      </w:pPr>
      <w:r>
        <w:t xml:space="preserve">Life-time summary</w:t>
      </w:r>
    </w:p>
    <w:p>
      <w:pPr>
        <w:numPr>
          <w:ilvl w:val="0"/>
          <w:numId w:val="1001"/>
        </w:numPr>
        <w:pStyle w:val="Compact"/>
      </w:pPr>
      <w:r>
        <w:t xml:space="preserve">Books authored: 0</w:t>
      </w:r>
    </w:p>
    <w:p>
      <w:pPr>
        <w:numPr>
          <w:ilvl w:val="0"/>
          <w:numId w:val="1001"/>
        </w:numPr>
        <w:pStyle w:val="Compact"/>
      </w:pPr>
      <w:r>
        <w:t xml:space="preserve">Books edited: 0</w:t>
      </w:r>
    </w:p>
    <w:p>
      <w:pPr>
        <w:numPr>
          <w:ilvl w:val="0"/>
          <w:numId w:val="1001"/>
        </w:numPr>
        <w:pStyle w:val="Compact"/>
      </w:pPr>
      <w:r>
        <w:t xml:space="preserve">Chapters in books: 0</w:t>
      </w:r>
    </w:p>
    <w:p>
      <w:pPr>
        <w:numPr>
          <w:ilvl w:val="0"/>
          <w:numId w:val="1001"/>
        </w:numPr>
        <w:pStyle w:val="Compact"/>
      </w:pPr>
      <w:r>
        <w:t xml:space="preserve">Papers in refereed journals: 0</w:t>
      </w:r>
    </w:p>
    <w:p>
      <w:pPr>
        <w:numPr>
          <w:ilvl w:val="0"/>
          <w:numId w:val="1001"/>
        </w:numPr>
        <w:pStyle w:val="Compact"/>
      </w:pPr>
      <w:r>
        <w:t xml:space="preserve">Papers in refereed conference proceedings: 1</w:t>
      </w:r>
    </w:p>
    <w:p>
      <w:pPr>
        <w:numPr>
          <w:ilvl w:val="0"/>
          <w:numId w:val="1001"/>
        </w:numPr>
        <w:pStyle w:val="Compact"/>
      </w:pPr>
      <w:r>
        <w:t xml:space="preserve">Major invited contributions and/or technical reports: 0</w:t>
      </w:r>
    </w:p>
    <w:p>
      <w:pPr>
        <w:numPr>
          <w:ilvl w:val="0"/>
          <w:numId w:val="1001"/>
        </w:numPr>
        <w:pStyle w:val="Compact"/>
      </w:pPr>
      <w:r>
        <w:t xml:space="preserve">Abstracts and/or papers read: 21</w:t>
      </w:r>
    </w:p>
    <w:p>
      <w:pPr>
        <w:numPr>
          <w:ilvl w:val="0"/>
          <w:numId w:val="1001"/>
        </w:numPr>
        <w:pStyle w:val="Compact"/>
      </w:pPr>
      <w:r>
        <w:t xml:space="preserve">Other (data sets, magazine and literary publications): 3</w:t>
      </w:r>
    </w:p>
    <w:bookmarkEnd w:id="30"/>
    <w:bookmarkEnd w:id="31"/>
    <w:bookmarkStart w:id="32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32"/>
    <w:bookmarkStart w:id="33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33"/>
    <w:bookmarkStart w:id="34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34"/>
    <w:bookmarkStart w:id="35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35"/>
    <w:bookmarkStart w:id="36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2026-10-18T02:17:01Z</dcterms:created>
  <dcterms:modified xsi:type="dcterms:W3CDTF">2026-10-18T02:17:01Z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