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06 · Конвейер данных и авто-распознавание</w:t>
      </w:r>
    </w:p>
    <w:p>
      <w:r>
        <w:rPr>
          <w:i/>
          <w:color w:val="6B7280"/>
          <w:sz w:val="21"/>
        </w:rPr>
        <w:t>Как документы попадают в систему и превращаются в данные для метрик</w:t>
      </w:r>
    </w:p>
    <w:p>
      <w:r>
        <w:rPr>
          <w:color w:val="6B7280"/>
          <w:sz w:val="18"/>
        </w:rPr>
        <w:t>Проект «Dashbord»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Согласованные параметры (2026-07-11)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Решение</w:t>
            </w:r>
          </w:p>
        </w:tc>
      </w:tr>
      <w:tr>
        <w:tc>
          <w:tcPr>
            <w:tcW w:type="dxa" w:w="2551"/>
          </w:tcPr>
          <w:p>
            <w:r/>
            <w:r>
              <w:t>Форматы (v1)</w:t>
            </w:r>
          </w:p>
        </w:tc>
        <w:tc>
          <w:tcPr>
            <w:tcW w:type="dxa" w:w="6803"/>
          </w:tcPr>
          <w:p>
            <w:r/>
            <w:r>
              <w:t>Excel (.xlsx/.xls), PDF (текстовый), CSV, Word (.docx) — все в первой версии</w:t>
            </w:r>
          </w:p>
        </w:tc>
      </w:tr>
      <w:tr>
        <w:tc>
          <w:tcPr>
            <w:tcW w:type="dxa" w:w="2551"/>
          </w:tcPr>
          <w:p>
            <w:r/>
            <w:r>
              <w:t>Сложность таблиц</w:t>
            </w:r>
          </w:p>
        </w:tc>
        <w:tc>
          <w:tcPr>
            <w:tcW w:type="dxa" w:w="6803"/>
          </w:tcPr>
          <w:p>
            <w:r/>
            <w:r>
              <w:t>Поддержать и простые, и сложные (объединённые ячейки, многоэтажные шапки, несколько таблиц на листе, итоговые строки)</w:t>
            </w:r>
          </w:p>
        </w:tc>
      </w:tr>
      <w:tr>
        <w:tc>
          <w:tcPr>
            <w:tcW w:type="dxa" w:w="2551"/>
          </w:tcPr>
          <w:p>
            <w:r/>
            <w:r>
              <w:t>Правка распознавания</w:t>
            </w:r>
          </w:p>
        </w:tc>
        <w:tc>
          <w:tcPr>
            <w:tcW w:type="dxa" w:w="6803"/>
          </w:tcPr>
          <w:p>
            <w:r/>
            <w:r>
              <w:t>Обязательна ручная правка: система предлагает разметку, пользователь подтверждает/исправляет</w:t>
            </w:r>
          </w:p>
        </w:tc>
      </w:tr>
      <w:tr>
        <w:tc>
          <w:tcPr>
            <w:tcW w:type="dxa" w:w="2551"/>
          </w:tcPr>
          <w:p>
            <w:r/>
            <w:r>
              <w:t>Отчётная дата</w:t>
            </w:r>
          </w:p>
        </w:tc>
        <w:tc>
          <w:tcPr>
            <w:tcW w:type="dxa" w:w="6803"/>
          </w:tcPr>
          <w:p>
            <w:r/>
            <w:r>
              <w:t>Пользователь указывает вручную при загрузке</w:t>
            </w:r>
          </w:p>
        </w:tc>
      </w:tr>
      <w:tr>
        <w:tc>
          <w:tcPr>
            <w:tcW w:type="dxa" w:w="2551"/>
          </w:tcPr>
          <w:p>
            <w:r/>
            <w:r>
              <w:t>OCR (сканы)</w:t>
            </w:r>
          </w:p>
        </w:tc>
        <w:tc>
          <w:tcPr>
            <w:tcW w:type="dxa" w:w="6803"/>
          </w:tcPr>
          <w:p>
            <w:r/>
            <w:r>
              <w:t>Не нужен. Для PDF без текстового слоя — предупреждение, что распознать нельзя</w:t>
            </w:r>
          </w:p>
        </w:tc>
      </w:tr>
    </w:tbl>
    <w:p>
      <w:pPr>
        <w:pStyle w:val="Heading1"/>
      </w:pPr>
      <w:r>
        <w:rPr>
          <w:color w:val="2F5496"/>
        </w:rPr>
        <w:t>Поток обработки документа</w:t>
      </w:r>
    </w:p>
    <w:p>
      <w:pPr>
        <w:pStyle w:val="ListNumber"/>
      </w:pPr>
      <w:r>
        <w:t>Загрузка файла в папку объекта; пользователь указывает отчётную дату (период).</w:t>
      </w:r>
    </w:p>
    <w:p>
      <w:pPr>
        <w:pStyle w:val="ListNumber"/>
      </w:pPr>
      <w:r>
        <w:t>Сохранение файла (MinIO) и регистрация версии документа (checksum, размер).</w:t>
      </w:r>
    </w:p>
    <w:p>
      <w:pPr>
        <w:pStyle w:val="ListNumber"/>
      </w:pPr>
      <w:r>
        <w:t>Извлечение: парсер по формату разбирает файл на таблицы, строки, столбцы, значения.</w:t>
      </w:r>
    </w:p>
    <w:p>
      <w:pPr>
        <w:pStyle w:val="ListNumber"/>
      </w:pPr>
      <w:r>
        <w:t>Распознавание: определение областей таблиц, шапок, типов столбцов (число/дата/текст).</w:t>
      </w:r>
    </w:p>
    <w:p>
      <w:pPr>
        <w:pStyle w:val="ListNumber"/>
      </w:pPr>
      <w:r>
        <w:t>Предложение маппинга: система сопоставляет столбцы с каноническими полями и показывает предпросмотр.</w:t>
      </w:r>
    </w:p>
    <w:p>
      <w:pPr>
        <w:pStyle w:val="ListNumber"/>
      </w:pPr>
      <w:r>
        <w:t>Ручная правка: пользователь корректирует границы таблицы, шапку, типы и маппинг столбцов.</w:t>
      </w:r>
    </w:p>
    <w:p>
      <w:pPr>
        <w:pStyle w:val="ListNumber"/>
      </w:pPr>
      <w:r>
        <w:t>Подтверждение → формирование «выпуска датасета» (dataset_release) с привязкой к периоду.</w:t>
      </w:r>
    </w:p>
    <w:p>
      <w:pPr>
        <w:pStyle w:val="ListNumber"/>
      </w:pPr>
      <w:r>
        <w:t>Датасет становится источником для метрик и конструктора дашбордов.</w:t>
      </w:r>
    </w:p>
    <w:p>
      <w:pPr>
        <w:pStyle w:val="Heading1"/>
      </w:pPr>
      <w:r>
        <w:rPr>
          <w:color w:val="2F5496"/>
        </w:rPr>
        <w:t>Обработка сложных таблиц</w:t>
      </w:r>
    </w:p>
    <w:p>
      <w:pPr>
        <w:pStyle w:val="ListBullet"/>
      </w:pPr>
      <w:r>
        <w:t>Несколько таблиц на одном листе/странице — система выделяет отдельные табличные области; пользователь подтверждает границы.</w:t>
      </w:r>
    </w:p>
    <w:p>
      <w:pPr>
        <w:pStyle w:val="ListBullet"/>
      </w:pPr>
      <w:r>
        <w:t>Многоэтажные шапки (2+ строки заголовков) — объединяются в составное имя столбца; правится вручную.</w:t>
      </w:r>
    </w:p>
    <w:p>
      <w:pPr>
        <w:pStyle w:val="ListBullet"/>
      </w:pPr>
      <w:r>
        <w:t>Объединённые ячейки — значение растиражируется на объединённый диапазон (с возможностью отмены).</w:t>
      </w:r>
    </w:p>
    <w:p>
      <w:pPr>
        <w:pStyle w:val="ListBullet"/>
      </w:pPr>
      <w:r>
        <w:t>Итоговые строки/столбцы («Итого») — помечаются как агрегаты и исключаются из построчных данных.</w:t>
      </w:r>
    </w:p>
    <w:p>
      <w:pPr>
        <w:pStyle w:val="ListBullet"/>
      </w:pPr>
      <w:r>
        <w:t>Пустые строки-разделители — игнорируются; пользователь видит и может вернуть.</w:t>
      </w:r>
    </w:p>
    <w:p>
      <w:pPr>
        <w:pStyle w:val="Heading1"/>
      </w:pPr>
      <w:r>
        <w:rPr>
          <w:color w:val="2F5496"/>
        </w:rPr>
        <w:t>Технические заметки по форматам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b/>
              </w:rPr>
              <w:t>Формат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Как разбираем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Особенности</w:t>
            </w:r>
          </w:p>
        </w:tc>
      </w:tr>
      <w:tr>
        <w:tc>
          <w:tcPr>
            <w:tcW w:type="dxa" w:w="1417"/>
          </w:tcPr>
          <w:p>
            <w:r/>
            <w:r>
              <w:t>Excel</w:t>
            </w:r>
          </w:p>
        </w:tc>
        <w:tc>
          <w:tcPr>
            <w:tcW w:type="dxa" w:w="3969"/>
          </w:tcPr>
          <w:p>
            <w:r/>
            <w:r>
              <w:t>Чтение листов и ячеек (openpyxl)</w:t>
            </w:r>
          </w:p>
        </w:tc>
        <w:tc>
          <w:tcPr>
            <w:tcW w:type="dxa" w:w="3969"/>
          </w:tcPr>
          <w:p>
            <w:r/>
            <w:r>
              <w:t>Несколько листов = несколько источников таблиц</w:t>
            </w:r>
          </w:p>
        </w:tc>
      </w:tr>
      <w:tr>
        <w:tc>
          <w:tcPr>
            <w:tcW w:type="dxa" w:w="1417"/>
          </w:tcPr>
          <w:p>
            <w:r/>
            <w:r>
              <w:t>CSV</w:t>
            </w:r>
          </w:p>
        </w:tc>
        <w:tc>
          <w:tcPr>
            <w:tcW w:type="dxa" w:w="3969"/>
          </w:tcPr>
          <w:p>
            <w:r/>
            <w:r>
              <w:t>Автоопределение разделителя и кодировки</w:t>
            </w:r>
          </w:p>
        </w:tc>
        <w:tc>
          <w:tcPr>
            <w:tcW w:type="dxa" w:w="3969"/>
          </w:tcPr>
          <w:p>
            <w:r/>
            <w:r>
              <w:t>Подтверждение кодировки/разделителя пользователем</w:t>
            </w:r>
          </w:p>
        </w:tc>
      </w:tr>
      <w:tr>
        <w:tc>
          <w:tcPr>
            <w:tcW w:type="dxa" w:w="1417"/>
          </w:tcPr>
          <w:p>
            <w:r/>
            <w:r>
              <w:t>Word</w:t>
            </w:r>
          </w:p>
        </w:tc>
        <w:tc>
          <w:tcPr>
            <w:tcW w:type="dxa" w:w="3969"/>
          </w:tcPr>
          <w:p>
            <w:r/>
            <w:r>
              <w:t>Извлечение таблиц из .docx</w:t>
            </w:r>
          </w:p>
        </w:tc>
        <w:tc>
          <w:tcPr>
            <w:tcW w:type="dxa" w:w="3969"/>
          </w:tcPr>
          <w:p>
            <w:r/>
            <w:r>
              <w:t>Текст вне таблиц игнорируется в v1</w:t>
            </w:r>
          </w:p>
        </w:tc>
      </w:tr>
      <w:tr>
        <w:tc>
          <w:tcPr>
            <w:tcW w:type="dxa" w:w="1417"/>
          </w:tcPr>
          <w:p>
            <w:r/>
            <w:r>
              <w:t>PDF</w:t>
            </w:r>
          </w:p>
        </w:tc>
        <w:tc>
          <w:tcPr>
            <w:tcW w:type="dxa" w:w="3969"/>
          </w:tcPr>
          <w:p>
            <w:r/>
            <w:r>
              <w:t>Извлечение таблиц из текстового слоя</w:t>
            </w:r>
          </w:p>
        </w:tc>
        <w:tc>
          <w:tcPr>
            <w:tcW w:type="dxa" w:w="3969"/>
          </w:tcPr>
          <w:p>
            <w:r/>
            <w:r>
              <w:t>Скан без текста — предупреждение (OCR вне MVP)</w:t>
            </w:r>
          </w:p>
        </w:tc>
      </w:tr>
    </w:tbl>
    <w:p>
      <w:pPr>
        <w:pStyle w:val="Heading1"/>
      </w:pPr>
      <w:r>
        <w:rPr>
          <w:color w:val="2F5496"/>
        </w:rPr>
        <w:t>Хранение</w:t>
      </w:r>
    </w:p>
    <w:p>
      <w:pPr>
        <w:pStyle w:val="ListBullet"/>
      </w:pPr>
      <w:r>
        <w:t>Исходные файлы — в MinIO (с версиями).</w:t>
      </w:r>
    </w:p>
    <w:p>
      <w:pPr>
        <w:pStyle w:val="ListBullet"/>
      </w:pPr>
      <w:r>
        <w:t>Извлечённая структура (таблицы, столбцы, типы, маппинг) — в PostgreSQL (схема lifecycle_schema.sql).</w:t>
      </w:r>
    </w:p>
    <w:p>
      <w:pPr>
        <w:pStyle w:val="ListBullet"/>
      </w:pPr>
      <w:r>
        <w:t>Значения датасета — в PostgreSQL; привязаны к выпуску и отчётному периоду.</w:t>
      </w:r>
    </w:p>
    <w:p>
      <w:pPr>
        <w:pStyle w:val="Heading1"/>
      </w:pPr>
      <w:r>
        <w:rPr>
          <w:color w:val="2F5496"/>
        </w:rPr>
        <w:t>Открытые под-вопросы (в реестр 05)</w:t>
      </w:r>
    </w:p>
    <w:p>
      <w:pPr>
        <w:pStyle w:val="ListBullet"/>
      </w:pPr>
      <w:r>
        <w:t>Нужен ли предпросмотр «до/после» правки маппинга на больших файлах (лимит строк предпросмотра)?</w:t>
      </w:r>
    </w:p>
    <w:p>
      <w:pPr>
        <w:pStyle w:val="ListBullet"/>
      </w:pPr>
      <w:r>
        <w:t>Правила канонических полей: единый справочник полей на организацию или на объект/папку?</w:t>
      </w:r>
    </w:p>
    <w:p>
      <w:pPr>
        <w:pStyle w:val="ListBullet"/>
      </w:pPr>
      <w:r>
        <w:t>Что делать при повторной загрузке файла за тот же период — замещать (supersede) автоматически или спрашивать?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