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3200"/>
      </w:pPr>
    </w:p>
    <w:p>
      <w:pPr>
        <w:jc w:val="center"/>
      </w:pPr>
      <w:r>
        <w:rPr>
          <w:rFonts w:ascii="PT Sans" w:cs="PT Sans" w:eastAsia="PT Sans" w:hAnsi="PT Sans"/>
          <w:b/>
          <w:bCs/>
          <w:color w:val="e04e39"/>
          <w:sz w:val="72"/>
          <w:szCs w:val="72"/>
        </w:rPr>
        <w:t xml:space="preserve">Dashboard</w:t>
      </w:r>
    </w:p>
    <w:p>
      <w:pPr>
        <w:spacing w:after="200"/>
        <w:jc w:val="center"/>
      </w:pPr>
      <w:r>
        <w:rPr>
          <w:rFonts w:ascii="PT Sans" w:cs="PT Sans" w:eastAsia="PT Sans" w:hAnsi="PT Sans"/>
          <w:color w:val="6b625c"/>
          <w:sz w:val="26"/>
          <w:szCs w:val="26"/>
        </w:rPr>
        <w:t xml:space="preserve">Аналитический портал для управленческих решений</w:t>
      </w:r>
    </w:p>
    <w:p>
      <w:pPr>
        <w:spacing w:before="1200"/>
        <w:jc w:val="center"/>
      </w:pPr>
      <w:r>
        <w:rPr>
          <w:rFonts w:ascii="PT Sans" w:cs="PT Sans" w:eastAsia="PT Sans" w:hAnsi="PT Sans"/>
          <w:b/>
          <w:bCs/>
          <w:color w:val="2c2a29"/>
          <w:sz w:val="44"/>
          <w:szCs w:val="44"/>
        </w:rPr>
        <w:t xml:space="preserve">Руководство администратора</w:t>
      </w:r>
    </w:p>
    <w:p>
      <w:pPr>
        <w:spacing w:after="300"/>
        <w:jc w:val="center"/>
      </w:pPr>
      <w:r>
        <w:rPr>
          <w:rFonts w:ascii="PT Sans" w:cs="PT Sans" w:eastAsia="PT Sans" w:hAnsi="PT Sans"/>
          <w:color w:val="6b625c"/>
          <w:sz w:val="24"/>
          <w:szCs w:val="24"/>
        </w:rPr>
        <w:t xml:space="preserve">Пользователи и роли, данные, доступы, аудит, здоровье системы</w:t>
      </w:r>
    </w:p>
    <w:p>
      <w:pPr>
        <w:spacing w:before="2600"/>
        <w:jc w:val="center"/>
      </w:pPr>
      <w:r>
        <w:rPr>
          <w:rFonts w:ascii="PT Sans" w:cs="PT Sans" w:eastAsia="PT Sans" w:hAnsi="PT Sans"/>
          <w:color w:val="6b625c"/>
          <w:sz w:val="22"/>
          <w:szCs w:val="22"/>
        </w:rPr>
        <w:t xml:space="preserve">Версия 1.0 · июль 2026</w:t>
      </w:r>
    </w:p>
    <w:p>
      <w:pPr>
        <w:jc w:val="center"/>
      </w:pPr>
      <w:r>
        <w:rPr>
          <w:rFonts w:ascii="PT Sans" w:cs="PT Sans" w:eastAsia="PT Sans" w:hAnsi="PT Sans"/>
          <w:color w:val="6b625c"/>
          <w:sz w:val="22"/>
          <w:szCs w:val="22"/>
        </w:rPr>
        <w:t xml:space="preserve">ГБУ «МФЦ ДНР» · первое внедрение · июль 2026</w:t>
      </w:r>
    </w:p>
    <w:p>
      <w:r>
        <w:br w:type="page"/>
      </w:r>
    </w:p>
    <w:p>
      <w:pPr>
        <w:spacing w:after="200"/>
      </w:pPr>
      <w:r>
        <w:rPr>
          <w:rFonts w:ascii="PT Sans" w:cs="PT Sans" w:eastAsia="PT Sans" w:hAnsi="PT Sans"/>
          <w:b/>
          <w:bCs/>
          <w:color w:val="2c2a29"/>
          <w:sz w:val="28"/>
          <w:szCs w:val="28"/>
        </w:rPr>
        <w:t xml:space="preserve">Содержание</w:t>
      </w:r>
    </w:p>
    <w:sdt>
      <w:sdtPr>
        <w:alias w:val="Содержание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1. Роли и модель доступа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Администратор управляет пользователями, правами, справочниками и следит за здоровьем системы. Роли системы: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2100"/>
        <w:gridCol w:w="5640"/>
      </w:tblGrid>
      <w:tr>
        <w:trPr>
          <w:tblHeader/>
        </w:trPr>
        <w:tc>
          <w:tcPr>
            <w:tcW w:type="dxa" w:w="190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Роль</w:t>
            </w:r>
          </w:p>
        </w:tc>
        <w:tc>
          <w:tcPr>
            <w:tcW w:type="dxa" w:w="210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Кто это</w:t>
            </w:r>
          </w:p>
        </w:tc>
        <w:tc>
          <w:tcPr>
            <w:tcW w:type="dxa" w:w="564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Что может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superadmin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Владелец системы</w:t>
            </w:r>
          </w:p>
        </w:tc>
        <w:tc>
          <w:tcPr>
            <w:tcW w:type="dxa" w:w="56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Всё, что admin, + управление любыми пользователями, включая администраторов (сброс пароля, блокировка, роли, удаление). Роль superadmin выдаёт только superadmin.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admin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Администратор</w:t>
            </w:r>
          </w:p>
        </w:tc>
        <w:tc>
          <w:tcPr>
            <w:tcW w:type="dxa" w:w="56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Полный доступ: пользователи, отделы, объекты, метрики, дашборды, модерация, справочники, аудит, отчёты, обслуживание.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moderator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Редактор контента</w:t>
            </w:r>
          </w:p>
        </w:tc>
        <w:tc>
          <w:tcPr>
            <w:tcW w:type="dxa" w:w="56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Данные, метрики, дашборды, модерация. Не управляет пользователями. Свою версию формулы одобрить не может.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senior_moderator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Старший модератор</w:t>
            </w:r>
          </w:p>
        </w:tc>
        <w:tc>
          <w:tcPr>
            <w:tcW w:type="dxa" w:w="56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Привилегированный просмотр и модерация (второй уровень проверки).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user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Зритель</w:t>
            </w:r>
          </w:p>
        </w:tc>
        <w:tc>
          <w:tcPr>
            <w:tcW w:type="dxa" w:w="56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Только выданные ему опубликованные дашборды; данные ограничены RLS.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author / analyst / publisher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Служебные роли</w:t>
            </w:r>
          </w:p>
        </w:tc>
        <w:tc>
          <w:tcPr>
            <w:tcW w:type="dxa" w:w="56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Тонкая настройка процесса публикации (автор/аналитик/публикатор) — используются при необходимости.</w:t>
            </w:r>
          </w:p>
        </w:tc>
      </w:tr>
    </w:tbl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1.1. Три уровня разграничения данных (RLS)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Дашборд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зритель видит дашборд только по гранту и только опубликованным.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Виджет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гранты на отдельные виджеты: если выдан хотя бы один, зритель видит только выданные.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Строки данных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«Доступ к строкам» у объекта: непривилегированный пользователь видит только строки своего отдела (включается на объект; без правил — видят все).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Первый вход владельца: </w:t>
      </w:r>
      <w:r>
        <w:rPr>
          <w:rFonts w:ascii="PT Sans" w:cs="PT Sans" w:eastAsia="PT Sans" w:hAnsi="PT Sans"/>
          <w:color w:val="2c2a29"/>
          <w:sz w:val="20"/>
          <w:szCs w:val="20"/>
        </w:rPr>
        <w:t xml:space="preserve">логин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superadmin</w:t>
      </w:r>
      <w:r>
        <w:rPr>
          <w:rFonts w:ascii="PT Sans" w:cs="PT Sans" w:eastAsia="PT Sans" w:hAnsi="PT Sans"/>
          <w:color w:val="2c2a29"/>
          <w:sz w:val="20"/>
          <w:szCs w:val="20"/>
        </w:rPr>
        <w:t xml:space="preserve">, временный пароль печатается один раз при установке. Система заставит сменить пароль. Учётка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admin</w:t>
      </w:r>
      <w:r>
        <w:rPr>
          <w:rFonts w:ascii="PT Sans" w:cs="PT Sans" w:eastAsia="PT Sans" w:hAnsi="PT Sans"/>
          <w:color w:val="2c2a29"/>
          <w:sz w:val="20"/>
          <w:szCs w:val="20"/>
        </w:rPr>
        <w:t xml:space="preserve"> — тоже с временным паролем из вывода установки.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2. Вход и интерфейс администратора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1. Главная администратора: сводка, ключевые показатели, каталог страниц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 шапке: статус «API: ok · БД ok» (живой индикатор), кнопка «🧭 Настройка» (мастер), колокольчик, переключатель темы, «Выйти». Тем оформления три: светлая, тёмная и сине-золотая «МинЭк ДНР» (по брендбуку Минэкономразвития ДНР) — переключение кнопкой в шапке по кругу. Тёмная тема: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2. Тёмная тема — фирменный вариант оформления; выбор запоминается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3. Мастер первичной настройки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Для пустой системы администратора встречает мастер (кнопка «🧭» в шапке): 7 шагов проведут от отделов до первого дашборда.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3. Мастер первичной настройки: приветствие и шаги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Приветствие и обзор возможностей.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Отделы — создайте структуру подразделений.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Пользователи — заведите сотрудников и выдайте роли.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Объект — создайте первый объект (направление/филиал).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Данные — загрузите первый документ прямо в мастере.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Дашборд — авто-сборка первого дашборда по загруженным данным.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Готово — ссылки на разделы. Мастер можно закрыть навсегда («Больше не показывать») — признак хранится на сервере.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4. Пользователи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41052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4105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4. Раздел «Пользователи»: список, роли, отделы, журнал входов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4.1. Создание пользователя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Раздел «Пользователи» → форма создания: логин, ФИО, отдел, роли.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Пароль задаётся временный — при первом входе система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обязательно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потребует смену (это форсируется на сервере: до смены пароля API отдаёт 403).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Парольная политика: минимум 8 символов, буквы и цифры (настраивается в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.env.prod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: PASSWORD_MIN_LENGTH, PASSWORD_REQUIRE_COMPLEXITY).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4.2. Управление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Сброс пароля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выдаёт новый временный пароль; суперадмин может сбросить пароль любому, включая администраторов.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Блокировка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пользователь не сможет войти; история и авторство сохраняются.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Удаление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«чистый» пользователь (без созданных данных) удаляется совсем; у пользователя с данными система предложит блокировку (защита истории).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Роли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назначаются в карточке; роль superadmin может выдать только superadmin; последнего суперадминистратора система удалить/разжаловать не даст.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Защита от перебора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после 5 неудачных попыток вход по логину блокируется на 15 минут (настраивается), плюс ограничение частоты запросов на уровне веб-сервера.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4.3. Журнал входов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Внизу раздела — «Журнал входов (аудит)»: по каждому пользователю — число входов, неудач, последний вход; лента последних событий с IP и временем. Кнопки «⤓ CSV / ⤓ Excel» выгружают журнал.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5. Объекты и данные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733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73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5. Объекты: структура «объект → папки → документы», версии документов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Полное описание конвейера загрузки — в Руководстве модератора (раздел 2). Администратору важно: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Пагинация списка документов («Показать ещё») — большие папки не тормозят интерфейс.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«🔐 Доступ к строкам»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у объекта — правила row-level RLS: «строка данных → отдел». Включаются на объект: без правил объект виден всем как раньше; с правилами пользователь без отдела не видит строк (fail-closed).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Ретенция: раз в неделю система удаляет выпуски датасетов старше окна хранения (по умолчанию 12 месяцев, RETENTION_MONTHS). Перед первым включением можно посмотреть объём: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POST /maintenance/retention/preview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Свежесть: ежедневно система проверяет «тишину» по объектам (STALE_DAYS, по умолчанию 45 дней) и шлёт уведомления в колокольчик.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6. Метрики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Показатели с версионируемыми формулами и разделением обязанностей (автор ≠ одобряющий). Визуальный конструктор формул позволяет собирать расчёты без кода; предпросмотр считает значение на реальных данных до сохранения. Подробности — Руководство модератора, раздел 3.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44005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4400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6. Метрика: версии формулы (черновик/проверена/одобрена) и визуальный конструктор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7. Дашборды и доступы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Конструктор дашбордов описан в Руководстве модератора (раздел 4). Зона администратора — доступы и публикация: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7. Диалог «Доступ»: гранты на дашборд и отдельные виджеты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Гранты «дашборд» и «виджет» выдаются в диалоге «🔒 Доступ» прямо на дашборде.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Просмотр опубликованного дашборда фиксируется в статистике посещаемости (раздел «Отчёты»).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Комментарии («💬 Обсуждение») может удалять администратор (любые) и автор комментария (свои).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51625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5162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8. Просмотр опубликованного дашборда с фильтрами и экспортом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8. Модерация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9. Раздел «Модерация»: заявки на публикацию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Публикация дашбордов проходит через заявки: автор отправляет «на проверку», проверяющий одобряет или возвращает с комментарием. Администратор видит все заявки и может публиковать без проверки (кнопка в конструкторе). История версий дашборда сохраняется — можно откатиться.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9. Справочники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10. Справочники: канонические поля и категории конвейера данных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Справочники управляют словарём конвейера данных: канонические поля (коды/названия/синонимы для авто-распознавания колонок) и категории. Пополняйте синонимы, если загружаемые документы называют колонки по-новому — распознавание станет точнее.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10. Аудит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9934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9934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11. Аудит действий: фильтры, детали, экспорт CSV/Excel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Каждое значимое действие фиксируется: кто, что, когда, с какого IP (IP приходит через прокси, X-Forwarded-For).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Фильтры по пользователю/действию/периоду; клик по записи — детали.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«⤓ CSV / ⤓ Excel» — выгрузка журнала (до 50 000 строк) для проверок.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11. Отчёты и здоровье системы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63341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6334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12. Отчёты: здоровье системы (CPU/RAM/диск, сервисы), посещаемость, популярность дашбордов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Здоровье системы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обновляется каждые 15 секунд: CPU/RAM/диск, аптайм, размер БД, латентность PostgreSQL/Redis/MinIO.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Кнопка «🔧 Починить»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автопочинка уровня приложения: пересоздаёт бакет MinIO, восстанавливает связь с Redis. Упавшие контейнеры Docker перезапускает сам (restart: unless-stopped), у API и фонового воркера есть health-check.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Посещаемость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входы за 30 дней, активные пользователи, неудачные попытки, входы по дням.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Популярность дашбордов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что реально смотрят руководители.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12. Уведомления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13. Колокольчик: события свежести данных, комментарии, служебные уведомления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Система сама уведомляет: о устаревании данных по объекту, о новых комментариях к вашим дашбордам, о срабатывании порогов виджетов. Красная точка — непрочитанные.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13. Архив дашбордов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Архив хранит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слепки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дашбордов по месяцам: рассчитанные данные всех виджетов замораживаются на момент архивации. Это защищает историческую отчётность от ретенции данных и последующих правок дашбордов.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14. Раздел «Архив»: месячные папки, поиск по названию/теме, карточки слепков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Кто видит раздел: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администраторы и модераторы — всегда; обычные пользователи — только по допуску («🔑 Доступ к архиву»: выдать/отозвать; допущенный видит весь архив).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Важно про данные: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слепок объективен — полные данные без строкового RLS. Поэтому допуск в архив выдавайте осознанно.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Защита: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слепок нельзя отредактировать; удалить может только администратор (с подтверждением). «↩ Вернуть из архива» восстанавливает дашборду прежний статус, слепок остаётся как история.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Автоархивация: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тумблер «📅 автослепок» на дашборде — планировщик 1-го числа в 02:00 сохраняет слепок за прошедший месяц (идемпотентно), дашборд остаётся в работе.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Аудит: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архивация, возврат, выдача/отзыв допуска и удаление слепка фиксируются в журнале («архивация», «возврат из архива», «выдача/отзыв доступа», «удаление»).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14. Эксплуатация (кратко)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Полные процедуры — в документе «Установка и настройка системы». Шпаргалка: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40"/>
      </w:tblGrid>
      <w:tr>
        <w:trPr>
          <w:tblHeader/>
        </w:trPr>
        <w:tc>
          <w:tcPr>
            <w:tcW w:type="dxa" w:w="260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Задача</w:t>
            </w:r>
          </w:p>
        </w:tc>
        <w:tc>
          <w:tcPr>
            <w:tcW w:type="dxa" w:w="704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Как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Ежедневный бэкап</w:t>
            </w:r>
          </w:p>
        </w:tc>
        <w:tc>
          <w:tcPr>
            <w:tcW w:type="dxa" w:w="70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Настроен установщиком автоматически (03:30, хранится 7 наборов). Проверка: sudo ./backup-schedule.sh status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Разовый бэкап</w:t>
            </w:r>
          </w:p>
        </w:tc>
        <w:tc>
          <w:tcPr>
            <w:tcW w:type="dxa" w:w="70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./backup.sh — дамп БД + файлы; восстановимость проверяется сразу (pg_restore --list)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Восстановление</w:t>
            </w:r>
          </w:p>
        </w:tc>
        <w:tc>
          <w:tcPr>
            <w:tcW w:type="dxa" w:w="70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./restore.sh backups/&lt;набор&gt;/db.dump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Обновление версии</w:t>
            </w:r>
          </w:p>
        </w:tc>
        <w:tc>
          <w:tcPr>
            <w:tcW w:type="dxa" w:w="70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Заменить исходники новой версией → ./deploy.sh (накатит только новые миграции)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Диагностика</w:t>
            </w:r>
          </w:p>
        </w:tc>
        <w:tc>
          <w:tcPr>
            <w:tcW w:type="dxa" w:w="70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./diag.sh, ./smoke.sh 8443 https, логи: docker compose -f docker-compose.prod.yml --env-file .env.prod logs api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Мониторинг Grafana</w:t>
            </w:r>
          </w:p>
        </w:tc>
        <w:tc>
          <w:tcPr>
            <w:tcW w:type="dxa" w:w="70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./install.sh --monitoring при установке или docker compose -f docker-compose.monitoring.yml --env-file .env.prod up -d</w:t>
            </w:r>
          </w:p>
        </w:tc>
      </w:tr>
    </w:tbl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15. Осознанно отложенные функции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Рассылка PDF по расписанию (e-mail)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ждёт рабочий SMTP-сервер организации; фундамент готов (экспорт PDF, планировщик arq).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Object-level ACL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(скрыть объект целиком) — признано избыточным поверх трёх уровней RLS; вернуться при реальной потребности.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Keycloak (SSO/MFA)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отложено решением заказчика; текущая авторизация — локальные учётки + JWT.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Алерты Grafana/Alertmanager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базовый мониторинг развёрнут; правила оповещений добавляются при необходимости.</w:t>
      </w:r>
    </w:p>
    <w:sectPr>
      <w:pgSz w:w="11906" w:h="16838" w:orient="portrait"/>
      <w:pgMar w:top="1133" w:right="907" w:bottom="1020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3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3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PT Sans" w:cs="PT Sans" w:eastAsia="PT Sans" w:hAnsi="PT Sans"/>
        <w:color w:val="2c2a29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675114ea20ed25da757409f934155d1bf576fe30.png"/><Relationship Id="rId8" Type="http://schemas.openxmlformats.org/officeDocument/2006/relationships/image" Target="media/59a0f47f4c204d8b8459aa9c59861934b57cd09c.png"/><Relationship Id="rId9" Type="http://schemas.openxmlformats.org/officeDocument/2006/relationships/image" Target="media/59c0ecbf6f4044cd99974d4de8faa8c3745fd07b.png"/><Relationship Id="rId10" Type="http://schemas.openxmlformats.org/officeDocument/2006/relationships/image" Target="media/6df3a085f3a33b6ab8946a0624e28d476ca6f65d.png"/><Relationship Id="rId11" Type="http://schemas.openxmlformats.org/officeDocument/2006/relationships/image" Target="media/ccb0eec1c39cbadffef0611b6190c1fc53c0c3d4.png"/><Relationship Id="rId12" Type="http://schemas.openxmlformats.org/officeDocument/2006/relationships/image" Target="media/109840e80272d3b0b00bb4cf70b760e3743a021b.png"/><Relationship Id="rId13" Type="http://schemas.openxmlformats.org/officeDocument/2006/relationships/image" Target="media/b000d114ddc5225567cd055fea3f7b98daf53396.png"/><Relationship Id="rId14" Type="http://schemas.openxmlformats.org/officeDocument/2006/relationships/image" Target="media/3217df6bcc47e95dce9fb101a52eb061616b6d99.png"/><Relationship Id="rId15" Type="http://schemas.openxmlformats.org/officeDocument/2006/relationships/image" Target="media/03426d8445df2572322efbd35f94966fd342fe6f.png"/><Relationship Id="rId16" Type="http://schemas.openxmlformats.org/officeDocument/2006/relationships/image" Target="media/09fe716796fa366536680dcbe0fe5bd41ebf6c84.png"/><Relationship Id="rId17" Type="http://schemas.openxmlformats.org/officeDocument/2006/relationships/image" Target="media/e3e9aa3d84c528fcc6147a6f44047507f7ffafe6.png"/><Relationship Id="rId18" Type="http://schemas.openxmlformats.org/officeDocument/2006/relationships/image" Target="media/a880fb06f6e387f3f43d0d52780f5040b01ab56d.png"/><Relationship Id="rId19" Type="http://schemas.openxmlformats.org/officeDocument/2006/relationships/image" Target="media/8aade199970dbc48192959a82b3773b515fa6976.png"/><Relationship Id="rId20" Type="http://schemas.openxmlformats.org/officeDocument/2006/relationships/image" Target="media/7c9998ff24dce92e75607156d04f79e8b62d116e.png"/><Relationship Id="rId2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2026-07-26T16:50:03.169Z</dcterms:created>
  <dcterms:modified xsi:type="dcterms:W3CDTF">2026-07-26T16:50:03.169Z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