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/>
      </w:pPr>
    </w:p>
    <w:p>
      <w:pPr>
        <w:jc w:val="center"/>
      </w:pPr>
      <w:r>
        <w:rPr>
          <w:rFonts w:ascii="PT Sans" w:cs="PT Sans" w:eastAsia="PT Sans" w:hAnsi="PT Sans"/>
          <w:b/>
          <w:bCs/>
          <w:color w:val="e04e39"/>
          <w:sz w:val="72"/>
          <w:szCs w:val="72"/>
        </w:rPr>
        <w:t xml:space="preserve">Dashboard</w:t>
      </w:r>
    </w:p>
    <w:p>
      <w:pPr>
        <w:spacing w:after="200"/>
        <w:jc w:val="center"/>
      </w:pPr>
      <w:r>
        <w:rPr>
          <w:rFonts w:ascii="PT Sans" w:cs="PT Sans" w:eastAsia="PT Sans" w:hAnsi="PT Sans"/>
          <w:color w:val="6b625c"/>
          <w:sz w:val="26"/>
          <w:szCs w:val="26"/>
        </w:rPr>
        <w:t xml:space="preserve">Аналитический портал для управленческих решений</w:t>
      </w:r>
    </w:p>
    <w:p>
      <w:pPr>
        <w:spacing w:before="1200"/>
        <w:jc w:val="center"/>
      </w:pPr>
      <w:r>
        <w:rPr>
          <w:rFonts w:ascii="PT Sans" w:cs="PT Sans" w:eastAsia="PT Sans" w:hAnsi="PT Sans"/>
          <w:b/>
          <w:bCs/>
          <w:color w:val="2c2a29"/>
          <w:sz w:val="44"/>
          <w:szCs w:val="44"/>
        </w:rPr>
        <w:t xml:space="preserve">Паспорт системы</w:t>
      </w:r>
    </w:p>
    <w:p>
      <w:pPr>
        <w:spacing w:after="300"/>
        <w:jc w:val="center"/>
      </w:pPr>
      <w:r>
        <w:rPr>
          <w:rFonts w:ascii="PT Sans" w:cs="PT Sans" w:eastAsia="PT Sans" w:hAnsi="PT Sans"/>
          <w:color w:val="6b625c"/>
          <w:sz w:val="24"/>
          <w:szCs w:val="24"/>
        </w:rPr>
        <w:t xml:space="preserve">Назначение, архитектура, функции, безопасность, качество</w:t>
      </w:r>
    </w:p>
    <w:p>
      <w:pPr>
        <w:spacing w:before="2600"/>
        <w:jc w:val="center"/>
      </w:pPr>
      <w:r>
        <w:rPr>
          <w:rFonts w:ascii="PT Sans" w:cs="PT Sans" w:eastAsia="PT Sans" w:hAnsi="PT Sans"/>
          <w:color w:val="6b625c"/>
          <w:sz w:val="22"/>
          <w:szCs w:val="22"/>
        </w:rPr>
        <w:t xml:space="preserve">Версия 1.1 · июль 2026</w:t>
      </w:r>
    </w:p>
    <w:p>
      <w:pPr>
        <w:jc w:val="center"/>
      </w:pPr>
      <w:r>
        <w:rPr>
          <w:rFonts w:ascii="PT Sans" w:cs="PT Sans" w:eastAsia="PT Sans" w:hAnsi="PT Sans"/>
          <w:color w:val="6b625c"/>
          <w:sz w:val="22"/>
          <w:szCs w:val="22"/>
        </w:rPr>
        <w:t xml:space="preserve">ГБУ «МФЦ ДНР» · первое внедрение · июль 2026</w:t>
      </w:r>
    </w:p>
    <w:p>
      <w:r>
        <w:br w:type="page"/>
      </w:r>
    </w:p>
    <w:p>
      <w:pPr>
        <w:spacing w:after="200"/>
      </w:pPr>
      <w:r>
        <w:rPr>
          <w:rFonts w:ascii="PT Sans" w:cs="PT Sans" w:eastAsia="PT Sans" w:hAnsi="PT Sans"/>
          <w:b/>
          <w:bCs/>
          <w:color w:val="2c2a29"/>
          <w:sz w:val="28"/>
          <w:szCs w:val="28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1. Назначение</w:t>
      </w:r>
    </w:p>
    <w:p>
      <w:pPr>
        <w:spacing w:after="120" w:line="30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Dashboard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корпоративная BI-платформа (аналитический портал) для принятия управленческих решений на основе данных. Первое внедрение — ГБУ «МФЦ ДНР»; платформа универсальна и применима в любой организации. Целевая среда: Astra Linux SE, локальная сеть, в том числе полностью офлайн-контур.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Ключевая идея: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полная прозрачность показателей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любое число на дашборде раскрывается до формулы, источников и первичных строк данных.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1. Главная-витрина: сводка организации и ключевые показатели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2. Функциональные возможности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2.1. Данные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Структура «объект → папки → документы» с версионированием документов.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Конвейер загрузки: Excel (.xlsx/.xls), CSV, Word (таблицы), PDF (текстовый слой); авто-распознавание колонок по справочнику канонических полей и синонимов; валидация при загрузке; лимит 50 МБ (форсируется и на сервере).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Выпуски датасетов (dataset releases) с отчётными периодами; история; актуальный выпуск для виджетов.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Жизненный цикл: контроль свежести (уведомления), ретенция по скользящему окну, планировщик фоновых задач (arq/Redis).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2.2. Показатели (метрики)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Версионируемые формулы со статусами черновик → проверена → одобрена; разделение обязанностей (автор не одобряет свою формулу).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Визуальный конструктор формул (без кода) + текстовый DSL для экспертов; предпросмотр значения до сохранения.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Функции: агрегаты (SUM/AVG/MIN/MAX/COUNT), арифметика, PLAN_FACT_PCT, PERCENT_OF; оконные: RUNNING_TOTAL, PERIOD_COMPARE (в т.ч. год-к-году), SHARE_OF_TOTAL.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Прозрачность: расширенное описание показателя, раскрытие «🔍 подробнее» до формулы и первичных строк.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2.3. Дашборды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16 типов виджетов: KPI, спидометр, план-факт, столбцы, линия, круговая, динамика,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год к году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, сравнение (мультисерия), водопад, сравнение подразделений, таблица, тепловая карта, сводная, текст, картинка.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Конструктор: страницы, drag-and-drop раскладка, галерея типов с превью, живой предпросмотр, подсказки «i», цели/бенчмарки, линия тренда, пороговые подсветки (алерты), свой фильтр виджета.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Фильтры страницы (период, строка), cross-filter кликом по диаграмме, пресеты фильтров, сравнение периодов.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Способы создания: вручную, авто-сборка из объекта, из шаблона (с мастером перепривязки источников).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Публикация через модерацию (черновик → проверка → публикация), история версий, витрина/ТВ-режим, экспорт PDF/Excel/PNG.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Совместная работа: обсуждения дашбордов, уведомления, избранное, поиск, статистика просмотров.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Архив дашбордов: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слепки данных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по месячным папкам (замороженные данные переживают ретенцию), темы с автоподсказкой, поиск, избирательный доступ, ежемесячная автоархивация по расписанию, Excel-экспорт слепка, аудит всех действий.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2. Галерея типов виджетов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2.4. Администрирование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Пользователи/роли/отделы, суперадминистратор, обязательная смена временного пароля (серверный форс), парольные политики, блокировка перебора.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Мастер первичной настройки (7 шагов), панель здоровья с автопочинкой, аудит действий с экспортом, журнал входов, посещаемость.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Справочники конвейера, уведомления (колокольчик), три темы оформления: светлая и тёмная «Мои Документы» и сине-золотая «МинЭк ДНР» (Brand Book 2026 Минэкономразвития ДНР), все шрифты встроены (офлайн).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3. Архитектура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940"/>
      </w:tblGrid>
      <w:tr>
        <w:trPr>
          <w:tblHeader/>
        </w:trPr>
        <w:tc>
          <w:tcPr>
            <w:tcW w:type="dxa" w:w="1500"/>
            <w:shd w:fill="f7e3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/>
                <w:bCs/>
                <w:color w:val="2c2a29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3200"/>
            <w:shd w:fill="f7e3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/>
                <w:bCs/>
                <w:color w:val="2c2a29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4940"/>
            <w:shd w:fill="f7e3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/>
                <w:bCs/>
                <w:color w:val="2c2a29"/>
                <w:sz w:val="20"/>
                <w:szCs w:val="20"/>
              </w:rPr>
              <w:t xml:space="preserve">Роль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web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nginx + React 18/TypeScript/Vite, ECharts</w:t>
            </w:r>
          </w:p>
        </w:tc>
        <w:tc>
          <w:tcPr>
            <w:tcW w:type="dxa" w:w="49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SPA-интерфейс; nginx раздаёт статику, проксирует API, TLS, gzip, security-заголовки, rate-limit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api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Python 3.12 / FastAPI / asyncpg</w:t>
            </w:r>
          </w:p>
        </w:tc>
        <w:tc>
          <w:tcPr>
            <w:tcW w:type="dxa" w:w="49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REST API, бизнес-логика, RBAC/RLS, движок формул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worker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arq (Redis)</w:t>
            </w:r>
          </w:p>
        </w:tc>
        <w:tc>
          <w:tcPr>
            <w:tcW w:type="dxa" w:w="49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Фоновые задачи: извлечение документов, свежесть, ретенция, автоархив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postgres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49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Основное хранилище (27 миграций с трекингом)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redis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Redis 7</w:t>
            </w:r>
          </w:p>
        </w:tc>
        <w:tc>
          <w:tcPr>
            <w:tcW w:type="dxa" w:w="49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Кэш, очереди, блокировки входа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minio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MinIO (S3)</w:t>
            </w:r>
          </w:p>
        </w:tc>
        <w:tc>
          <w:tcPr>
            <w:tcW w:type="dxa" w:w="49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Файловое хранилище документов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мониторинг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Prometheus, Grafana, Loki, promtail, node-exporter, cAdvisor</w:t>
            </w:r>
          </w:p>
        </w:tc>
        <w:tc>
          <w:tcPr>
            <w:tcW w:type="dxa" w:w="49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Метрики, логи, готовый обзорный дашборд (опционально)</w:t>
            </w:r>
          </w:p>
        </w:tc>
      </w:tr>
    </w:tbl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Все компоненты — Docker-контейнеры (compose); наружу открыт только веб-порт. Порядок старта гарантирован health-check-ами: БД → миграции → API/воркер → веб.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4. Ролевая модель и доступ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superadmin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владелец: управление любыми пользователями, включая администраторов.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admin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полный доступ к системе и контенту.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moderator / senior_moderator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контент и модерация; свою формулу одобрить нельзя.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user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только выданные опубликованные дашборды; архив — по допуску.</w:t>
      </w:r>
    </w:p>
    <w:p>
      <w:pPr>
        <w:spacing w:after="120" w:line="30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Три уровня RLS: 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дашборд (гранты) → виджет (частичные гранты) → строка данных (по отделу пользователя, fail-closed). Плюс модерационный гейт: зритель видит только опубликованную версию.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5. Безопасность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JWT-авторизация; bcrypt-хэши паролей; обязательная смена временного пароля (серверный форс 403).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Парольная политика (длина/сложность), блокировка перебора (приложение) + rate-limit /auth/login (nginx).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TLS в LAN (самоподписанный, HSTS, редирект HTTP→HTTPS); security-заголовки: CSP, X-Frame-Options, X-Content-Type-Options, Referrer-Policy.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Аудит действий (кто/что/когда/IP), журнал входов, экспорт журналов.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СУБД/Redis/MinIO без внешних портов; секреты в .env.prod (600), генерируются автоматически; параметризованные SQL-запросы; React-экранирование (нет XSS-поверхности).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Ежедневный бэкап с ротацией и проверкой восстановимости; восстановление одним скриптом.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6. Эксплуатационные свойства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Развёртывание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одной командой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(install.sh): секреты, TLS, миграции, запуск, smoke, автобэкап; офлайн-бандл образов для изолированных серверов (11 образов, включая мониторинг).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Идемпотентное обновление (deploy.sh накатывает только новые миграции).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Наблюдаемость: /internal/metrics (Prometheus), готовый Grafana-дашборд, логи в Loki; панель здоровья и автопочинка в самом приложении.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Ротация docker-логов (10 МБ × 3), лимиты памяти всех сервисов, health-check API и воркера, автоперезапуск контейнеров.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Диагностика: diag.sh, smoke.sh, журнал деплой-фазы.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7. Качество и проверенность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Автотесты: 93 бэкенд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(pytest, интеграционные против реальной БД) +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18 фронтенд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(vitest); TypeScript строгий (tsc 0 ошибок).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CI (GitHub Actions): фронтенд (tsc+тесты+сборка), бэкенд (компиляция), миграции на чистой БД.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Репетиция целевого развёртывания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: ручной workflow на нативном amd64 прогоняет всю цепочку — сборка офлайн-бандла → офлайн-установка → smoke → мониторинг → бэкап; прогон полностью зелёный.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Ключевые пользовательские сценарии проверены вживую в браузере на каждом этапе разработки.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8. Известные ограничения и отложенные функции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Рассылка PDF по расписанию — ожидает SMTP-сервер организации (фундамент готов).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Object-level ACL (скрытие объекта целиком) — отложено как избыточное поверх трёх уровней RLS.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SSO/MFA (Keycloak) — отложено решением заказчика; авторизация локальными учётками.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Виджет «Сравнение подразделений» — осознанно кросс-объектный (не фильтруется row-RLS): это управленческий срез по всем филиалам.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9. Состав поставки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urier New" w:cs="Courier New" w:eastAsia="Courier New" w:hAnsi="Courier New"/>
          <w:color w:val="8a2f1f"/>
          <w:sz w:val="20"/>
          <w:szCs w:val="20"/>
        </w:rPr>
        <w:t xml:space="preserve">Final_v.1.tar / .zip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исходники, скрипты развёртывания, документация.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urier New" w:cs="Courier New" w:eastAsia="Courier New" w:hAnsi="Courier New"/>
          <w:color w:val="8a2f1f"/>
          <w:sz w:val="20"/>
          <w:szCs w:val="20"/>
        </w:rPr>
        <w:t xml:space="preserve">dashbord-images.tar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офлайн-бандл Docker-образов (собирается bundle-images.sh или workflow «Офлайн-бандл (amd64)»).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Документация (docs/): Паспорт системы, Установка и настройка, Руководства администратора / модератора / пользователя (.docx), журнал требований и решений; генератор документации — tools/docgen.</w:t>
      </w:r>
    </w:p>
    <w:sectPr>
      <w:pgSz w:w="11906" w:h="16838" w:orient="portrait"/>
      <w:pgMar w:top="1133" w:right="907" w:bottom="1020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T Sans" w:cs="PT Sans" w:eastAsia="PT Sans" w:hAnsi="PT Sans"/>
        <w:color w:val="2c2a2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b574d09c9e0e0c2d495aa10bb964c4bf04e193d.png"/><Relationship Id="rId8" Type="http://schemas.openxmlformats.org/officeDocument/2006/relationships/image" Target="media/769463bc58c76d8a709835e2a4fc5e9c2a8e022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2026-07-27T20:26:14.472Z</dcterms:created>
  <dcterms:modified xsi:type="dcterms:W3CDTF">2026-07-27T20:26:14.473Z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