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Реестр архитектурных решений — Система дашбордов</w:t>
      </w:r>
    </w:p>
    <w:p>
      <w:pPr>
        <w:pStyle w:val="Heading2"/>
      </w:pPr>
      <w:r>
        <w:t>Гранулярность доступа (Вопрос 13, уточнено)</w:t>
      </w:r>
    </w:p>
    <w:p>
      <w:r>
        <w:rPr>
          <w:b/>
        </w:rPr>
        <w:t xml:space="preserve">Решение: </w:t>
      </w:r>
      <w:r>
        <w:t>Трёхуровневая модель доступа — Папка документов → Дашборд → Виджет/блок внутри дашборда.</w:t>
      </w:r>
    </w:p>
    <w:p>
      <w:r>
        <w:rPr>
          <w:b/>
        </w:rPr>
        <w:t>Детали:</w:t>
      </w:r>
    </w:p>
    <w:p>
      <w:pPr>
        <w:pStyle w:val="ListBullet"/>
      </w:pPr>
      <w:r>
        <w:t>Каждый виджет имеет собственный список разрешённых ролей/пользователей, независимый от прав дашборда.</w:t>
      </w:r>
    </w:p>
    <w:p>
      <w:pPr>
        <w:pStyle w:val="ListBullet"/>
      </w:pPr>
      <w:r>
        <w:t>При отсутствии доступа к виджету — показывается плейсхолдер "Нет доступа", а не пустое место.</w:t>
      </w:r>
    </w:p>
    <w:p>
      <w:pPr>
        <w:pStyle w:val="ListBullet"/>
      </w:pPr>
      <w:r>
        <w:t>В конструкторе виджета есть поле "Кто видит этот блок" с наследованием от родительского дашборда по умолчанию.</w:t>
      </w:r>
    </w:p>
    <w:p>
      <w:pPr>
        <w:pStyle w:val="ListBullet"/>
      </w:pPr>
      <w:r>
        <w:t>Новый виджет без назначенных прав триггерит уведомление администратору/модератору.</w:t>
      </w:r>
    </w:p>
    <w:p>
      <w:pPr>
        <w:pStyle w:val="ListBullet"/>
      </w:pPr>
      <w:r>
        <w:t>Row-level security (доступ к отдельным строкам/значениям) — вне MVP, отложено до появления подразделений.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