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08 · Конструктор дашбордов и виджеты</w:t>
      </w:r>
    </w:p>
    <w:p>
      <w:r>
        <w:rPr>
          <w:i/>
          <w:color w:val="6B7280"/>
          <w:sz w:val="21"/>
        </w:rPr>
        <w:t>Как из метрик собирается интерактивный дашборд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Согласованные решения (2026-07-11)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2551"/>
          </w:tcPr>
          <w:p>
            <w:r/>
            <w:r>
              <w:t>Типы виджетов MVP</w:t>
            </w:r>
          </w:p>
        </w:tc>
        <w:tc>
          <w:tcPr>
            <w:tcW w:type="dxa" w:w="6803"/>
          </w:tcPr>
          <w:p>
            <w:r/>
            <w:r>
              <w:t>KPI-карточка, таблица, линейный график, столбчатый, круговая, план/факт</w:t>
            </w:r>
          </w:p>
        </w:tc>
      </w:tr>
      <w:tr>
        <w:tc>
          <w:tcPr>
            <w:tcW w:type="dxa" w:w="2551"/>
          </w:tcPr>
          <w:p>
            <w:r/>
            <w:r>
              <w:t>Виджеты фазы 2</w:t>
            </w:r>
          </w:p>
        </w:tc>
        <w:tc>
          <w:tcPr>
            <w:tcW w:type="dxa" w:w="6803"/>
          </w:tcPr>
          <w:p>
            <w:r/>
            <w:r>
              <w:t>Карта (география), воронка, radar, тепловая карта и др.</w:t>
            </w:r>
          </w:p>
        </w:tc>
      </w:tr>
      <w:tr>
        <w:tc>
          <w:tcPr>
            <w:tcW w:type="dxa" w:w="2551"/>
          </w:tcPr>
          <w:p>
            <w:r/>
            <w:r>
              <w:t>Тултипы</w:t>
            </w:r>
          </w:p>
        </w:tc>
        <w:tc>
          <w:tcPr>
            <w:tcW w:type="dxa" w:w="6803"/>
          </w:tcPr>
          <w:p>
            <w:r/>
            <w:r>
              <w:t>По умолчанию из описания метрики; автор может переопределить вручную</w:t>
            </w:r>
          </w:p>
        </w:tc>
      </w:tr>
      <w:tr>
        <w:tc>
          <w:tcPr>
            <w:tcW w:type="dxa" w:w="2551"/>
          </w:tcPr>
          <w:p>
            <w:r/>
            <w:r>
              <w:t>Раскрытие по клику</w:t>
            </w:r>
          </w:p>
        </w:tc>
        <w:tc>
          <w:tcPr>
            <w:tcW w:type="dxa" w:w="6803"/>
          </w:tcPr>
          <w:p>
            <w:r/>
            <w:r>
              <w:t>Декомпозиция формулы + проваливание в первичные строки документа</w:t>
            </w:r>
          </w:p>
        </w:tc>
      </w:tr>
      <w:tr>
        <w:tc>
          <w:tcPr>
            <w:tcW w:type="dxa" w:w="2551"/>
          </w:tcPr>
          <w:p>
            <w:r/>
            <w:r>
              <w:t>Шаблоны</w:t>
            </w:r>
          </w:p>
        </w:tc>
        <w:tc>
          <w:tcPr>
            <w:tcW w:type="dxa" w:w="6803"/>
          </w:tcPr>
          <w:p>
            <w:r/>
            <w:r>
              <w:t>И готовые шаблоны, и сборка с нуля</w:t>
            </w:r>
          </w:p>
        </w:tc>
      </w:tr>
      <w:tr>
        <w:tc>
          <w:tcPr>
            <w:tcW w:type="dxa" w:w="2551"/>
          </w:tcPr>
          <w:p>
            <w:r/>
            <w:r>
              <w:t>Кто собирает</w:t>
            </w:r>
          </w:p>
        </w:tc>
        <w:tc>
          <w:tcPr>
            <w:tcW w:type="dxa" w:w="6803"/>
          </w:tcPr>
          <w:p>
            <w:r/>
            <w:r>
              <w:t>Администратор и модератор; публикация — только через модерацию</w:t>
            </w:r>
          </w:p>
        </w:tc>
      </w:tr>
    </w:tbl>
    <w:p>
      <w:pPr>
        <w:pStyle w:val="Heading1"/>
      </w:pPr>
      <w:r>
        <w:rPr>
          <w:color w:val="2F5496"/>
        </w:rPr>
        <w:t>Виджеты MVP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</w:rPr>
              <w:t>Виджет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r/>
            <w:r>
              <w:t>KPI-карточка</w:t>
            </w:r>
          </w:p>
        </w:tc>
        <w:tc>
          <w:tcPr>
            <w:tcW w:type="dxa" w:w="7087"/>
          </w:tcPr>
          <w:p>
            <w:r/>
            <w:r>
              <w:t>Одно ключевое число + динамика/дельта, с тултипом и раскрытием</w:t>
            </w:r>
          </w:p>
        </w:tc>
      </w:tr>
      <w:tr>
        <w:tc>
          <w:tcPr>
            <w:tcW w:type="dxa" w:w="2268"/>
          </w:tcPr>
          <w:p>
            <w:r/>
            <w:r>
              <w:t>Таблица</w:t>
            </w:r>
          </w:p>
        </w:tc>
        <w:tc>
          <w:tcPr>
            <w:tcW w:type="dxa" w:w="7087"/>
          </w:tcPr>
          <w:p>
            <w:r/>
            <w:r>
              <w:t>Табличные данные, сортировка, при необходимости pivot</w:t>
            </w:r>
          </w:p>
        </w:tc>
      </w:tr>
      <w:tr>
        <w:tc>
          <w:tcPr>
            <w:tcW w:type="dxa" w:w="2268"/>
          </w:tcPr>
          <w:p>
            <w:r/>
            <w:r>
              <w:t>Линейный график</w:t>
            </w:r>
          </w:p>
        </w:tc>
        <w:tc>
          <w:tcPr>
            <w:tcW w:type="dxa" w:w="7087"/>
          </w:tcPr>
          <w:p>
            <w:r/>
            <w:r>
              <w:t>Динамика показателя во времени, сравнение периодов</w:t>
            </w:r>
          </w:p>
        </w:tc>
      </w:tr>
      <w:tr>
        <w:tc>
          <w:tcPr>
            <w:tcW w:type="dxa" w:w="2268"/>
          </w:tcPr>
          <w:p>
            <w:r/>
            <w:r>
              <w:t>Столбчатый график</w:t>
            </w:r>
          </w:p>
        </w:tc>
        <w:tc>
          <w:tcPr>
            <w:tcW w:type="dxa" w:w="7087"/>
          </w:tcPr>
          <w:p>
            <w:r/>
            <w:r>
              <w:t>Сравнение по категориям/подразделениям</w:t>
            </w:r>
          </w:p>
        </w:tc>
      </w:tr>
      <w:tr>
        <w:tc>
          <w:tcPr>
            <w:tcW w:type="dxa" w:w="2268"/>
          </w:tcPr>
          <w:p>
            <w:r/>
            <w:r>
              <w:t>Круговая / доля</w:t>
            </w:r>
          </w:p>
        </w:tc>
        <w:tc>
          <w:tcPr>
            <w:tcW w:type="dxa" w:w="7087"/>
          </w:tcPr>
          <w:p>
            <w:r/>
            <w:r>
              <w:t>Структура: доля частей в целом</w:t>
            </w:r>
          </w:p>
        </w:tc>
      </w:tr>
      <w:tr>
        <w:tc>
          <w:tcPr>
            <w:tcW w:type="dxa" w:w="2268"/>
          </w:tcPr>
          <w:p>
            <w:r/>
            <w:r>
              <w:t>План / факт</w:t>
            </w:r>
          </w:p>
        </w:tc>
        <w:tc>
          <w:tcPr>
            <w:tcW w:type="dxa" w:w="7087"/>
          </w:tcPr>
          <w:p>
            <w:r/>
            <w:r>
              <w:t>Сравнение план vs факт, отклонение (абс./%)</w:t>
            </w:r>
          </w:p>
        </w:tc>
      </w:tr>
    </w:tbl>
    <w:p>
      <w:pPr>
        <w:pStyle w:val="Heading1"/>
      </w:pPr>
      <w:r>
        <w:rPr>
          <w:color w:val="2F5496"/>
        </w:rPr>
        <w:t>Компоновка (сетка)</w:t>
      </w:r>
    </w:p>
    <w:p>
      <w:pPr>
        <w:pStyle w:val="ListBullet"/>
      </w:pPr>
      <w:r>
        <w:t>Drag-and-drop сетка: перетаскивание, изменение размеров виджетов.</w:t>
      </w:r>
    </w:p>
    <w:p>
      <w:pPr>
        <w:pStyle w:val="ListBullet"/>
      </w:pPr>
      <w:r>
        <w:t>Редактирование названия любого блока дашборда.</w:t>
      </w:r>
    </w:p>
    <w:p>
      <w:pPr>
        <w:pStyle w:val="ListBullet"/>
      </w:pPr>
      <w:r>
        <w:t>Перемещение/изменение расположения блоков и дашбордов (администратор).</w:t>
      </w:r>
    </w:p>
    <w:p>
      <w:pPr>
        <w:pStyle w:val="ListBullet"/>
      </w:pPr>
      <w:r>
        <w:t>Произвольное переименование самого дашборда.</w:t>
      </w:r>
    </w:p>
    <w:p>
      <w:pPr>
        <w:pStyle w:val="Heading1"/>
      </w:pPr>
      <w:r>
        <w:rPr>
          <w:color w:val="2F5496"/>
        </w:rPr>
        <w:t>Привязка виджета к данным</w:t>
      </w:r>
    </w:p>
    <w:p>
      <w:pPr>
        <w:pStyle w:val="ListBullet"/>
      </w:pPr>
      <w:r>
        <w:t>Виджет ссылается на одну или несколько версий метрик (metric_version_ids).</w:t>
      </w:r>
    </w:p>
    <w:p>
      <w:pPr>
        <w:pStyle w:val="ListBullet"/>
      </w:pPr>
      <w:r>
        <w:t>Из одного файла/датасета можно построить несколько виджетов и дашбордов (разные данные).</w:t>
      </w:r>
    </w:p>
    <w:p>
      <w:pPr>
        <w:pStyle w:val="ListBullet"/>
      </w:pPr>
      <w:r>
        <w:t>Конфигурация виджета (тип визуализации, оси, цвета, формат) хранится в версии виджета.</w:t>
      </w:r>
    </w:p>
    <w:p>
      <w:pPr>
        <w:pStyle w:val="Heading1"/>
      </w:pPr>
      <w:r>
        <w:rPr>
          <w:color w:val="2F5496"/>
        </w:rPr>
        <w:t>Тултипы и пояснения</w:t>
      </w:r>
    </w:p>
    <w:p>
      <w:pPr>
        <w:pStyle w:val="ListBullet"/>
      </w:pPr>
      <w:r>
        <w:t>У каждого значения — всплывающее пояснение при наведении мышью.</w:t>
      </w:r>
    </w:p>
    <w:p>
      <w:pPr>
        <w:pStyle w:val="ListBullet"/>
      </w:pPr>
      <w:r>
        <w:t>Текст по умолчанию берётся из описания метрики; автор может переопределить на конкретном виджете.</w:t>
      </w:r>
    </w:p>
    <w:p>
      <w:pPr>
        <w:pStyle w:val="Heading1"/>
      </w:pPr>
      <w:r>
        <w:rPr>
          <w:color w:val="2F5496"/>
        </w:rPr>
        <w:t>Раскрытие значения (drill-down)</w:t>
      </w:r>
    </w:p>
    <w:p>
      <w:pPr>
        <w:pStyle w:val="ListBullet"/>
      </w:pPr>
      <w:r>
        <w:t>Уровень 1 — декомпозиция формулы: из чего состоит показатель (компоненты, формула, источники).</w:t>
      </w:r>
    </w:p>
    <w:p>
      <w:pPr>
        <w:pStyle w:val="ListBullet"/>
      </w:pPr>
      <w:r>
        <w:t>Уровень 2 — проваливание в первичные строки документа, из которых собран показатель.</w:t>
      </w:r>
    </w:p>
    <w:p>
      <w:pPr>
        <w:pStyle w:val="ListBullet"/>
      </w:pPr>
      <w:r>
        <w:t>Уровень 3 — РАСШИРЕННАЯ ИНФОРМАЦИЯ по показателю: текстовое пояснение, которое заполняет модератор (необязательное поле). Если не заполнено — показывается сообщение «Информации нет, в разработке».</w:t>
      </w:r>
    </w:p>
    <w:p>
      <w:pPr>
        <w:pStyle w:val="ListBullet"/>
      </w:pPr>
      <w:r>
        <w:t>Раскрытие учитывает права: скрытые данные не показываются.</w:t>
      </w:r>
    </w:p>
    <w:p>
      <w:pPr>
        <w:pStyle w:val="Heading1"/>
      </w:pPr>
      <w:r>
        <w:rPr>
          <w:color w:val="2F5496"/>
        </w:rPr>
        <w:t>Фильтры (см. документ 16)</w:t>
      </w:r>
    </w:p>
    <w:p>
      <w:pPr>
        <w:pStyle w:val="ListBullet"/>
      </w:pPr>
      <w:r>
        <w:t>Глобальные фильтры дашборда + собственные фильтры виджета (как Power BI).</w:t>
      </w:r>
    </w:p>
    <w:p>
      <w:pPr>
        <w:pStyle w:val="ListBullet"/>
      </w:pPr>
      <w:r>
        <w:t>Сохраняемые пресеты фильтров.</w:t>
      </w:r>
    </w:p>
    <w:p>
      <w:pPr>
        <w:pStyle w:val="Heading1"/>
      </w:pPr>
      <w:r>
        <w:rPr>
          <w:color w:val="2F5496"/>
        </w:rPr>
        <w:t>Шаблоны дашбордов</w:t>
      </w:r>
    </w:p>
    <w:p>
      <w:pPr>
        <w:pStyle w:val="ListBullet"/>
      </w:pPr>
      <w:r>
        <w:t>Готовые шаблоны для быстрого старта (например, «KPI-обзор», «Таблица-отчёт»).</w:t>
      </w:r>
    </w:p>
    <w:p>
      <w:pPr>
        <w:pStyle w:val="ListBullet"/>
      </w:pPr>
      <w:r>
        <w:t>Возможность собрать дашборд с нуля.</w:t>
      </w:r>
    </w:p>
    <w:p>
      <w:pPr>
        <w:pStyle w:val="Heading1"/>
      </w:pPr>
      <w:r>
        <w:rPr>
          <w:color w:val="2F5496"/>
        </w:rPr>
        <w:t>Права и жизненный цикл</w:t>
      </w:r>
    </w:p>
    <w:p>
      <w:pPr>
        <w:pStyle w:val="ListBullet"/>
      </w:pPr>
      <w:r>
        <w:t>Создают/редактируют дашборды администратор и модератор.</w:t>
      </w:r>
    </w:p>
    <w:p>
      <w:pPr>
        <w:pStyle w:val="ListBullet"/>
      </w:pPr>
      <w:r>
        <w:t>Дашборд создаётся как черновик и попадает в эфир только после модерации (см. документ 09).</w:t>
      </w:r>
    </w:p>
    <w:p>
      <w:pPr>
        <w:pStyle w:val="Heading1"/>
      </w:pPr>
      <w:r>
        <w:rPr>
          <w:color w:val="2F5496"/>
        </w:rPr>
        <w:t>Открытые под-вопросы (в реестр 05)</w:t>
      </w:r>
    </w:p>
    <w:p>
      <w:pPr>
        <w:pStyle w:val="ListBullet"/>
      </w:pPr>
      <w:r>
        <w:t>Точный перечень виджетов фазы 2 и приоритет внутри неё.</w:t>
      </w:r>
    </w:p>
    <w:p>
      <w:pPr>
        <w:pStyle w:val="ListBullet"/>
      </w:pPr>
      <w:r>
        <w:t>Нужен ли предпросмотр всего дашборда автором перед отправкой на модерацию.</w:t>
      </w:r>
    </w:p>
    <w:p>
      <w:pPr>
        <w:pStyle w:val="ListBullet"/>
      </w:pPr>
      <w:r>
        <w:t>Набор готовых шаблонов на старте.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