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11 · UX/UI и навигация</w:t>
      </w:r>
    </w:p>
    <w:p>
      <w:r>
        <w:rPr>
          <w:i/>
          <w:color w:val="6B7280"/>
          <w:sz w:val="21"/>
        </w:rPr>
        <w:t>Структура экранов, навигация, стиль, адаптивность</w:t>
      </w:r>
    </w:p>
    <w:p>
      <w:r>
        <w:rPr>
          <w:color w:val="6B7280"/>
          <w:sz w:val="18"/>
        </w:rPr>
        <w:t>Проект «Dashboard» (ГБУ «МФЦ ДНР») · универсальная BI-платформа · черновик 2026-07-11</w:t>
      </w:r>
    </w:p>
    <w:p/>
    <w:p>
      <w:pPr>
        <w:pStyle w:val="Heading1"/>
      </w:pPr>
      <w:r>
        <w:rPr>
          <w:color w:val="2F5496"/>
        </w:rPr>
        <w:t>Согласованные решения (2026-07-11)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7087"/>
          </w:tcPr>
          <w:p>
            <w:r/>
            <w:r>
              <w:rPr>
                <w:b/>
              </w:rPr>
              <w:t>Решение</w:t>
            </w:r>
          </w:p>
        </w:tc>
      </w:tr>
      <w:tr>
        <w:tc>
          <w:tcPr>
            <w:tcW w:type="dxa" w:w="2268"/>
          </w:tcPr>
          <w:p>
            <w:r/>
            <w:r>
              <w:t>Структура</w:t>
            </w:r>
          </w:p>
        </w:tc>
        <w:tc>
          <w:tcPr>
            <w:tcW w:type="dxa" w:w="7087"/>
          </w:tcPr>
          <w:p>
            <w:r/>
            <w:r>
              <w:t>Две зоны: Панель управления (админка) + Viewer (просмотр по ссылке)</w:t>
            </w:r>
          </w:p>
        </w:tc>
      </w:tr>
      <w:tr>
        <w:tc>
          <w:tcPr>
            <w:tcW w:type="dxa" w:w="2268"/>
          </w:tcPr>
          <w:p>
            <w:r/>
            <w:r>
              <w:t>Навигация</w:t>
            </w:r>
          </w:p>
        </w:tc>
        <w:tc>
          <w:tcPr>
            <w:tcW w:type="dxa" w:w="7087"/>
          </w:tcPr>
          <w:p>
            <w:r/>
            <w:r>
              <w:t>Левое меню-разделы + верхняя панель + хлебные крошки</w:t>
            </w:r>
          </w:p>
        </w:tc>
      </w:tr>
      <w:tr>
        <w:tc>
          <w:tcPr>
            <w:tcW w:type="dxa" w:w="2268"/>
          </w:tcPr>
          <w:p>
            <w:r/>
            <w:r>
              <w:t>Тема</w:t>
            </w:r>
          </w:p>
        </w:tc>
        <w:tc>
          <w:tcPr>
            <w:tcW w:type="dxa" w:w="7087"/>
          </w:tcPr>
          <w:p>
            <w:r/>
            <w:r>
              <w:t>Светлая + тёмная; минималистичный BI-стиль</w:t>
            </w:r>
          </w:p>
        </w:tc>
      </w:tr>
      <w:tr>
        <w:tc>
          <w:tcPr>
            <w:tcW w:type="dxa" w:w="2268"/>
          </w:tcPr>
          <w:p>
            <w:r/>
            <w:r>
              <w:t>Адаптивность</w:t>
            </w:r>
          </w:p>
        </w:tc>
        <w:tc>
          <w:tcPr>
            <w:tcW w:type="dxa" w:w="7087"/>
          </w:tcPr>
          <w:p>
            <w:r/>
            <w:r>
              <w:t>Десктоп — основной; планшет/телефон — базовый просмотр</w:t>
            </w:r>
          </w:p>
        </w:tc>
      </w:tr>
      <w:tr>
        <w:tc>
          <w:tcPr>
            <w:tcW w:type="dxa" w:w="2268"/>
          </w:tcPr>
          <w:p>
            <w:r/>
            <w:r>
              <w:t>Брендинг</w:t>
            </w:r>
          </w:p>
        </w:tc>
        <w:tc>
          <w:tcPr>
            <w:tcW w:type="dxa" w:w="7087"/>
          </w:tcPr>
          <w:p>
            <w:r/>
            <w:r>
              <w:t>Из бренд-бука МФЦ (будет предоставлен заказчиком); до этого — нейтральный стиль с подменой лого/цветов</w:t>
            </w:r>
          </w:p>
        </w:tc>
      </w:tr>
      <w:tr>
        <w:tc>
          <w:tcPr>
            <w:tcW w:type="dxa" w:w="2268"/>
          </w:tcPr>
          <w:p>
            <w:r/>
            <w:r>
              <w:t>Язык</w:t>
            </w:r>
          </w:p>
        </w:tc>
        <w:tc>
          <w:tcPr>
            <w:tcW w:type="dxa" w:w="7087"/>
          </w:tcPr>
          <w:p>
            <w:r/>
            <w:r>
              <w:t>Русский</w:t>
            </w:r>
          </w:p>
        </w:tc>
      </w:tr>
    </w:tbl>
    <w:p>
      <w:pPr>
        <w:pStyle w:val="Heading1"/>
      </w:pPr>
      <w:r>
        <w:rPr>
          <w:color w:val="2F5496"/>
        </w:rPr>
        <w:t>Зона A. Панель управления (админка)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</w:rPr>
              <w:t>Раздел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551"/>
          </w:tcPr>
          <w:p>
            <w:r/>
            <w:r>
              <w:t>Объекты и папки</w:t>
            </w:r>
          </w:p>
        </w:tc>
        <w:tc>
          <w:tcPr>
            <w:tcW w:type="dxa" w:w="6803"/>
          </w:tcPr>
          <w:p>
            <w:r/>
            <w:r>
              <w:t>Создание объектов и папок с произвольными названиями</w:t>
            </w:r>
          </w:p>
        </w:tc>
      </w:tr>
      <w:tr>
        <w:tc>
          <w:tcPr>
            <w:tcW w:type="dxa" w:w="2551"/>
          </w:tcPr>
          <w:p>
            <w:r/>
            <w:r>
              <w:t>Документы</w:t>
            </w:r>
          </w:p>
        </w:tc>
        <w:tc>
          <w:tcPr>
            <w:tcW w:type="dxa" w:w="6803"/>
          </w:tcPr>
          <w:p>
            <w:r/>
            <w:r>
              <w:t>Загрузка файлов, распознавание, ручная правка маппинга, отчётная дата</w:t>
            </w:r>
          </w:p>
        </w:tc>
      </w:tr>
      <w:tr>
        <w:tc>
          <w:tcPr>
            <w:tcW w:type="dxa" w:w="2551"/>
          </w:tcPr>
          <w:p>
            <w:r/>
            <w:r>
              <w:t>Метрики и формулы</w:t>
            </w:r>
          </w:p>
        </w:tc>
        <w:tc>
          <w:tcPr>
            <w:tcW w:type="dxa" w:w="6803"/>
          </w:tcPr>
          <w:p>
            <w:r/>
            <w:r>
              <w:t>Конструктор формул (визуальный + текст), предпросмотр, версии</w:t>
            </w:r>
          </w:p>
        </w:tc>
      </w:tr>
      <w:tr>
        <w:tc>
          <w:tcPr>
            <w:tcW w:type="dxa" w:w="2551"/>
          </w:tcPr>
          <w:p>
            <w:r/>
            <w:r>
              <w:t>Конструктор дашбордов</w:t>
            </w:r>
          </w:p>
        </w:tc>
        <w:tc>
          <w:tcPr>
            <w:tcW w:type="dxa" w:w="6803"/>
          </w:tcPr>
          <w:p>
            <w:r/>
            <w:r>
              <w:t>Сборка дашбордов и виджетов, шаблоны, компоновка</w:t>
            </w:r>
          </w:p>
        </w:tc>
      </w:tr>
      <w:tr>
        <w:tc>
          <w:tcPr>
            <w:tcW w:type="dxa" w:w="2551"/>
          </w:tcPr>
          <w:p>
            <w:r/>
            <w:r>
              <w:t>Модерация</w:t>
            </w:r>
          </w:p>
        </w:tc>
        <w:tc>
          <w:tcPr>
            <w:tcW w:type="dxa" w:w="6803"/>
          </w:tcPr>
          <w:p>
            <w:r/>
            <w:r>
              <w:t>Очередь проверки, чек-лист, одобрение/возврат, публикация</w:t>
            </w:r>
          </w:p>
        </w:tc>
      </w:tr>
      <w:tr>
        <w:tc>
          <w:tcPr>
            <w:tcW w:type="dxa" w:w="2551"/>
          </w:tcPr>
          <w:p>
            <w:r/>
            <w:r>
              <w:t>Пользователи и доступ</w:t>
            </w:r>
          </w:p>
        </w:tc>
        <w:tc>
          <w:tcPr>
            <w:tcW w:type="dxa" w:w="6803"/>
          </w:tcPr>
          <w:p>
            <w:r/>
            <w:r>
              <w:t>Управление пользователями; назначение доступа из списка (галочки)</w:t>
            </w:r>
          </w:p>
        </w:tc>
      </w:tr>
      <w:tr>
        <w:tc>
          <w:tcPr>
            <w:tcW w:type="dxa" w:w="2551"/>
          </w:tcPr>
          <w:p>
            <w:r/>
            <w:r>
              <w:t>Отчёты</w:t>
            </w:r>
          </w:p>
        </w:tc>
        <w:tc>
          <w:tcPr>
            <w:tcW w:type="dxa" w:w="6803"/>
          </w:tcPr>
          <w:p>
            <w:r/>
            <w:r>
              <w:t>Три домена: бизнес-показатели, посещаемость/использование, сервер/оборудование</w:t>
            </w:r>
          </w:p>
        </w:tc>
      </w:tr>
      <w:tr>
        <w:tc>
          <w:tcPr>
            <w:tcW w:type="dxa" w:w="2551"/>
          </w:tcPr>
          <w:p>
            <w:r/>
            <w:r>
              <w:t>Мониторинг сервера</w:t>
            </w:r>
          </w:p>
        </w:tc>
        <w:tc>
          <w:tcPr>
            <w:tcW w:type="dxa" w:w="6803"/>
          </w:tcPr>
          <w:p>
            <w:r/>
            <w:r>
              <w:t>CPU, RAM, диск, состояние контейнеров, оповещения по порогам</w:t>
            </w:r>
          </w:p>
        </w:tc>
      </w:tr>
      <w:tr>
        <w:tc>
          <w:tcPr>
            <w:tcW w:type="dxa" w:w="2551"/>
          </w:tcPr>
          <w:p>
            <w:r/>
            <w:r>
              <w:t>Бэкапы</w:t>
            </w:r>
          </w:p>
        </w:tc>
        <w:tc>
          <w:tcPr>
            <w:tcW w:type="dxa" w:w="6803"/>
          </w:tcPr>
          <w:p>
            <w:r/>
            <w:r>
              <w:t>Резервные копии БД и файлов, расписание, восстановление</w:t>
            </w:r>
          </w:p>
        </w:tc>
      </w:tr>
      <w:tr>
        <w:tc>
          <w:tcPr>
            <w:tcW w:type="dxa" w:w="2551"/>
          </w:tcPr>
          <w:p>
            <w:r/>
            <w:r>
              <w:t>Импорт / экспорт</w:t>
            </w:r>
          </w:p>
        </w:tc>
        <w:tc>
          <w:tcPr>
            <w:tcW w:type="dxa" w:w="6803"/>
          </w:tcPr>
          <w:p>
            <w:r/>
            <w:r>
              <w:t>Перенос конфигураций дашбордов/метрик между средами</w:t>
            </w:r>
          </w:p>
        </w:tc>
      </w:tr>
      <w:tr>
        <w:tc>
          <w:tcPr>
            <w:tcW w:type="dxa" w:w="2551"/>
          </w:tcPr>
          <w:p>
            <w:r/>
            <w:r>
              <w:t>Справочники</w:t>
            </w:r>
          </w:p>
        </w:tc>
        <w:tc>
          <w:tcPr>
            <w:tcW w:type="dxa" w:w="6803"/>
          </w:tcPr>
          <w:p>
            <w:r/>
            <w:r>
              <w:t>Перечень услуг и другие справочники (для метрик и модерации)</w:t>
            </w:r>
          </w:p>
        </w:tc>
      </w:tr>
      <w:tr>
        <w:tc>
          <w:tcPr>
            <w:tcW w:type="dxa" w:w="2551"/>
          </w:tcPr>
          <w:p>
            <w:r/>
            <w:r>
              <w:t>Служебные документы</w:t>
            </w:r>
          </w:p>
        </w:tc>
        <w:tc>
          <w:tcPr>
            <w:tcW w:type="dxa" w:w="6803"/>
          </w:tcPr>
          <w:p>
            <w:r/>
            <w:r>
              <w:t>Загрузка справочных/нормативных документов, полезных при модерации</w:t>
            </w:r>
          </w:p>
        </w:tc>
      </w:tr>
      <w:tr>
        <w:tc>
          <w:tcPr>
            <w:tcW w:type="dxa" w:w="2551"/>
          </w:tcPr>
          <w:p>
            <w:r/>
            <w:r>
              <w:t>Настройки</w:t>
            </w:r>
          </w:p>
        </w:tc>
        <w:tc>
          <w:tcPr>
            <w:tcW w:type="dxa" w:w="6803"/>
          </w:tcPr>
          <w:p>
            <w:r/>
            <w:r>
              <w:t>Параметры системы, ретенция</w:t>
            </w:r>
          </w:p>
        </w:tc>
      </w:tr>
      <w:tr>
        <w:tc>
          <w:tcPr>
            <w:tcW w:type="dxa" w:w="2551"/>
          </w:tcPr>
          <w:p>
            <w:r/>
            <w:r>
              <w:t>Личный кабинет</w:t>
            </w:r>
          </w:p>
        </w:tc>
        <w:tc>
          <w:tcPr>
            <w:tcW w:type="dxa" w:w="6803"/>
          </w:tcPr>
          <w:p>
            <w:r/>
            <w:r>
              <w:t>Уведомления о новых данных и изменениях</w:t>
            </w:r>
          </w:p>
        </w:tc>
      </w:tr>
      <w:tr>
        <w:tc>
          <w:tcPr>
            <w:tcW w:type="dxa" w:w="2551"/>
          </w:tcPr>
          <w:p>
            <w:r/>
            <w:r>
              <w:t>Журнал (аудит)</w:t>
            </w:r>
          </w:p>
        </w:tc>
        <w:tc>
          <w:tcPr>
            <w:tcW w:type="dxa" w:w="6803"/>
          </w:tcPr>
          <w:p>
            <w:r/>
            <w:r>
              <w:t>Действия пользователей, история изменений</w:t>
            </w:r>
          </w:p>
        </w:tc>
      </w:tr>
    </w:tbl>
    <w:p>
      <w:pPr>
        <w:pStyle w:val="Heading1"/>
      </w:pPr>
      <w:r>
        <w:rPr>
          <w:color w:val="2F5496"/>
        </w:rPr>
        <w:t>Зона B. Viewer (просмотр дашбордов)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</w:rPr>
              <w:t>Экран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Что содержит</w:t>
            </w:r>
          </w:p>
        </w:tc>
      </w:tr>
      <w:tr>
        <w:tc>
          <w:tcPr>
            <w:tcW w:type="dxa" w:w="2551"/>
          </w:tcPr>
          <w:p>
            <w:r/>
            <w:r>
              <w:t>Список дашбордов</w:t>
            </w:r>
          </w:p>
        </w:tc>
        <w:tc>
          <w:tcPr>
            <w:tcW w:type="dxa" w:w="6803"/>
          </w:tcPr>
          <w:p>
            <w:r/>
            <w:r>
              <w:t>Доступные пользователю дашборды; поиск и фильтрация</w:t>
            </w:r>
          </w:p>
        </w:tc>
      </w:tr>
      <w:tr>
        <w:tc>
          <w:tcPr>
            <w:tcW w:type="dxa" w:w="2551"/>
          </w:tcPr>
          <w:p>
            <w:r/>
            <w:r>
              <w:t>Просмотр дашборда</w:t>
            </w:r>
          </w:p>
        </w:tc>
        <w:tc>
          <w:tcPr>
            <w:tcW w:type="dxa" w:w="6803"/>
          </w:tcPr>
          <w:p>
            <w:r/>
            <w:r>
              <w:t>Виджеты, глобальные фильтры, пресеты фильтров</w:t>
            </w:r>
          </w:p>
        </w:tc>
      </w:tr>
      <w:tr>
        <w:tc>
          <w:tcPr>
            <w:tcW w:type="dxa" w:w="2551"/>
          </w:tcPr>
          <w:p>
            <w:r/>
            <w:r>
              <w:t>Раскрытие значения</w:t>
            </w:r>
          </w:p>
        </w:tc>
        <w:tc>
          <w:tcPr>
            <w:tcW w:type="dxa" w:w="6803"/>
          </w:tcPr>
          <w:p>
            <w:r/>
            <w:r>
              <w:t>Панель: декомпозиция формулы + проваливание в первичные строки</w:t>
            </w:r>
          </w:p>
        </w:tc>
      </w:tr>
      <w:tr>
        <w:tc>
          <w:tcPr>
            <w:tcW w:type="dxa" w:w="2551"/>
          </w:tcPr>
          <w:p>
            <w:r/>
            <w:r>
              <w:t>Тултипы</w:t>
            </w:r>
          </w:p>
        </w:tc>
        <w:tc>
          <w:tcPr>
            <w:tcW w:type="dxa" w:w="6803"/>
          </w:tcPr>
          <w:p>
            <w:r/>
            <w:r>
              <w:t>Пояснение к каждому значению при наведении</w:t>
            </w:r>
          </w:p>
        </w:tc>
      </w:tr>
      <w:tr>
        <w:tc>
          <w:tcPr>
            <w:tcW w:type="dxa" w:w="2551"/>
          </w:tcPr>
          <w:p>
            <w:r/>
            <w:r>
              <w:t>Архив / период</w:t>
            </w:r>
          </w:p>
        </w:tc>
        <w:tc>
          <w:tcPr>
            <w:tcW w:type="dxa" w:w="6803"/>
          </w:tcPr>
          <w:p>
            <w:r/>
            <w:r>
              <w:t>Просмотр данных за любой период (в пределах хранения 1 год)</w:t>
            </w:r>
          </w:p>
        </w:tc>
      </w:tr>
      <w:tr>
        <w:tc>
          <w:tcPr>
            <w:tcW w:type="dxa" w:w="2551"/>
          </w:tcPr>
          <w:p>
            <w:r/>
            <w:r>
              <w:t>Стартовый экран</w:t>
            </w:r>
          </w:p>
        </w:tc>
        <w:tc>
          <w:tcPr>
            <w:tcW w:type="dxa" w:w="6803"/>
          </w:tcPr>
          <w:p>
            <w:r/>
            <w:r>
              <w:t>Обзорная витрина при входе (сводка/избранные дашборды по правам)</w:t>
            </w:r>
          </w:p>
        </w:tc>
      </w:tr>
      <w:tr>
        <w:tc>
          <w:tcPr>
            <w:tcW w:type="dxa" w:w="2551"/>
          </w:tcPr>
          <w:p>
            <w:r/>
            <w:r>
              <w:t>Полноэкранный режим</w:t>
            </w:r>
          </w:p>
        </w:tc>
        <w:tc>
          <w:tcPr>
            <w:tcW w:type="dxa" w:w="6803"/>
          </w:tcPr>
          <w:p>
            <w:r/>
            <w:r>
              <w:t>Показ дашборда на большом экране (зал/ресепшен), без лишних элементов</w:t>
            </w:r>
          </w:p>
        </w:tc>
      </w:tr>
    </w:tbl>
    <w:p>
      <w:pPr>
        <w:pStyle w:val="Heading1"/>
      </w:pPr>
      <w:r>
        <w:rPr>
          <w:color w:val="2F5496"/>
        </w:rPr>
        <w:t>Навигация и общие элементы</w:t>
      </w:r>
    </w:p>
    <w:p>
      <w:pPr>
        <w:pStyle w:val="ListBullet"/>
      </w:pPr>
      <w:r>
        <w:t>Левое меню — разделы; текущий раздел подсвечен.</w:t>
      </w:r>
    </w:p>
    <w:p>
      <w:pPr>
        <w:pStyle w:val="ListBullet"/>
      </w:pPr>
      <w:r>
        <w:t>Верхняя панель — пользователь, тема, выход; в viewer — выбранный дашборд и фильтры.</w:t>
      </w:r>
    </w:p>
    <w:p>
      <w:pPr>
        <w:pStyle w:val="ListBullet"/>
      </w:pPr>
      <w:r>
        <w:t>Хлебные крошки — при раскрытии показателя и переходах вглубь.</w:t>
      </w:r>
    </w:p>
    <w:p>
      <w:pPr>
        <w:pStyle w:val="ListBullet"/>
      </w:pPr>
      <w:r>
        <w:t>Вход по логину и паролю; доступ к дашборду по ссылке (в пределах прав).</w:t>
      </w:r>
    </w:p>
    <w:p>
      <w:pPr>
        <w:pStyle w:val="Heading1"/>
      </w:pPr>
      <w:r>
        <w:rPr>
          <w:color w:val="2F5496"/>
        </w:rPr>
        <w:t>Стиль и доступность</w:t>
      </w:r>
    </w:p>
    <w:p>
      <w:pPr>
        <w:pStyle w:val="ListBullet"/>
      </w:pPr>
      <w:r>
        <w:t>Современный минималистичный BI-стиль; ≤6–8 виджетов на экран; главный KPI слева-сверху.</w:t>
      </w:r>
    </w:p>
    <w:p>
      <w:pPr>
        <w:pStyle w:val="ListBullet"/>
      </w:pPr>
      <w:r>
        <w:t>Светлая и тёмная темы; читаемые контрасты (ориентир — WCAG AA).</w:t>
      </w:r>
    </w:p>
    <w:p>
      <w:pPr>
        <w:pStyle w:val="ListBullet"/>
      </w:pPr>
      <w:r>
        <w:t>У каждого числа — единица измерения (₽, шт, %, дн) и пояснение.</w:t>
      </w:r>
    </w:p>
    <w:p>
      <w:pPr>
        <w:pStyle w:val="ListBullet"/>
      </w:pPr>
      <w:r>
        <w:t>Нейтральная палитра с возможностью подменить логотип и фирменные цвета.</w:t>
      </w:r>
    </w:p>
    <w:p>
      <w:pPr>
        <w:pStyle w:val="Heading1"/>
      </w:pPr>
      <w:r>
        <w:rPr>
          <w:color w:val="2F5496"/>
        </w:rPr>
        <w:t>Открытые под-вопросы (в реестр 05)</w:t>
      </w:r>
    </w:p>
    <w:p>
      <w:pPr>
        <w:pStyle w:val="ListBullet"/>
      </w:pPr>
      <w:r>
        <w:t>ОЖИДАЕТСЯ бренд-бук МФЦ (логотип, фирменные цвета, шрифты) — заказчик предоставит позже. Напомнить запросить.</w:t>
      </w:r>
    </w:p>
    <w:p>
      <w:pPr>
        <w:pStyle w:val="ListBullet"/>
      </w:pPr>
      <w:r>
        <w:t>Нужен ли полноэкранный режим показа дашборда (для больших экранов/презентаций).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