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AEAA8" w14:textId="77777777" w:rsidR="00B1570D" w:rsidRDefault="00000000">
      <w:pPr>
        <w:pStyle w:val="Heading1"/>
        <w:spacing w:after="240"/>
      </w:pPr>
      <w:r>
        <w:t>Abstract</w:t>
      </w:r>
    </w:p>
    <w:p w14:paraId="630AEAA9" w14:textId="77777777" w:rsidR="00B1570D" w:rsidRDefault="00000000">
      <w:pPr>
        <w:spacing w:after="200" w:line="360" w:lineRule="auto"/>
        <w:jc w:val="both"/>
      </w:pPr>
      <w:r>
        <w:rPr>
          <w:b/>
          <w:bCs/>
        </w:rPr>
        <w:t xml:space="preserve">Background. </w:t>
      </w:r>
      <w:r>
        <w:t xml:space="preserve">Genomic surveillance is increasingly deployed to track malaria transmission, yet the conditions under which genomic data can reliably detect transmission links remain poorly defined. For </w:t>
      </w:r>
      <w:r>
        <w:rPr>
          <w:i/>
          <w:iCs/>
        </w:rPr>
        <w:t>Plasmodium falciparum</w:t>
      </w:r>
      <w:r>
        <w:t>, the combined effects of high selfing rates, variable recombination, and elevated background genomic relatedness may fundamentally constrain inference—but this constraint has not been systematically quantified across biologically relevant parameter spaces.</w:t>
      </w:r>
    </w:p>
    <w:p w14:paraId="630AEAAA" w14:textId="77777777" w:rsidR="00B1570D" w:rsidRDefault="00000000">
      <w:pPr>
        <w:spacing w:after="200" w:line="360" w:lineRule="auto"/>
        <w:jc w:val="both"/>
      </w:pPr>
      <w:r>
        <w:rPr>
          <w:b/>
          <w:bCs/>
        </w:rPr>
        <w:t xml:space="preserve">Methods. </w:t>
      </w:r>
      <w:r>
        <w:t>We developed a forward-time simulation framework using SLiM, tskit, and msprime to generate full-genome sequence data under three scenario classes: a baseline biological parameterisation, a recombination sweep spanning four orders of magnitude (r = 10</w:t>
      </w:r>
      <w:r>
        <w:rPr>
          <w:vertAlign w:val="superscript"/>
        </w:rPr>
        <w:t>−9</w:t>
      </w:r>
      <w:r>
        <w:t xml:space="preserve"> to 10</w:t>
      </w:r>
      <w:r>
        <w:rPr>
          <w:vertAlign w:val="superscript"/>
        </w:rPr>
        <w:t>−6</w:t>
      </w:r>
      <w:r>
        <w:t xml:space="preserve"> per base per generation), and a multi-population structure with migration rates of 0.001–0.05. Transmission detectability was evaluated using three inference approaches—IBD (hmmIBD), identity-by-state (IBS), and maximum-likelihood phylogenetic patristic distances (IQ-TREE)—across varying generation thresholds (G = 1–25), sample sizes (n = 100–400), and population sizes. Performance was quantified using area under the precision-recall curve (AUPRC), F1 score, and sensitivity at fixed specificity. Results were validated against an observed </w:t>
      </w:r>
      <w:r>
        <w:rPr>
          <w:i/>
          <w:iCs/>
        </w:rPr>
        <w:t>P. falciparum</w:t>
      </w:r>
      <w:r>
        <w:t xml:space="preserve"> dataset using same-household and different-household pairs as a transmission proximity proxy.</w:t>
      </w:r>
    </w:p>
    <w:p w14:paraId="630AEAAB" w14:textId="77777777" w:rsidR="00B1570D" w:rsidRDefault="00000000">
      <w:pPr>
        <w:spacing w:after="200" w:line="360" w:lineRule="auto"/>
        <w:jc w:val="both"/>
      </w:pPr>
      <w:r>
        <w:rPr>
          <w:b/>
          <w:bCs/>
        </w:rPr>
        <w:t xml:space="preserve">Results. </w:t>
      </w:r>
      <w:r>
        <w:t>Transmission detectability was strongly and primarily determined by recombination rate. AUPRC increased from 0.53–0.62 at r = 10</w:t>
      </w:r>
      <w:r>
        <w:rPr>
          <w:vertAlign w:val="superscript"/>
        </w:rPr>
        <w:t>−9</w:t>
      </w:r>
      <w:r>
        <w:t xml:space="preserve"> to 0.74–0.82 at r = 10</w:t>
      </w:r>
      <w:r>
        <w:rPr>
          <w:vertAlign w:val="superscript"/>
        </w:rPr>
        <w:t>−6</w:t>
      </w:r>
      <w:r>
        <w:t xml:space="preserve"> regardless of migration rate or sample size. IBD-based inference consistently outperformed IBS and phylogenetic approaches, though the absolute advantage was small. The generation threshold G was a critical secondary modulator: at G = 1, no method exceeded AUPRC = 0.50 under any recombination condition. Migration rate exerted minimal independent influence on detectability across the range explored. In observed </w:t>
      </w:r>
      <w:r>
        <w:rPr>
          <w:i/>
          <w:iCs/>
        </w:rPr>
        <w:t>P. falciparum</w:t>
      </w:r>
      <w:r>
        <w:t xml:space="preserve"> data, all three methods performed near the random classifier baseline (AUPRC &lt; 0.05), consistent with near-complete IBD distribution overlap between household-linked and unlinked pairs.</w:t>
      </w:r>
    </w:p>
    <w:p w14:paraId="630AEAAC" w14:textId="77777777" w:rsidR="00B1570D" w:rsidRDefault="00000000">
      <w:pPr>
        <w:spacing w:after="200" w:line="360" w:lineRule="auto"/>
        <w:jc w:val="both"/>
      </w:pPr>
      <w:r>
        <w:rPr>
          <w:b/>
          <w:bCs/>
        </w:rPr>
        <w:t xml:space="preserve">Conclusions. </w:t>
      </w:r>
      <w:r>
        <w:t xml:space="preserve">Transmission detection from genomic data in </w:t>
      </w:r>
      <w:r>
        <w:rPr>
          <w:i/>
          <w:iCs/>
        </w:rPr>
        <w:t>P. falciparum</w:t>
      </w:r>
      <w:r>
        <w:t xml:space="preserve"> is subject to fundamental biological constraints that precede methodological choices. Recombination rate and the temporal depth of the transmission definition are the primary determinants of whether genomic inference can succeed. Current IBD and IBS tools applied to endemic African populations operate in a parameter regime where accurate transmission detection is unlikely without integration of </w:t>
      </w:r>
      <w:r>
        <w:lastRenderedPageBreak/>
        <w:t>epidemiological and spatial data. These results provide a quantitative framework for calibrating expectations for genomic surveillance programmes and identifying conditions under which genomic data alone is insufficient to resolve transmission connectivity.</w:t>
      </w:r>
    </w:p>
    <w:p w14:paraId="630AEAAD" w14:textId="77777777" w:rsidR="00B1570D" w:rsidRDefault="00000000">
      <w:pPr>
        <w:spacing w:after="200" w:line="360" w:lineRule="auto"/>
        <w:jc w:val="both"/>
      </w:pPr>
      <w:r>
        <w:rPr>
          <w:b/>
          <w:bCs/>
        </w:rPr>
        <w:t xml:space="preserve">Keywords: </w:t>
      </w:r>
      <w:r>
        <w:rPr>
          <w:i/>
          <w:iCs/>
        </w:rPr>
        <w:t>Plasmodium falciparum</w:t>
      </w:r>
      <w:r>
        <w:t>; malaria genomic epidemiology; IBD; transmission inference; simulation; recombination; detectability; hmmIBD; IQ-TREE; AUPRC</w:t>
      </w:r>
    </w:p>
    <w:p w14:paraId="630AEAAE" w14:textId="77777777" w:rsidR="00B1570D" w:rsidRDefault="00B1570D">
      <w:pPr>
        <w:pBdr>
          <w:bottom w:val="single" w:sz="4" w:space="4" w:color="AAAAAA"/>
        </w:pBdr>
        <w:spacing w:before="400" w:after="300"/>
      </w:pPr>
    </w:p>
    <w:p w14:paraId="630AEAAF" w14:textId="77777777" w:rsidR="00B1570D" w:rsidRDefault="00000000">
      <w:pPr>
        <w:pStyle w:val="Heading1"/>
        <w:spacing w:after="240"/>
      </w:pPr>
      <w:r>
        <w:t>Conclusion</w:t>
      </w:r>
    </w:p>
    <w:p w14:paraId="630AEAB0" w14:textId="77777777" w:rsidR="00B1570D" w:rsidRDefault="00000000">
      <w:pPr>
        <w:spacing w:after="200" w:line="360" w:lineRule="auto"/>
        <w:jc w:val="both"/>
      </w:pPr>
      <w:r>
        <w:t xml:space="preserve">This study set out to define the conditions under which genomic data can and cannot detect malaria transmission, using a simulation-based framework that jointly varied recombination rate, population structure, migration, sample size, and the temporal scope of the transmission definition. The central finding is that transmission detectability in </w:t>
      </w:r>
      <w:r>
        <w:rPr>
          <w:i/>
          <w:iCs/>
        </w:rPr>
        <w:t>P. falciparum</w:t>
      </w:r>
      <w:r>
        <w:t xml:space="preserve"> is primarily constrained by recombination rate, with AUPRC rising substantially across the four-order-of-magnitude range explored, and that no method—IBD, IBS, or phylogenetic inference—achieved reliable discriminative performance in the low-recombination, high-background-relatedness regime most characteristic of endemic African settings. The generation threshold G emerged as a critical secondary determinant, with performance below chance for all methods at G = 1, the operationally most relevant temporal scope for outbreak and household transmission investigations. Validation against observed </w:t>
      </w:r>
      <w:r>
        <w:rPr>
          <w:i/>
          <w:iCs/>
        </w:rPr>
        <w:t>P. falciparum</w:t>
      </w:r>
      <w:r>
        <w:t xml:space="preserve"> data confirmed that current tools are unlikely to resolve transmission links in high-transmission settings: the near-identical IBD distributions between household-linked and unlinked pairs indicate a biological signal ceiling that inference tools cannot overcome.</w:t>
      </w:r>
    </w:p>
    <w:p w14:paraId="630AEAB1" w14:textId="77777777" w:rsidR="00B1570D" w:rsidRDefault="00000000">
      <w:pPr>
        <w:spacing w:after="200" w:line="360" w:lineRule="auto"/>
        <w:jc w:val="both"/>
      </w:pPr>
      <w:r>
        <w:t xml:space="preserve">These findings reframe the problem of transmission inference in malaria as one of biological constraint rather than methodological inadequacy. The TMRCA overlap between direct and non-direct transmission pairs observed in simulation is not an artefact of tool design but a consequence of the organism's high selfing rate, high background relatedness, and short IBD blocks under endemic transmission intensity. In this sense, the study contributes a formal, quantitative dimension to a concern that has been raised qualitatively in the genomic epidemiology literature but not previously tested across the parameter space that governs field performance. The results argue for a reorientation of expectations: genomic data in malaria may be most informative not as a standalone transmission discriminator, but as one layer within an </w:t>
      </w:r>
      <w:r>
        <w:lastRenderedPageBreak/>
        <w:t>integrated inference framework that incorporates spatial proximity, temporal co-occurrence, and household or clinical contact data.</w:t>
      </w:r>
    </w:p>
    <w:p w14:paraId="630AEAB2" w14:textId="77777777" w:rsidR="00B1570D" w:rsidRDefault="00000000">
      <w:pPr>
        <w:spacing w:after="200" w:line="360" w:lineRule="auto"/>
        <w:jc w:val="both"/>
      </w:pPr>
      <w:r>
        <w:t xml:space="preserve">Several limitations constrain the scope of the conclusions. The simulations were conducted on a single chromosome rather than the full </w:t>
      </w:r>
      <w:r>
        <w:rPr>
          <w:i/>
          <w:iCs/>
        </w:rPr>
        <w:t>P. falciparum</w:t>
      </w:r>
      <w:r>
        <w:t xml:space="preserve"> genome, which may underestimate the informational content available from genome-wide IBD. The absence of polyclonal infection modelling means that the performance values reported here are likely optimistic relative to what would be achieved in field samples with high complexity of infection. The bottleneck and demographic history parameterisation, while varied in sensitivity analysis, does not capture the full range of population histories across endemic regions. These limitations point to clear priorities: whole-genome simulation frameworks incorporating realistic COI distributions, chromosome-specific recombination maps, and demographic heterogeneity are needed to sharpen the detectability bounds identified here and to test whether the conclusions hold across a broader epidemiological landscape.</w:t>
      </w:r>
    </w:p>
    <w:p w14:paraId="630AEAB3" w14:textId="77777777" w:rsidR="00B1570D" w:rsidRDefault="00000000">
      <w:pPr>
        <w:spacing w:after="200" w:line="360" w:lineRule="auto"/>
        <w:jc w:val="both"/>
      </w:pPr>
      <w:r>
        <w:t>As genomic surveillance programmes expand across sub-Saharan Africa and Southeast Asia, the question of what parasite genomes can reasonably tell us about transmission is no longer theoretical. This study provides a quantitative answer for a defined parameter space and demonstrates that the answer is sobering in most endemic conditions. Moving forward, the framework developed here—simulation-based detectability mapping across biological parameter gradients—offers a template for pre-deployment evaluation of genomic surveillance tools in any pathogen system where background relatedness, recombination, and population structure jointly shape the feasibility of transmission inference. Translating these insights into surveillance design, sampling strategies, and analytical pipelines that are appropriately calibrated for the local biological context will be essential to ensuring that genomic investments in malaria control deliver actionable epidemiological intelligence.</w:t>
      </w:r>
    </w:p>
    <w:sectPr w:rsidR="00B1570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807CB"/>
    <w:multiLevelType w:val="hybridMultilevel"/>
    <w:tmpl w:val="38DA4F6A"/>
    <w:lvl w:ilvl="0" w:tplc="FFECBE7C">
      <w:start w:val="1"/>
      <w:numFmt w:val="bullet"/>
      <w:lvlText w:val="●"/>
      <w:lvlJc w:val="left"/>
      <w:pPr>
        <w:ind w:left="720" w:hanging="360"/>
      </w:pPr>
    </w:lvl>
    <w:lvl w:ilvl="1" w:tplc="2172801E">
      <w:start w:val="1"/>
      <w:numFmt w:val="bullet"/>
      <w:lvlText w:val="○"/>
      <w:lvlJc w:val="left"/>
      <w:pPr>
        <w:ind w:left="1440" w:hanging="360"/>
      </w:pPr>
    </w:lvl>
    <w:lvl w:ilvl="2" w:tplc="88048154">
      <w:start w:val="1"/>
      <w:numFmt w:val="bullet"/>
      <w:lvlText w:val="■"/>
      <w:lvlJc w:val="left"/>
      <w:pPr>
        <w:ind w:left="2160" w:hanging="360"/>
      </w:pPr>
    </w:lvl>
    <w:lvl w:ilvl="3" w:tplc="E5384424">
      <w:start w:val="1"/>
      <w:numFmt w:val="bullet"/>
      <w:lvlText w:val="●"/>
      <w:lvlJc w:val="left"/>
      <w:pPr>
        <w:ind w:left="2880" w:hanging="360"/>
      </w:pPr>
    </w:lvl>
    <w:lvl w:ilvl="4" w:tplc="649E790E">
      <w:start w:val="1"/>
      <w:numFmt w:val="bullet"/>
      <w:lvlText w:val="○"/>
      <w:lvlJc w:val="left"/>
      <w:pPr>
        <w:ind w:left="3600" w:hanging="360"/>
      </w:pPr>
    </w:lvl>
    <w:lvl w:ilvl="5" w:tplc="6B1463DC">
      <w:start w:val="1"/>
      <w:numFmt w:val="bullet"/>
      <w:lvlText w:val="■"/>
      <w:lvlJc w:val="left"/>
      <w:pPr>
        <w:ind w:left="4320" w:hanging="360"/>
      </w:pPr>
    </w:lvl>
    <w:lvl w:ilvl="6" w:tplc="771A8792">
      <w:start w:val="1"/>
      <w:numFmt w:val="bullet"/>
      <w:lvlText w:val="●"/>
      <w:lvlJc w:val="left"/>
      <w:pPr>
        <w:ind w:left="5040" w:hanging="360"/>
      </w:pPr>
    </w:lvl>
    <w:lvl w:ilvl="7" w:tplc="7E723B00">
      <w:start w:val="1"/>
      <w:numFmt w:val="bullet"/>
      <w:lvlText w:val="●"/>
      <w:lvlJc w:val="left"/>
      <w:pPr>
        <w:ind w:left="5760" w:hanging="360"/>
      </w:pPr>
    </w:lvl>
    <w:lvl w:ilvl="8" w:tplc="E214C8A6">
      <w:start w:val="1"/>
      <w:numFmt w:val="bullet"/>
      <w:lvlText w:val="●"/>
      <w:lvlJc w:val="left"/>
      <w:pPr>
        <w:ind w:left="6480" w:hanging="360"/>
      </w:pPr>
    </w:lvl>
  </w:abstractNum>
  <w:num w:numId="1" w16cid:durableId="11131351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70D"/>
    <w:rsid w:val="00693A2A"/>
    <w:rsid w:val="0095064F"/>
    <w:rsid w:val="00B1570D"/>
  </w:rsids>
  <m:mathPr>
    <m:mathFont m:val="Cambria Math"/>
    <m:brkBin m:val="before"/>
    <m:brkBinSub m:val="--"/>
    <m:smallFrac m:val="0"/>
    <m:dispDef/>
    <m:lMargin m:val="0"/>
    <m:rMargin m:val="0"/>
    <m:defJc m:val="centerGroup"/>
    <m:wrapIndent m:val="1440"/>
    <m:intLim m:val="subSup"/>
    <m:naryLim m:val="undOvr"/>
  </m:mathPr>
  <w:themeFontLang w:val="en-GM"/>
  <w:clrSchemeMapping w:bg1="light1" w:t1="dark1" w:bg2="light2" w:t2="dark2" w:accent1="accent1" w:accent2="accent2" w:accent3="accent3" w:accent4="accent4" w:accent5="accent5" w:accent6="accent6" w:hyperlink="hyperlink" w:followedHyperlink="followedHyperlink"/>
  <w:decimalSymbol w:val="."/>
  <w:listSeparator w:val=","/>
  <w14:docId w14:val="630AEAA8"/>
  <w15:docId w15:val="{E6CBAB1E-1239-304F-945C-6D0E8CD12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M"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060"/>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951</Words>
  <Characters>6282</Characters>
  <Application>Microsoft Office Word</Application>
  <DocSecurity>0</DocSecurity>
  <Lines>85</Lines>
  <Paragraphs>11</Paragraphs>
  <ScaleCrop>false</ScaleCrop>
  <Company/>
  <LinksUpToDate>false</LinksUpToDate>
  <CharactersWithSpaces>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Mouhamadou Fadel Diop</cp:lastModifiedBy>
  <cp:revision>2</cp:revision>
  <dcterms:created xsi:type="dcterms:W3CDTF">2026-03-03T00:36:00Z</dcterms:created>
  <dcterms:modified xsi:type="dcterms:W3CDTF">2026-03-03T01:11:00Z</dcterms:modified>
</cp:coreProperties>
</file>