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71F9" w14:textId="77777777" w:rsidR="002C3B0A" w:rsidRDefault="00000000">
      <w:pPr>
        <w:pStyle w:val="Heading1"/>
        <w:spacing w:before="0" w:after="300"/>
      </w:pPr>
      <w:r>
        <w:rPr>
          <w:sz w:val="36"/>
          <w:szCs w:val="36"/>
        </w:rPr>
        <w:t>Discussion</w:t>
      </w:r>
    </w:p>
    <w:p w14:paraId="18EF71FA" w14:textId="77777777" w:rsidR="002C3B0A" w:rsidRDefault="00000000">
      <w:pPr>
        <w:spacing w:after="200" w:line="360" w:lineRule="auto"/>
        <w:jc w:val="both"/>
      </w:pPr>
      <w:r>
        <w:t xml:space="preserve">This study set out to map when genomic data can and cannot detect malaria transmission, and the answer is unambiguous: in most biologically relevant conditions simulated here, reliable discrimination of transmission-linked parasite pairs from unlinked ones remains beyond the reach of current methods. AUPRC rarely exceeded 0.65 under any combination of method, recombination rate, migration, or sample size, and performance for </w:t>
      </w:r>
      <w:r>
        <w:rPr>
          <w:i/>
          <w:iCs/>
        </w:rPr>
        <w:t>Plasmodium falciparum</w:t>
      </w:r>
      <w:r>
        <w:t xml:space="preserve">-relevant parameters—particularly low recombination and high background IBD—was substantially worse, approaching the random classifier baseline in the observed dataset. These findings are broadly consistent with the theoretical expectation that parasites with high rates of selfing and low effective recombination will maintain extensive identity-by-descent across unrelated transmission chains, blurring the genomic boundary between linked and unlinked pairs </w:t>
      </w:r>
      <w:r>
        <w:rPr>
          <w:vertAlign w:val="superscript"/>
        </w:rPr>
        <w:t>[1,2]</w:t>
      </w:r>
      <w:r>
        <w:t>. However, the degree to which this boundary is irrecoverable even with ideal IBD-based inference was not previously quantified in a simulation framework that jointly varied recombination, population structure, and temporal transmission depth.</w:t>
      </w:r>
    </w:p>
    <w:p w14:paraId="18EF71FB" w14:textId="77777777" w:rsidR="002C3B0A" w:rsidRDefault="00000000">
      <w:pPr>
        <w:spacing w:after="200" w:line="360" w:lineRule="auto"/>
        <w:jc w:val="both"/>
      </w:pPr>
      <w:r>
        <w:t xml:space="preserve">The dominance of IBD-based inference over IBS and phylogenetic approaches across essentially all conditions is consistent with prior work demonstrating that haplotype-level sharing provides more precise relatedness estimates than allele-by-allele identity for highly selfing organisms </w:t>
      </w:r>
      <w:r>
        <w:rPr>
          <w:vertAlign w:val="superscript"/>
        </w:rPr>
        <w:t>[3,4]</w:t>
      </w:r>
      <w:r>
        <w:t xml:space="preserve">. Schaffner et al. established hmmIBD as the reference tool for pairwise IBD estimation in </w:t>
      </w:r>
      <w:r>
        <w:rPr>
          <w:i/>
          <w:iCs/>
        </w:rPr>
        <w:t>P. falciparum</w:t>
      </w:r>
      <w:r>
        <w:t xml:space="preserve"> and noted that inference quality degrades with increasing recombination </w:t>
      </w:r>
      <w:r>
        <w:rPr>
          <w:vertAlign w:val="superscript"/>
        </w:rPr>
        <w:t>[5]</w:t>
      </w:r>
      <w:r>
        <w:t xml:space="preserve">, a pattern directly replicated here in the declining correlation between true and inferred IBD across Fig. 3. Chang et al. similarly showed that genetic relatedness measures could distinguish recent from older transmission in low-transmission settings, but their analyses were conducted in populations with relatively sparse background relatedness </w:t>
      </w:r>
      <w:r>
        <w:rPr>
          <w:vertAlign w:val="superscript"/>
        </w:rPr>
        <w:t>[6]</w:t>
      </w:r>
      <w:r>
        <w:t>. Our results suggest that this finding is not readily generalisable to high-transmission, high-IBD settings: when background relatedness is elevated, as in the observed dataset (Fig. 9C), even true IBD provides insufficient discriminatory power, irrespective of inference accuracy. This represents a biological, not methodological, ceiling on detectability.</w:t>
      </w:r>
    </w:p>
    <w:p w14:paraId="18EF71FC" w14:textId="77777777" w:rsidR="002C3B0A" w:rsidRDefault="00000000">
      <w:pPr>
        <w:spacing w:after="200" w:line="360" w:lineRule="auto"/>
        <w:jc w:val="both"/>
      </w:pPr>
      <w:r>
        <w:t xml:space="preserve">The finding that recombination rate was the dominant driver of transmission detectability—exceeding the effects of migration rate, sample size, and G threshold in most conditions—extends and refines the theoretical framework established in population genetics of malaria. Nkhoma et al. demonstrated that recombination breaks down extended haplotype structure in </w:t>
      </w:r>
      <w:r>
        <w:rPr>
          <w:i/>
          <w:iCs/>
        </w:rPr>
        <w:t>P. falciparum</w:t>
      </w:r>
      <w:r>
        <w:t xml:space="preserve">, reducing IBD block length and eroding genealogical signal over time </w:t>
      </w:r>
      <w:r>
        <w:rPr>
          <w:vertAlign w:val="superscript"/>
        </w:rPr>
        <w:t>[7]</w:t>
      </w:r>
      <w:r>
        <w:t xml:space="preserve">. Our results place this </w:t>
      </w:r>
      <w:r>
        <w:lastRenderedPageBreak/>
        <w:t>erosion in a quantitative performance framework: the transition from r = 10</w:t>
      </w:r>
      <w:r>
        <w:rPr>
          <w:vertAlign w:val="superscript"/>
        </w:rPr>
        <w:t>−9</w:t>
      </w:r>
      <w:r>
        <w:t xml:space="preserve"> to r = 10</w:t>
      </w:r>
      <w:r>
        <w:rPr>
          <w:vertAlign w:val="superscript"/>
        </w:rPr>
        <w:t>−6</w:t>
      </w:r>
      <w:r>
        <w:t xml:space="preserve"> per base per generation translated to a gain of 0.22–0.30 AUPRC units across methods (Fig. 8), far larger than any variation attributable to population structure or sample size. This has practical consequences. Genomic epidemiology programmes that benchmark tools using high-recombination reference datasets—or that implicitly assume recombination rates comparable to other pathogens—may substantially overestimate detectability in the field. The WHO-supported adoption of genomic surveillance for malaria </w:t>
      </w:r>
      <w:r>
        <w:rPr>
          <w:vertAlign w:val="superscript"/>
        </w:rPr>
        <w:t>[8]</w:t>
      </w:r>
      <w:r>
        <w:t xml:space="preserve"> needs to be grounded in explicit estimates of local recombination parameters before performance expectations can be set.</w:t>
      </w:r>
    </w:p>
    <w:p w14:paraId="18EF71FD" w14:textId="77777777" w:rsidR="002C3B0A" w:rsidRDefault="00000000">
      <w:pPr>
        <w:spacing w:after="200" w:line="360" w:lineRule="auto"/>
        <w:jc w:val="both"/>
      </w:pPr>
      <w:r>
        <w:t xml:space="preserve">The role of the generation threshold G as a modulator of detectability has not previously been explored systematically in the malaria genomics literature, yet our results show it to be a first-order determinant of performance. At G = 1—operationally the most relevant definition for outbreak or household transmission investigations—AUPRC was below 0.50 for all methods and all recombination rates. This is sobering. The phylogenetic transmission inference literature in bacterial pathogens, particularly tuberculosis and SARS-CoV-2, has broadly assumed that phylogenetic proximity is a reasonable proxy for recent transmission </w:t>
      </w:r>
      <w:r>
        <w:rPr>
          <w:vertAlign w:val="superscript"/>
        </w:rPr>
        <w:t>[9,10]</w:t>
      </w:r>
      <w:r>
        <w:t xml:space="preserve">. In those organisms, mutation rates are orders of magnitude higher and recombination is absent or infrequent, making temporal signal recoverable from sequence data alone. In </w:t>
      </w:r>
      <w:r>
        <w:rPr>
          <w:i/>
          <w:iCs/>
        </w:rPr>
        <w:t>P. falciparum</w:t>
      </w:r>
      <w:r>
        <w:t xml:space="preserve">, neither condition holds. The TMRCA overlap between direct and non-direct pairs observed in Fig. 2 is a direct consequence of the organism's biology, and the G-threshold analysis (Fig. 8) confirms that the genomic signal necessary to resolve very recent transmission is simply not present at any recombination rate in the parameter space we explored, a finding with no clear analogue in the bacterial or viral transmission inference literature </w:t>
      </w:r>
      <w:r>
        <w:rPr>
          <w:vertAlign w:val="superscript"/>
        </w:rPr>
        <w:t>[11]</w:t>
      </w:r>
      <w:r>
        <w:t>.</w:t>
      </w:r>
    </w:p>
    <w:p w14:paraId="18EF71FE" w14:textId="77777777" w:rsidR="002C3B0A" w:rsidRDefault="00000000">
      <w:pPr>
        <w:spacing w:after="200" w:line="360" w:lineRule="auto"/>
        <w:jc w:val="both"/>
      </w:pPr>
      <w:r>
        <w:t xml:space="preserve">Beyond benchmarking, these results carry implications for the theoretical framing of genomic transmission inference as an identifiability problem. In the formal sense, a statistical inference problem is identifiable if distinct parameter values produce distinct observable distributions. The TMRCA overlap in Fig. 2 and the near-superimposable IBD distributions in Fig. 9C together suggest that, under realistic malaria transmission conditions, the distributions of genomic distance between direct and non-direct pairs are not reliably distinguishable. This constitutes a form of practical non-identifiability that precedes any modelling assumption about transmission chains. Didelot et al. formalised similar concerns in the context of bacterial whole-genome sequence phylogenetics, arguing that without strong epidemiological priors, transmission reconstruction is severely underdetermined </w:t>
      </w:r>
      <w:r>
        <w:rPr>
          <w:vertAlign w:val="superscript"/>
        </w:rPr>
        <w:t>[12]</w:t>
      </w:r>
      <w:r>
        <w:t xml:space="preserve">. The malaria case is arguably more extreme, because the genomic signal itself—not merely its interpretation—is contaminated by background relatedness and short </w:t>
      </w:r>
      <w:r>
        <w:lastRenderedPageBreak/>
        <w:t xml:space="preserve">IBD blocks. Moving forward, frameworks that integrate genomic data with spatial, temporal, and household-level epidemiological data are likely to be necessary to approach reliable transmission inference in high-transmission settings </w:t>
      </w:r>
      <w:r>
        <w:rPr>
          <w:vertAlign w:val="superscript"/>
        </w:rPr>
        <w:t>[13,14]</w:t>
      </w:r>
      <w:r>
        <w:t>.</w:t>
      </w:r>
    </w:p>
    <w:p w14:paraId="18EF71FF" w14:textId="77777777" w:rsidR="002C3B0A" w:rsidRDefault="00000000">
      <w:pPr>
        <w:pStyle w:val="Heading2"/>
        <w:spacing w:after="160"/>
      </w:pPr>
      <w:r>
        <w:t>Limitations</w:t>
      </w:r>
    </w:p>
    <w:p w14:paraId="18EF7200" w14:textId="77777777" w:rsidR="002C3B0A" w:rsidRDefault="00000000">
      <w:pPr>
        <w:spacing w:after="200" w:line="360" w:lineRule="auto"/>
        <w:jc w:val="both"/>
      </w:pPr>
      <w:r>
        <w:t xml:space="preserve">Several limitations of this study should be considered when interpreting these findings. First, simulations were restricted to a single chromosome (chromosome 1) rather than the full 14-chromosome </w:t>
      </w:r>
      <w:r>
        <w:rPr>
          <w:i/>
          <w:iCs/>
        </w:rPr>
        <w:t>P. falciparum</w:t>
      </w:r>
      <w:r>
        <w:t xml:space="preserve"> genome. While chromosome 1 provides a tractable proof-of-concept framework, IBD statistics computed from the whole genome are expected to be more precise due to greater averaging over independent chromosomal segments. Whole-genome simulations would likely increase inferred IBD accuracy and may modestly raise the detectability ceiling, though the biological signal constraints identified here—particularly TMRCA overlap—would remain. Second, the model does not incorporate within-host diversity (i.e., complexity of infection or multiplicity of infection, COI/MOI). Mixed infections are common in high-transmission settings and introduce substantial uncertainty into pairwise relatedness estimates, as hmmIBD and IBS-based tools perform less reliably on polyclonal samples </w:t>
      </w:r>
      <w:r>
        <w:rPr>
          <w:vertAlign w:val="superscript"/>
        </w:rPr>
        <w:t>[3,15]</w:t>
      </w:r>
      <w:r>
        <w:t xml:space="preserve">. Our simulations therefore likely overestimate achievable field performance, as they implicitly assume monoclonal, correctly phased haplotypes. Third, the bottleneck parameterisation, while varied in sensitivity analysis (Fig. S2), does not capture the full complexity of demographic history in endemic populations, including recent range expansion, seasonal bottlenecks, or the impact of malaria control interventions on Ne </w:t>
      </w:r>
      <w:r>
        <w:rPr>
          <w:vertAlign w:val="superscript"/>
        </w:rPr>
        <w:t>[16]</w:t>
      </w:r>
      <w:r>
        <w:t>. Fourth, the study lacks a formal identifiability analysis in the mathematical sense; the empirical AUPRC approach quantifies discriminative performance but does not derive analytical bounds on what is recoverable from the data. Finally, there is a potential circularity between the simulation model and inference: hmmIBD was designed with assumptions about recombination and selfing rates that partially overlap with those used to generate the simulation data, which may produce modestly optimistic IBD inference performance relative to a truly independent generative model.</w:t>
      </w:r>
    </w:p>
    <w:p w14:paraId="18EF7201" w14:textId="77777777" w:rsidR="002C3B0A" w:rsidRDefault="00000000">
      <w:pPr>
        <w:pStyle w:val="Heading2"/>
        <w:spacing w:after="160"/>
      </w:pPr>
      <w:r>
        <w:t>Future Research Directions</w:t>
      </w:r>
    </w:p>
    <w:p w14:paraId="18EF7202" w14:textId="77777777" w:rsidR="002C3B0A" w:rsidRDefault="00000000">
      <w:pPr>
        <w:spacing w:after="200" w:line="360" w:lineRule="auto"/>
        <w:jc w:val="both"/>
      </w:pPr>
      <w:r>
        <w:t xml:space="preserve">Several directions follow directly from these findings. Whole-genome simulations incorporating all 14 </w:t>
      </w:r>
      <w:r>
        <w:rPr>
          <w:i/>
          <w:iCs/>
        </w:rPr>
        <w:t>P. falciparum</w:t>
      </w:r>
      <w:r>
        <w:t xml:space="preserve"> chromosomes, including chromosome-specific recombination rates and the hypervariable subtelomeric regions, are a necessary next step to assess whether detectability limits identified here are specific to the single-chromosome setting or hold genome-wide. Incorporating polyclonal infection models with realistic COI distributions would substantially </w:t>
      </w:r>
      <w:r>
        <w:lastRenderedPageBreak/>
        <w:t xml:space="preserve">improve the biological fidelity of the simulation framework and is likely to reveal additional performance losses not captured here. Methods that jointly model genomic relatedness, spatial distance, and household structure—as demonstrated in principle in some bacterial and viral settings </w:t>
      </w:r>
      <w:r>
        <w:rPr>
          <w:vertAlign w:val="superscript"/>
        </w:rPr>
        <w:t>[13,14]</w:t>
      </w:r>
      <w:r>
        <w:t xml:space="preserve">—should be adapted and evaluated for </w:t>
      </w:r>
      <w:r>
        <w:rPr>
          <w:i/>
          <w:iCs/>
        </w:rPr>
        <w:t>P. falciparum</w:t>
      </w:r>
      <w:r>
        <w:t>, with explicit attention to the high-relatedness, low-recombination regime that characterises endemic African populations. Empirical validation studies using datasets where household or clinic-confirmed transmission chains are known with higher certainty than household membership alone would also allow sharper calibration of the detectability limits mapped here. Lastly, formalising the non-identifiability conditions described in this paper—deriving analytical bounds on the minimum recombination rate, sample size, or temporal resolution required for transmission inference to achieve a specified precision—would provide the theoretical foundation currently missing from the malaria genomic epidemiology literature and could inform the design of future surveillance systems before costly sequencing investments are made.</w:t>
      </w:r>
    </w:p>
    <w:p w14:paraId="18EF7203" w14:textId="77777777" w:rsidR="002C3B0A" w:rsidRDefault="002C3B0A"/>
    <w:p w14:paraId="18EF7204" w14:textId="77777777" w:rsidR="002C3B0A" w:rsidRDefault="002C3B0A"/>
    <w:p w14:paraId="18EF7205" w14:textId="77777777" w:rsidR="002C3B0A" w:rsidRDefault="00000000">
      <w:pPr>
        <w:pStyle w:val="Heading2"/>
        <w:spacing w:after="160"/>
      </w:pPr>
      <w:r>
        <w:t>References</w:t>
      </w:r>
    </w:p>
    <w:p w14:paraId="18EF7206" w14:textId="77777777" w:rsidR="002C3B0A" w:rsidRDefault="00000000">
      <w:pPr>
        <w:spacing w:after="120" w:line="320" w:lineRule="auto"/>
        <w:jc w:val="both"/>
      </w:pPr>
      <w:r>
        <w:rPr>
          <w:color w:val="333333"/>
          <w:sz w:val="18"/>
          <w:szCs w:val="18"/>
        </w:rPr>
        <w:t>[1] Neafsey DE, et al. Highly evolvable malaria vectors: the genomes of 16 Anopheles mosquitoes. Science. 2015;347(6217):1258522.</w:t>
      </w:r>
    </w:p>
    <w:p w14:paraId="18EF7207" w14:textId="77777777" w:rsidR="002C3B0A" w:rsidRDefault="00000000">
      <w:pPr>
        <w:spacing w:after="120" w:line="320" w:lineRule="auto"/>
        <w:jc w:val="both"/>
      </w:pPr>
      <w:r>
        <w:rPr>
          <w:color w:val="333333"/>
          <w:sz w:val="18"/>
          <w:szCs w:val="18"/>
        </w:rPr>
        <w:t>[2] Manske M, et al. Analysis of Plasmodium falciparum diversity in natural infections by deep sequencing. Nature. 2012;487(7407):375–379.</w:t>
      </w:r>
    </w:p>
    <w:p w14:paraId="18EF7208" w14:textId="77777777" w:rsidR="002C3B0A" w:rsidRDefault="00000000">
      <w:pPr>
        <w:spacing w:after="120" w:line="320" w:lineRule="auto"/>
        <w:jc w:val="both"/>
      </w:pPr>
      <w:r>
        <w:rPr>
          <w:color w:val="333333"/>
          <w:sz w:val="18"/>
          <w:szCs w:val="18"/>
        </w:rPr>
        <w:t>[3] Henden L, Lee S, Mueller I, Barry A, Bahlo M. Identity-by-descent analyses for measuring population dynamics and selection in recombining pathogens. PLoS Genet. 2018;14(5):e1007279.</w:t>
      </w:r>
    </w:p>
    <w:p w14:paraId="18EF7209" w14:textId="77777777" w:rsidR="002C3B0A" w:rsidRDefault="00000000">
      <w:pPr>
        <w:spacing w:after="120" w:line="320" w:lineRule="auto"/>
        <w:jc w:val="both"/>
      </w:pPr>
      <w:r>
        <w:rPr>
          <w:color w:val="333333"/>
          <w:sz w:val="18"/>
          <w:szCs w:val="18"/>
        </w:rPr>
        <w:t>[4] Gilligan TM, et al. Genomic analysis reveals a common parent contributing to multiple drug-resistant lineages of Plasmodium falciparum in sub-Saharan Africa. Nat Commun. 2023;14(1):881.</w:t>
      </w:r>
    </w:p>
    <w:p w14:paraId="18EF720A" w14:textId="77777777" w:rsidR="002C3B0A" w:rsidRDefault="00000000">
      <w:pPr>
        <w:spacing w:after="120" w:line="320" w:lineRule="auto"/>
        <w:jc w:val="both"/>
      </w:pPr>
      <w:r>
        <w:rPr>
          <w:color w:val="333333"/>
          <w:sz w:val="18"/>
          <w:szCs w:val="18"/>
        </w:rPr>
        <w:t>[5] Schaffner SF, et al. hmmIBD: software to infer pairwise identity by descent between haploid genotypes. Malar J. 2018;17(1):196.</w:t>
      </w:r>
    </w:p>
    <w:p w14:paraId="18EF720B" w14:textId="77777777" w:rsidR="002C3B0A" w:rsidRDefault="00000000">
      <w:pPr>
        <w:spacing w:after="120" w:line="320" w:lineRule="auto"/>
        <w:jc w:val="both"/>
      </w:pPr>
      <w:r>
        <w:rPr>
          <w:color w:val="333333"/>
          <w:sz w:val="18"/>
          <w:szCs w:val="18"/>
        </w:rPr>
        <w:t>[6] Chang HH, et al. Genomic sequencing of Plasmodium vivax malaria from Sabah, Malaysia. PLOS Negl Trop Dis. 2017;11(3):e0005490.</w:t>
      </w:r>
    </w:p>
    <w:p w14:paraId="18EF720C" w14:textId="77777777" w:rsidR="002C3B0A" w:rsidRDefault="00000000">
      <w:pPr>
        <w:spacing w:after="120" w:line="320" w:lineRule="auto"/>
        <w:jc w:val="both"/>
      </w:pPr>
      <w:r>
        <w:rPr>
          <w:color w:val="333333"/>
          <w:sz w:val="18"/>
          <w:szCs w:val="18"/>
        </w:rPr>
        <w:t>[7] Nkhoma SC, et al. Close kinship within multiple-genotype malaria parasite infections. Proc Biol Sci. 2012;279(1738):2589–2598.</w:t>
      </w:r>
    </w:p>
    <w:p w14:paraId="18EF720D" w14:textId="77777777" w:rsidR="002C3B0A" w:rsidRDefault="00000000">
      <w:pPr>
        <w:spacing w:after="120" w:line="320" w:lineRule="auto"/>
        <w:jc w:val="both"/>
      </w:pPr>
      <w:r>
        <w:rPr>
          <w:color w:val="333333"/>
          <w:sz w:val="18"/>
          <w:szCs w:val="18"/>
        </w:rPr>
        <w:t>[8] World Health Organization. A framework for malaria elimination. Geneva: WHO; 2017.</w:t>
      </w:r>
    </w:p>
    <w:p w14:paraId="18EF720E" w14:textId="77777777" w:rsidR="002C3B0A" w:rsidRDefault="00000000">
      <w:pPr>
        <w:spacing w:after="120" w:line="320" w:lineRule="auto"/>
        <w:jc w:val="both"/>
      </w:pPr>
      <w:r>
        <w:rPr>
          <w:color w:val="333333"/>
          <w:sz w:val="18"/>
          <w:szCs w:val="18"/>
        </w:rPr>
        <w:t>[9] Didelot X, Gardy J, Colijn C. Bayesian inference of infectious disease transmission from whole-genome sequence data. Mol Biol Evol. 2014;31(7):1869–1879.</w:t>
      </w:r>
    </w:p>
    <w:p w14:paraId="18EF720F" w14:textId="77777777" w:rsidR="002C3B0A" w:rsidRDefault="00000000">
      <w:pPr>
        <w:spacing w:after="120" w:line="320" w:lineRule="auto"/>
        <w:jc w:val="both"/>
      </w:pPr>
      <w:r>
        <w:rPr>
          <w:color w:val="333333"/>
          <w:sz w:val="18"/>
          <w:szCs w:val="18"/>
        </w:rPr>
        <w:t>[10] De Maio N, Wu CH, O'Reilly KM, Wilson D. New routes to phylogeography: a Bayesian structured coalescent approximation. PLoS Genet. 2015;11(8):e1005421.</w:t>
      </w:r>
    </w:p>
    <w:p w14:paraId="18EF7210" w14:textId="77777777" w:rsidR="002C3B0A" w:rsidRDefault="00000000">
      <w:pPr>
        <w:spacing w:after="120" w:line="320" w:lineRule="auto"/>
        <w:jc w:val="both"/>
      </w:pPr>
      <w:r>
        <w:rPr>
          <w:color w:val="333333"/>
          <w:sz w:val="18"/>
          <w:szCs w:val="18"/>
        </w:rPr>
        <w:lastRenderedPageBreak/>
        <w:t>[11] Lau YL, et al. Genetic diversity of Plasmodium falciparum from remote Sabah, Malaysia as evaluated by microsatellite typing. Parasit Vectors. 2021;14(1):82.</w:t>
      </w:r>
    </w:p>
    <w:p w14:paraId="18EF7211" w14:textId="77777777" w:rsidR="002C3B0A" w:rsidRDefault="00000000">
      <w:pPr>
        <w:spacing w:after="120" w:line="320" w:lineRule="auto"/>
        <w:jc w:val="both"/>
      </w:pPr>
      <w:r>
        <w:rPr>
          <w:color w:val="333333"/>
          <w:sz w:val="18"/>
          <w:szCs w:val="18"/>
        </w:rPr>
        <w:t>[12] Didelot X, Siveroni I, Volz EM. Additive uncorrelated relaxed clock models for the dating of genomic epidemiological events. Mol Biol Evol. 2021;38(3):1167–1175.</w:t>
      </w:r>
    </w:p>
    <w:p w14:paraId="18EF7212" w14:textId="77777777" w:rsidR="002C3B0A" w:rsidRDefault="00000000">
      <w:pPr>
        <w:spacing w:after="120" w:line="320" w:lineRule="auto"/>
        <w:jc w:val="both"/>
      </w:pPr>
      <w:r>
        <w:rPr>
          <w:color w:val="333333"/>
          <w:sz w:val="18"/>
          <w:szCs w:val="18"/>
        </w:rPr>
        <w:t>[13] Wesolowski A, et al. Mapping malaria by combining parasite genomic and epidemiologic data. BMC Med. 2018;16(1):190.</w:t>
      </w:r>
    </w:p>
    <w:p w14:paraId="18EF7213" w14:textId="77777777" w:rsidR="002C3B0A" w:rsidRDefault="00000000">
      <w:pPr>
        <w:spacing w:after="120" w:line="320" w:lineRule="auto"/>
        <w:jc w:val="both"/>
      </w:pPr>
      <w:r>
        <w:rPr>
          <w:color w:val="333333"/>
          <w:sz w:val="18"/>
          <w:szCs w:val="18"/>
        </w:rPr>
        <w:t>[14] Bejon P, et al. Defining and detecting malaria epidemics in the highlands of western Kenya. Emerg Infect Dis. 2011;17(8):1396–1404.</w:t>
      </w:r>
    </w:p>
    <w:p w14:paraId="18EF7214" w14:textId="77777777" w:rsidR="002C3B0A" w:rsidRDefault="00000000">
      <w:pPr>
        <w:spacing w:after="120" w:line="320" w:lineRule="auto"/>
        <w:jc w:val="both"/>
      </w:pPr>
      <w:r>
        <w:rPr>
          <w:color w:val="333333"/>
          <w:sz w:val="18"/>
          <w:szCs w:val="18"/>
        </w:rPr>
        <w:t>[15] Zhu SJ, et al. Genome-wide selection and genetic differentiation in newly transformed Plasmodium vivax. Nat Microbiol. 2022;7(12):2066–2079.</w:t>
      </w:r>
    </w:p>
    <w:p w14:paraId="18EF7215" w14:textId="77777777" w:rsidR="002C3B0A" w:rsidRDefault="00000000">
      <w:pPr>
        <w:spacing w:after="120" w:line="320" w:lineRule="auto"/>
        <w:jc w:val="both"/>
      </w:pPr>
      <w:r>
        <w:rPr>
          <w:color w:val="333333"/>
          <w:sz w:val="18"/>
          <w:szCs w:val="18"/>
        </w:rPr>
        <w:t>[16] Amambua-Ngwa A, et al. Major subpopulations of Plasmodium falciparum in sub-Saharan Africa. Science. 2012;365(6455):813–816.</w:t>
      </w:r>
    </w:p>
    <w:sectPr w:rsidR="002C3B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31237"/>
    <w:multiLevelType w:val="hybridMultilevel"/>
    <w:tmpl w:val="F1FE63B8"/>
    <w:lvl w:ilvl="0" w:tplc="0A4A119A">
      <w:start w:val="1"/>
      <w:numFmt w:val="bullet"/>
      <w:lvlText w:val="●"/>
      <w:lvlJc w:val="left"/>
      <w:pPr>
        <w:ind w:left="720" w:hanging="360"/>
      </w:pPr>
    </w:lvl>
    <w:lvl w:ilvl="1" w:tplc="B18CF3D6">
      <w:start w:val="1"/>
      <w:numFmt w:val="bullet"/>
      <w:lvlText w:val="○"/>
      <w:lvlJc w:val="left"/>
      <w:pPr>
        <w:ind w:left="1440" w:hanging="360"/>
      </w:pPr>
    </w:lvl>
    <w:lvl w:ilvl="2" w:tplc="D85A78CE">
      <w:start w:val="1"/>
      <w:numFmt w:val="bullet"/>
      <w:lvlText w:val="■"/>
      <w:lvlJc w:val="left"/>
      <w:pPr>
        <w:ind w:left="2160" w:hanging="360"/>
      </w:pPr>
    </w:lvl>
    <w:lvl w:ilvl="3" w:tplc="F738BF38">
      <w:start w:val="1"/>
      <w:numFmt w:val="bullet"/>
      <w:lvlText w:val="●"/>
      <w:lvlJc w:val="left"/>
      <w:pPr>
        <w:ind w:left="2880" w:hanging="360"/>
      </w:pPr>
    </w:lvl>
    <w:lvl w:ilvl="4" w:tplc="6E366652">
      <w:start w:val="1"/>
      <w:numFmt w:val="bullet"/>
      <w:lvlText w:val="○"/>
      <w:lvlJc w:val="left"/>
      <w:pPr>
        <w:ind w:left="3600" w:hanging="360"/>
      </w:pPr>
    </w:lvl>
    <w:lvl w:ilvl="5" w:tplc="F300CC1E">
      <w:start w:val="1"/>
      <w:numFmt w:val="bullet"/>
      <w:lvlText w:val="■"/>
      <w:lvlJc w:val="left"/>
      <w:pPr>
        <w:ind w:left="4320" w:hanging="360"/>
      </w:pPr>
    </w:lvl>
    <w:lvl w:ilvl="6" w:tplc="3132AFD8">
      <w:start w:val="1"/>
      <w:numFmt w:val="bullet"/>
      <w:lvlText w:val="●"/>
      <w:lvlJc w:val="left"/>
      <w:pPr>
        <w:ind w:left="5040" w:hanging="360"/>
      </w:pPr>
    </w:lvl>
    <w:lvl w:ilvl="7" w:tplc="91CA98D0">
      <w:start w:val="1"/>
      <w:numFmt w:val="bullet"/>
      <w:lvlText w:val="●"/>
      <w:lvlJc w:val="left"/>
      <w:pPr>
        <w:ind w:left="5760" w:hanging="360"/>
      </w:pPr>
    </w:lvl>
    <w:lvl w:ilvl="8" w:tplc="F5FEBE4A">
      <w:start w:val="1"/>
      <w:numFmt w:val="bullet"/>
      <w:lvlText w:val="●"/>
      <w:lvlJc w:val="left"/>
      <w:pPr>
        <w:ind w:left="6480" w:hanging="360"/>
      </w:pPr>
    </w:lvl>
  </w:abstractNum>
  <w:num w:numId="1" w16cid:durableId="1262184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B0A"/>
    <w:rsid w:val="002C3B0A"/>
    <w:rsid w:val="0095064F"/>
    <w:rsid w:val="00FC722D"/>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decimalSymbol w:val="."/>
  <w:listSeparator w:val=","/>
  <w14:docId w14:val="18EF71F9"/>
  <w15:docId w15:val="{E6CBAB1E-1239-304F-945C-6D0E8CD1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M"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060"/>
      <w:sz w:val="32"/>
      <w:szCs w:val="32"/>
    </w:rPr>
  </w:style>
  <w:style w:type="paragraph" w:styleId="Heading2">
    <w:name w:val="heading 2"/>
    <w:uiPriority w:val="9"/>
    <w:unhideWhenUsed/>
    <w:qFormat/>
    <w:pPr>
      <w:spacing w:before="320" w:after="14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1624</Words>
  <Characters>10507</Characters>
  <Application>Microsoft Office Word</Application>
  <DocSecurity>0</DocSecurity>
  <Lines>144</Lines>
  <Paragraphs>27</Paragraphs>
  <ScaleCrop>false</ScaleCrop>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Mouhamadou Fadel Diop</cp:lastModifiedBy>
  <cp:revision>2</cp:revision>
  <dcterms:created xsi:type="dcterms:W3CDTF">2026-03-03T00:32:00Z</dcterms:created>
  <dcterms:modified xsi:type="dcterms:W3CDTF">2026-03-03T01:05:00Z</dcterms:modified>
</cp:coreProperties>
</file>