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320"/>
      </w:pPr>
      <w:r>
        <w:rPr>
          <w:rFonts w:ascii="Arial" w:cs="Arial" w:eastAsia="Arial" w:hAnsi="Arial"/>
          <w:b/>
          <w:bCs/>
          <w:color w:val="1A3060"/>
          <w:sz w:val="36"/>
          <w:szCs w:val="36"/>
        </w:rPr>
        <w:t xml:space="preserve">Introduction</w:t>
      </w:r>
    </w:p>
    <w:p>
      <w:pPr>
        <w:spacing w:before="0" w:after="220" w:line="380"/>
        <w:jc w:val="both"/>
      </w:pPr>
      <w:r>
        <w:rPr>
          <w:rFonts w:ascii="Arial" w:cs="Arial" w:eastAsia="Arial" w:hAnsi="Arial"/>
          <w:sz w:val="22"/>
          <w:szCs w:val="22"/>
        </w:rPr>
        <w:t xml:space="preserve">Malaria remains one of the most consequential infectious diseases in global health. In 2022 alone, the World Health Organization estimated 249 million cases and 608,000 deaths, the majority concentrated in sub-Saharan Africa and disproportionately affecting children under five </w:t>
      </w:r>
      <w:r>
        <w:rPr>
          <w:rFonts w:ascii="Arial" w:cs="Arial" w:eastAsia="Arial" w:hAnsi="Arial"/>
          <w:sz w:val="22"/>
          <w:szCs w:val="22"/>
          <w:vertAlign w:val="superscript"/>
        </w:rPr>
        <w:t xml:space="preserve">[1]</w:t>
      </w:r>
      <w:r>
        <w:rPr>
          <w:rFonts w:ascii="Arial" w:cs="Arial" w:eastAsia="Arial" w:hAnsi="Arial"/>
          <w:sz w:val="22"/>
          <w:szCs w:val="22"/>
        </w:rPr>
        <w:t xml:space="preserve">. Despite decades of investment in vector control, chemoprevention, and treatment, transmission continues at endemic intensity across a broad geographic range, and in several regions progress toward elimination has stalled or reversed </w:t>
      </w:r>
      <w:r>
        <w:rPr>
          <w:rFonts w:ascii="Arial" w:cs="Arial" w:eastAsia="Arial" w:hAnsi="Arial"/>
          <w:sz w:val="22"/>
          <w:szCs w:val="22"/>
          <w:vertAlign w:val="superscript"/>
        </w:rPr>
        <w:t xml:space="preserve">[2]</w:t>
      </w:r>
      <w:r>
        <w:rPr>
          <w:rFonts w:ascii="Arial" w:cs="Arial" w:eastAsia="Arial" w:hAnsi="Arial"/>
          <w:sz w:val="22"/>
          <w:szCs w:val="22"/>
        </w:rPr>
        <w:t xml:space="preserve">. Interrupting malaria transmission requires not only effective tools but also precise, real-time knowledge of where and how transmission is occurring—which populations are connected, which households or villages sustain local chains, and which parasite lineages are spreading across spatial scales. This epidemiological intelligence is the operational foundation of targeted interventions, and without it, control programmes risk deploying resources in ways that are neither efficient nor effective </w:t>
      </w:r>
      <w:r>
        <w:rPr>
          <w:rFonts w:ascii="Arial" w:cs="Arial" w:eastAsia="Arial" w:hAnsi="Arial"/>
          <w:sz w:val="22"/>
          <w:szCs w:val="22"/>
          <w:vertAlign w:val="superscript"/>
        </w:rPr>
        <w:t xml:space="preserve">[3]</w:t>
      </w:r>
      <w:r>
        <w:rPr>
          <w:rFonts w:ascii="Arial" w:cs="Arial" w:eastAsia="Arial" w:hAnsi="Arial"/>
          <w:sz w:val="22"/>
          <w:szCs w:val="22"/>
        </w:rPr>
        <w:t xml:space="preserve">. The question of how to acquire this intelligence reliably and at scale is therefore not merely academic; it is a central operational challenge for malaria elimination.</w:t>
      </w:r>
    </w:p>
    <w:p>
      <w:pPr>
        <w:spacing w:before="0" w:after="220" w:line="380"/>
        <w:jc w:val="both"/>
      </w:pPr>
      <w:r>
        <w:rPr>
          <w:rFonts w:ascii="Arial" w:cs="Arial" w:eastAsia="Arial" w:hAnsi="Arial"/>
          <w:sz w:val="22"/>
          <w:szCs w:val="22"/>
        </w:rPr>
        <w:t xml:space="preserve">Advances in high-throughput sequencing have transformed the study of infectious disease epidemiology. In bacterial and viral pathogens, whole-genome sequencing has become a standard tool for outbreak investigation, enabling reconstruction of transmission chains, identification of importation events, and detection of drug resistance at a resolution unachievable by classical epidemiological methods </w:t>
      </w:r>
      <w:r>
        <w:rPr>
          <w:rFonts w:ascii="Arial" w:cs="Arial" w:eastAsia="Arial" w:hAnsi="Arial"/>
          <w:sz w:val="22"/>
          <w:szCs w:val="22"/>
          <w:vertAlign w:val="superscript"/>
        </w:rPr>
        <w:t xml:space="preserve">[4,5]</w:t>
      </w:r>
      <w:r>
        <w:rPr>
          <w:rFonts w:ascii="Arial" w:cs="Arial" w:eastAsia="Arial" w:hAnsi="Arial"/>
          <w:sz w:val="22"/>
          <w:szCs w:val="22"/>
        </w:rPr>
        <w:t xml:space="preserve">. In tuberculosis and SARS-CoV-2, phylogenetic and phylodynamic methods have been applied to millions of genomes to infer transmission networks, estimate reproduction numbers, and evaluate the impact of interventions in near-real time </w:t>
      </w:r>
      <w:r>
        <w:rPr>
          <w:rFonts w:ascii="Arial" w:cs="Arial" w:eastAsia="Arial" w:hAnsi="Arial"/>
          <w:sz w:val="22"/>
          <w:szCs w:val="22"/>
          <w:vertAlign w:val="superscript"/>
        </w:rPr>
        <w:t xml:space="preserve">[6,7]</w:t>
      </w:r>
      <w:r>
        <w:rPr>
          <w:rFonts w:ascii="Arial" w:cs="Arial" w:eastAsia="Arial" w:hAnsi="Arial"/>
          <w:sz w:val="22"/>
          <w:szCs w:val="22"/>
        </w:rPr>
        <w:t xml:space="preserve">. The natural expectation—and the aspiration of several major genomic surveillance initiatives </w:t>
      </w:r>
      <w:r>
        <w:rPr>
          <w:rFonts w:ascii="Arial" w:cs="Arial" w:eastAsia="Arial" w:hAnsi="Arial"/>
          <w:sz w:val="22"/>
          <w:szCs w:val="22"/>
          <w:vertAlign w:val="superscript"/>
        </w:rPr>
        <w:t xml:space="preserve">[8,9]</w:t>
      </w:r>
      <w:r>
        <w:rPr>
          <w:rFonts w:ascii="Arial" w:cs="Arial" w:eastAsia="Arial" w:hAnsi="Arial"/>
          <w:sz w:val="22"/>
          <w:szCs w:val="22"/>
        </w:rPr>
        <w:t xml:space="preserve">—is that similar approaches can be extended to malaria. If parasite genomes carry recoverable information about who infected whom and when, then sequencing surveillance could, in principle, replace or augment contact tracing, map hidden transmission reservoirs, and guide focal interventions at the household or village level. The ideal situation is one in which genomic relatedness measures serve as a reliable proxy for transmission proximity, enabling epidemiologists to identify linked cases from sequence data alone.</w:t>
      </w:r>
    </w:p>
    <w:p>
      <w:pPr>
        <w:spacing w:before="0" w:after="220" w:line="380"/>
        <w:jc w:val="both"/>
      </w:pPr>
      <w:r>
        <w:rPr>
          <w:rFonts w:ascii="Arial" w:cs="Arial" w:eastAsia="Arial" w:hAnsi="Arial"/>
          <w:sz w:val="22"/>
          <w:szCs w:val="22"/>
        </w:rPr>
        <w:t xml:space="preserve">The biology of </w:t>
      </w:r>
      <w:r>
        <w:rPr>
          <w:rFonts w:ascii="Arial" w:cs="Arial" w:eastAsia="Arial" w:hAnsi="Arial"/>
          <w:i/>
          <w:iCs/>
          <w:sz w:val="22"/>
          <w:szCs w:val="22"/>
        </w:rPr>
        <w:t xml:space="preserve">Plasmodium falciparum</w:t>
      </w:r>
      <w:r>
        <w:rPr>
          <w:rFonts w:ascii="Arial" w:cs="Arial" w:eastAsia="Arial" w:hAnsi="Arial"/>
          <w:sz w:val="22"/>
          <w:szCs w:val="22"/>
        </w:rPr>
        <w:t xml:space="preserve"> complicates this vision in fundamental ways. Unlike the bacterial and viral pathogens for which genomic epidemiology tools were originally developed, </w:t>
      </w:r>
      <w:r>
        <w:rPr>
          <w:rFonts w:ascii="Arial" w:cs="Arial" w:eastAsia="Arial" w:hAnsi="Arial"/>
          <w:i/>
          <w:iCs/>
          <w:sz w:val="22"/>
          <w:szCs w:val="22"/>
        </w:rPr>
        <w:t xml:space="preserve">P. falciparum</w:t>
      </w:r>
      <w:r>
        <w:rPr>
          <w:rFonts w:ascii="Arial" w:cs="Arial" w:eastAsia="Arial" w:hAnsi="Arial"/>
          <w:sz w:val="22"/>
          <w:szCs w:val="22"/>
        </w:rPr>
        <w:t xml:space="preserve"> has a complex life cycle involving obligate sexual recombination in the Anopheles mosquito vector. However, in high-transmission endemic settings, the effective rate of outcrossing is substantially reduced by co-transmission selfing, where two gametocytes from the same clonal background co-infect a single mosquito and produce homozygous offspring </w:t>
      </w:r>
      <w:r>
        <w:rPr>
          <w:rFonts w:ascii="Arial" w:cs="Arial" w:eastAsia="Arial" w:hAnsi="Arial"/>
          <w:sz w:val="22"/>
          <w:szCs w:val="22"/>
          <w:vertAlign w:val="superscript"/>
        </w:rPr>
        <w:t xml:space="preserve">[10]</w:t>
      </w:r>
      <w:r>
        <w:rPr>
          <w:rFonts w:ascii="Arial" w:cs="Arial" w:eastAsia="Arial" w:hAnsi="Arial"/>
          <w:sz w:val="22"/>
          <w:szCs w:val="22"/>
        </w:rPr>
        <w:t xml:space="preserve">. Selfing rates of 90% or higher have been estimated in some African populations </w:t>
      </w:r>
      <w:r>
        <w:rPr>
          <w:rFonts w:ascii="Arial" w:cs="Arial" w:eastAsia="Arial" w:hAnsi="Arial"/>
          <w:sz w:val="22"/>
          <w:szCs w:val="22"/>
          <w:vertAlign w:val="superscript"/>
        </w:rPr>
        <w:t xml:space="preserve">[11]</w:t>
      </w:r>
      <w:r>
        <w:rPr>
          <w:rFonts w:ascii="Arial" w:cs="Arial" w:eastAsia="Arial" w:hAnsi="Arial"/>
          <w:sz w:val="22"/>
          <w:szCs w:val="22"/>
        </w:rPr>
        <w:t xml:space="preserve">, and when combined with large effective population sizes and high multiplicity of infection, the result is a parasite population in which extensive identity-by-descent (IBD) is shared among parasites with no recent common transmission history. At the same time, recombination—when it does occur—fragments genomic identity rapidly, eroding the haplotype blocks that relatedness-based inference tools depend upon </w:t>
      </w:r>
      <w:r>
        <w:rPr>
          <w:rFonts w:ascii="Arial" w:cs="Arial" w:eastAsia="Arial" w:hAnsi="Arial"/>
          <w:sz w:val="22"/>
          <w:szCs w:val="22"/>
          <w:vertAlign w:val="superscript"/>
        </w:rPr>
        <w:t xml:space="preserve">[12]</w:t>
      </w:r>
      <w:r>
        <w:rPr>
          <w:rFonts w:ascii="Arial" w:cs="Arial" w:eastAsia="Arial" w:hAnsi="Arial"/>
          <w:sz w:val="22"/>
          <w:szCs w:val="22"/>
        </w:rPr>
        <w:t xml:space="preserve">. The net effect is a genomic signal landscape in which direct transmission pairs and epidemiologically unrelated pairs may be nearly indistinguishable: both carry high background relatedness, and neither necessarily exhibits the close phylogenetic proximity that characterises direct transmission in low-recombination pathogens. Whether this biological signal ambiguity constitutes a tractable inference challenge or an absolute limit has not been formally examined.</w:t>
      </w:r>
    </w:p>
    <w:p>
      <w:pPr>
        <w:spacing w:before="0" w:after="220" w:line="380"/>
        <w:jc w:val="both"/>
      </w:pPr>
      <w:r>
        <w:rPr>
          <w:rFonts w:ascii="Arial" w:cs="Arial" w:eastAsia="Arial" w:hAnsi="Arial"/>
          <w:sz w:val="22"/>
          <w:szCs w:val="22"/>
        </w:rPr>
        <w:t xml:space="preserve">Several research groups have developed and applied genomic relatedness tools in malaria transmission contexts. hmmIBD, the most widely used IBD estimation tool for </w:t>
      </w:r>
      <w:r>
        <w:rPr>
          <w:rFonts w:ascii="Arial" w:cs="Arial" w:eastAsia="Arial" w:hAnsi="Arial"/>
          <w:i/>
          <w:iCs/>
          <w:sz w:val="22"/>
          <w:szCs w:val="22"/>
        </w:rPr>
        <w:t xml:space="preserve">P. falciparum</w:t>
      </w:r>
      <w:r>
        <w:rPr>
          <w:rFonts w:ascii="Arial" w:cs="Arial" w:eastAsia="Arial" w:hAnsi="Arial"/>
          <w:sz w:val="22"/>
          <w:szCs w:val="22"/>
        </w:rPr>
        <w:t xml:space="preserve">, computes pairwise IBD proportions from phased or pseudo-phased haplotype data and has been deployed in population genetic studies across Africa and Southeast Asia </w:t>
      </w:r>
      <w:r>
        <w:rPr>
          <w:rFonts w:ascii="Arial" w:cs="Arial" w:eastAsia="Arial" w:hAnsi="Arial"/>
          <w:sz w:val="22"/>
          <w:szCs w:val="22"/>
          <w:vertAlign w:val="superscript"/>
        </w:rPr>
        <w:t xml:space="preserve">[13]</w:t>
      </w:r>
      <w:r>
        <w:rPr>
          <w:rFonts w:ascii="Arial" w:cs="Arial" w:eastAsia="Arial" w:hAnsi="Arial"/>
          <w:sz w:val="22"/>
          <w:szCs w:val="22"/>
        </w:rPr>
        <w:t xml:space="preserve">. Identity-by-state (IBS) metrics, while less theoretically precise, have been used as computationally tractable proxies for relatedness in large-scale surveillance datasets </w:t>
      </w:r>
      <w:r>
        <w:rPr>
          <w:rFonts w:ascii="Arial" w:cs="Arial" w:eastAsia="Arial" w:hAnsi="Arial"/>
          <w:sz w:val="22"/>
          <w:szCs w:val="22"/>
          <w:vertAlign w:val="superscript"/>
        </w:rPr>
        <w:t xml:space="preserve">[14]</w:t>
      </w:r>
      <w:r>
        <w:rPr>
          <w:rFonts w:ascii="Arial" w:cs="Arial" w:eastAsia="Arial" w:hAnsi="Arial"/>
          <w:sz w:val="22"/>
          <w:szCs w:val="22"/>
        </w:rPr>
        <w:t xml:space="preserve">. Phylogenetic approaches, adapted from viral phylodynamics, have been applied to reconstruct parasite lineage dynamics and importation histories </w:t>
      </w:r>
      <w:r>
        <w:rPr>
          <w:rFonts w:ascii="Arial" w:cs="Arial" w:eastAsia="Arial" w:hAnsi="Arial"/>
          <w:sz w:val="22"/>
          <w:szCs w:val="22"/>
          <w:vertAlign w:val="superscript"/>
        </w:rPr>
        <w:t xml:space="preserve">[15,16]</w:t>
      </w:r>
      <w:r>
        <w:rPr>
          <w:rFonts w:ascii="Arial" w:cs="Arial" w:eastAsia="Arial" w:hAnsi="Arial"/>
          <w:sz w:val="22"/>
          <w:szCs w:val="22"/>
        </w:rPr>
        <w:t xml:space="preserve">. These tools have generated valuable insights into population structure, drug resistance spread, and gene flow at regional scales. However, none has been evaluated in a framework that directly addresses the core question of transmission detectability: under what biological conditions can any of these methods reliably discriminate transmission-linked pairs from unlinked ones? Studies that have benchmarked relatedness tools in malaria have typically done so using population genetic criteria—estimating the accuracy of IBD or IBS as relatedness estimators—rather than epidemiological criteria focused on the precision and recall of transmission classification </w:t>
      </w:r>
      <w:r>
        <w:rPr>
          <w:rFonts w:ascii="Arial" w:cs="Arial" w:eastAsia="Arial" w:hAnsi="Arial"/>
          <w:sz w:val="22"/>
          <w:szCs w:val="22"/>
          <w:vertAlign w:val="superscript"/>
        </w:rPr>
        <w:t xml:space="preserve">[13,17]</w:t>
      </w:r>
      <w:r>
        <w:rPr>
          <w:rFonts w:ascii="Arial" w:cs="Arial" w:eastAsia="Arial" w:hAnsi="Arial"/>
          <w:sz w:val="22"/>
          <w:szCs w:val="22"/>
        </w:rPr>
        <w:t xml:space="preserve">. This distinction matters. A tool may accurately estimate IBD proportions and still fail to identify transmission pairs if the distributions of IBD for linked and unlinked pairs are not sufficiently separated. The absence of an evaluation framework anchored to epidemiological performance metrics has left the field without a principled basis for setting expectations about genomic surveillance.</w:t>
      </w:r>
    </w:p>
    <w:p>
      <w:pPr>
        <w:spacing w:before="0" w:after="220" w:line="380"/>
        <w:jc w:val="both"/>
      </w:pPr>
      <w:r>
        <w:rPr>
          <w:rFonts w:ascii="Arial" w:cs="Arial" w:eastAsia="Arial" w:hAnsi="Arial"/>
          <w:sz w:val="22"/>
          <w:szCs w:val="22"/>
        </w:rPr>
        <w:t xml:space="preserve">The practical consequences of this knowledge gap are substantial. Genomic surveillance programmes are currently being scaled across sub-Saharan Africa, supported by international funders and endorsed by the WHO's malaria elimination framework </w:t>
      </w:r>
      <w:r>
        <w:rPr>
          <w:rFonts w:ascii="Arial" w:cs="Arial" w:eastAsia="Arial" w:hAnsi="Arial"/>
          <w:sz w:val="22"/>
          <w:szCs w:val="22"/>
          <w:vertAlign w:val="superscript"/>
        </w:rPr>
        <w:t xml:space="preserve">[8]</w:t>
      </w:r>
      <w:r>
        <w:rPr>
          <w:rFonts w:ascii="Arial" w:cs="Arial" w:eastAsia="Arial" w:hAnsi="Arial"/>
          <w:sz w:val="22"/>
          <w:szCs w:val="22"/>
        </w:rPr>
        <w:t xml:space="preserve">. These programmes implicitly assume that parasite genome sequences will yield actionable epidemiological information about transmission. If that assumption is invalid—or valid only under restricted biological conditions—then large sequencing investments may generate data that cannot support the surveillance objectives they were designed to address. Beyond the immediate resource implications, there is a deeper scientific problem: without a systematic characterisation of when genomic inference succeeds and fails, the results of genomic surveillance studies are difficult to interpret. A failure to detect clustering of transmission-linked genomes might reflect genuine disconnection between parasite populations, or it might simply reflect the biological noise floor of the method. Distinguishing these two explanations requires knowing what performance is theoretically achievable under the local biological parameters—information that the field currently lacks.</w:t>
      </w:r>
    </w:p>
    <w:p>
      <w:pPr>
        <w:spacing w:before="0" w:after="220" w:line="380"/>
        <w:jc w:val="both"/>
      </w:pPr>
      <w:r>
        <w:rPr>
          <w:rFonts w:ascii="Arial" w:cs="Arial" w:eastAsia="Arial" w:hAnsi="Arial"/>
          <w:sz w:val="22"/>
          <w:szCs w:val="22"/>
        </w:rPr>
        <w:t xml:space="preserve">This study addresses that gap directly. We ask: across a biologically realistic range of </w:t>
      </w:r>
      <w:r>
        <w:rPr>
          <w:rFonts w:ascii="Arial" w:cs="Arial" w:eastAsia="Arial" w:hAnsi="Arial"/>
          <w:i/>
          <w:iCs/>
          <w:sz w:val="22"/>
          <w:szCs w:val="22"/>
        </w:rPr>
        <w:t xml:space="preserve">P. falciparum</w:t>
      </w:r>
      <w:r>
        <w:rPr>
          <w:rFonts w:ascii="Arial" w:cs="Arial" w:eastAsia="Arial" w:hAnsi="Arial"/>
          <w:sz w:val="22"/>
          <w:szCs w:val="22"/>
        </w:rPr>
        <w:t xml:space="preserve"> parameters—spanning recombination rate, effective population size, selfing rate, population structure, migration, and temporal transmission depth—what is the achievable performance of current genomic inference methods for detecting transmission links, and what are the conditions under which this performance collapses? The conceptual framework guiding the study draws on population genetics theory, specifically the relationship between coalescence time, recombination, and IBD, to generate principled predictions about the genomic signal landscape, and on statistical decision theory to evaluate whether that signal is sufficient to support epidemiologically meaningful classification. Critically, we evaluate not only IBD-based inference but also IBS and phylogenetic approaches, allowing a comparative assessment that captures the diversity of tools currently in use. The simulation framework is designed to produce ground truth—known transmission relationships—against which classifier performance can be measured using standard precision-recall metrics, enabling direct and interpretable quantification of detectability as a function of biological parameters. By varying the generation threshold that defines a transmission link, we also assess whether performance is contingent on the temporal scope of the epidemiological question, a dimension that has received no systematic attention in the malaria genomics literature to date. Together, these analyses provide the first comprehensive map of when genomic data can and cannot detect malaria transmission, grounded in the biology of </w:t>
      </w:r>
      <w:r>
        <w:rPr>
          <w:rFonts w:ascii="Arial" w:cs="Arial" w:eastAsia="Arial" w:hAnsi="Arial"/>
          <w:i/>
          <w:iCs/>
          <w:sz w:val="22"/>
          <w:szCs w:val="22"/>
        </w:rPr>
        <w:t xml:space="preserve">P. falciparum</w:t>
      </w:r>
      <w:r>
        <w:rPr>
          <w:rFonts w:ascii="Arial" w:cs="Arial" w:eastAsia="Arial" w:hAnsi="Arial"/>
          <w:sz w:val="22"/>
          <w:szCs w:val="22"/>
        </w:rPr>
        <w:t xml:space="preserve"> and evaluated across conditions spanning those encountered in the field.</w:t>
      </w:r>
    </w:p>
    <w:p>
      <w:r>
        <w:rPr>
          <w:sz w:val="22"/>
          <w:szCs w:val="22"/>
        </w:rPr>
        <w:t xml:space="preserve"/>
      </w:r>
    </w:p>
    <w:p>
      <w:r>
        <w:rPr>
          <w:sz w:val="22"/>
          <w:szCs w:val="22"/>
        </w:rPr>
        <w:t xml:space="preserve"/>
      </w:r>
    </w:p>
    <w:p>
      <w:pPr>
        <w:pBdr>
          <w:top w:val="single" w:color="AAAAAA" w:sz="4" w:space="4"/>
        </w:pBdr>
        <w:spacing w:before="400" w:after="200"/>
      </w:pPr>
      <w:r>
        <w:rPr>
          <w:rFonts w:ascii="Arial" w:cs="Arial" w:eastAsia="Arial" w:hAnsi="Arial"/>
          <w:b/>
          <w:bCs/>
          <w:color w:val="2E5090"/>
          <w:sz w:val="24"/>
          <w:szCs w:val="24"/>
        </w:rPr>
        <w:t xml:space="preserve">References</w:t>
      </w:r>
    </w:p>
    <w:p>
      <w:pPr>
        <w:spacing w:before="0" w:after="120" w:line="300"/>
        <w:jc w:val="both"/>
      </w:pPr>
      <w:r>
        <w:rPr>
          <w:rFonts w:ascii="Arial" w:cs="Arial" w:eastAsia="Arial" w:hAnsi="Arial"/>
          <w:color w:val="333333"/>
          <w:sz w:val="18"/>
          <w:szCs w:val="18"/>
        </w:rPr>
        <w:t xml:space="preserve">[1] World Health Organization. World Malaria Report 2023. Geneva: WHO; 2023.</w:t>
      </w:r>
    </w:p>
    <w:p>
      <w:pPr>
        <w:spacing w:before="0" w:after="120" w:line="300"/>
        <w:jc w:val="both"/>
      </w:pPr>
      <w:r>
        <w:rPr>
          <w:rFonts w:ascii="Arial" w:cs="Arial" w:eastAsia="Arial" w:hAnsi="Arial"/>
          <w:color w:val="333333"/>
          <w:sz w:val="18"/>
          <w:szCs w:val="18"/>
        </w:rPr>
        <w:t xml:space="preserve">[2] Bhatt S, et al. The effect of malaria control on Plasmodium falciparum in Africa between 2000 and 2015. Nature. 2015;526(7572):207–211.</w:t>
      </w:r>
    </w:p>
    <w:p>
      <w:pPr>
        <w:spacing w:before="0" w:after="120" w:line="300"/>
        <w:jc w:val="both"/>
      </w:pPr>
      <w:r>
        <w:rPr>
          <w:rFonts w:ascii="Arial" w:cs="Arial" w:eastAsia="Arial" w:hAnsi="Arial"/>
          <w:color w:val="333333"/>
          <w:sz w:val="18"/>
          <w:szCs w:val="18"/>
        </w:rPr>
        <w:t xml:space="preserve">[3] Cibulskis RE, et al. Malaria: global progress 2000–2015 and future challenges. Infect Dis Poverty. 2016;5(1):61.</w:t>
      </w:r>
    </w:p>
    <w:p>
      <w:pPr>
        <w:spacing w:before="0" w:after="120" w:line="300"/>
        <w:jc w:val="both"/>
      </w:pPr>
      <w:r>
        <w:rPr>
          <w:rFonts w:ascii="Arial" w:cs="Arial" w:eastAsia="Arial" w:hAnsi="Arial"/>
          <w:color w:val="333333"/>
          <w:sz w:val="18"/>
          <w:szCs w:val="18"/>
        </w:rPr>
        <w:t xml:space="preserve">[4] Gardy JL, Loman NJ. Towards a genomics-informed, real-time, global pathogen surveillance system. Nat Rev Genet. 2018;19(1):9–20.</w:t>
      </w:r>
    </w:p>
    <w:p>
      <w:pPr>
        <w:spacing w:before="0" w:after="120" w:line="300"/>
        <w:jc w:val="both"/>
      </w:pPr>
      <w:r>
        <w:rPr>
          <w:rFonts w:ascii="Arial" w:cs="Arial" w:eastAsia="Arial" w:hAnsi="Arial"/>
          <w:color w:val="333333"/>
          <w:sz w:val="18"/>
          <w:szCs w:val="18"/>
        </w:rPr>
        <w:t xml:space="preserve">[5] Croucher NJ, Didelot X. The application of genomics to tracing bacterial pathogen transmission. Curr Opin Microbiol. 2015;23:62–67.</w:t>
      </w:r>
    </w:p>
    <w:p>
      <w:pPr>
        <w:spacing w:before="0" w:after="120" w:line="300"/>
        <w:jc w:val="both"/>
      </w:pPr>
      <w:r>
        <w:rPr>
          <w:rFonts w:ascii="Arial" w:cs="Arial" w:eastAsia="Arial" w:hAnsi="Arial"/>
          <w:color w:val="333333"/>
          <w:sz w:val="18"/>
          <w:szCs w:val="18"/>
        </w:rPr>
        <w:t xml:space="preserve">[6] Guthrie JL, et al. Whole-genome sequencing to delineate Mycobacterium tuberculosis outbreaks: a retrospective observational study. Lancet Infect Dis. 2018;18(5):519–528.</w:t>
      </w:r>
    </w:p>
    <w:p>
      <w:pPr>
        <w:spacing w:before="0" w:after="120" w:line="300"/>
        <w:jc w:val="both"/>
      </w:pPr>
      <w:r>
        <w:rPr>
          <w:rFonts w:ascii="Arial" w:cs="Arial" w:eastAsia="Arial" w:hAnsi="Arial"/>
          <w:color w:val="333333"/>
          <w:sz w:val="18"/>
          <w:szCs w:val="18"/>
        </w:rPr>
        <w:t xml:space="preserve">[7] Volz EM, et al. Evaluating the effects of SARS-CoV-2 spike mutation D614G on transmissibility and pathogenicity. Cell. 2021;184(1):64–75.e11.</w:t>
      </w:r>
    </w:p>
    <w:p>
      <w:pPr>
        <w:spacing w:before="0" w:after="120" w:line="300"/>
        <w:jc w:val="both"/>
      </w:pPr>
      <w:r>
        <w:rPr>
          <w:rFonts w:ascii="Arial" w:cs="Arial" w:eastAsia="Arial" w:hAnsi="Arial"/>
          <w:color w:val="333333"/>
          <w:sz w:val="18"/>
          <w:szCs w:val="18"/>
        </w:rPr>
        <w:t xml:space="preserve">[8] World Health Organization. A framework for malaria elimination. Geneva: WHO; 2017.</w:t>
      </w:r>
    </w:p>
    <w:p>
      <w:pPr>
        <w:spacing w:before="0" w:after="120" w:line="300"/>
        <w:jc w:val="both"/>
      </w:pPr>
      <w:r>
        <w:rPr>
          <w:rFonts w:ascii="Arial" w:cs="Arial" w:eastAsia="Arial" w:hAnsi="Arial"/>
          <w:color w:val="333333"/>
          <w:sz w:val="18"/>
          <w:szCs w:val="18"/>
        </w:rPr>
        <w:t xml:space="preserve">[9] MalariaGEN Consortium. Pf7: an open dataset of Plasmodium falciparum genome variation in 20,000 worldwide samples. Wellcome Open Res. 2023;8:22.</w:t>
      </w:r>
    </w:p>
    <w:p>
      <w:pPr>
        <w:spacing w:before="0" w:after="120" w:line="300"/>
        <w:jc w:val="both"/>
      </w:pPr>
      <w:r>
        <w:rPr>
          <w:rFonts w:ascii="Arial" w:cs="Arial" w:eastAsia="Arial" w:hAnsi="Arial"/>
          <w:color w:val="333333"/>
          <w:sz w:val="18"/>
          <w:szCs w:val="18"/>
        </w:rPr>
        <w:t xml:space="preserve">[10] Nkhoma SC, et al. Close kinship within multiple-genotype malaria parasite infections. Proc Biol Sci. 2012;279(1738):2589–2598.</w:t>
      </w:r>
    </w:p>
    <w:p>
      <w:pPr>
        <w:spacing w:before="0" w:after="120" w:line="300"/>
        <w:jc w:val="both"/>
      </w:pPr>
      <w:r>
        <w:rPr>
          <w:rFonts w:ascii="Arial" w:cs="Arial" w:eastAsia="Arial" w:hAnsi="Arial"/>
          <w:color w:val="333333"/>
          <w:sz w:val="18"/>
          <w:szCs w:val="18"/>
        </w:rPr>
        <w:t xml:space="preserve">[11] Anderson TJC, et al. Microsatellite markers reveal a spectrum of population structures in the malaria parasite across an expanding range of transmission intensities in the Eastern African highlands. Mol Biol Evol. 2000;17(10):1467–1482.</w:t>
      </w:r>
    </w:p>
    <w:p>
      <w:pPr>
        <w:spacing w:before="0" w:after="120" w:line="300"/>
        <w:jc w:val="both"/>
      </w:pPr>
      <w:r>
        <w:rPr>
          <w:rFonts w:ascii="Arial" w:cs="Arial" w:eastAsia="Arial" w:hAnsi="Arial"/>
          <w:color w:val="333333"/>
          <w:sz w:val="18"/>
          <w:szCs w:val="18"/>
        </w:rPr>
        <w:t xml:space="preserve">[12] Manske M, et al. Analysis of Plasmodium falciparum diversity in natural infections by deep sequencing. Nature. 2012;487(7407):375–379.</w:t>
      </w:r>
    </w:p>
    <w:p>
      <w:pPr>
        <w:spacing w:before="0" w:after="120" w:line="300"/>
        <w:jc w:val="both"/>
      </w:pPr>
      <w:r>
        <w:rPr>
          <w:rFonts w:ascii="Arial" w:cs="Arial" w:eastAsia="Arial" w:hAnsi="Arial"/>
          <w:color w:val="333333"/>
          <w:sz w:val="18"/>
          <w:szCs w:val="18"/>
        </w:rPr>
        <w:t xml:space="preserve">[13] Schaffner SF, et al. hmmIBD: software to infer pairwise identity by descent between haploid genotypes. Malar J. 2018;17(1):196.</w:t>
      </w:r>
    </w:p>
    <w:p>
      <w:pPr>
        <w:spacing w:before="0" w:after="120" w:line="300"/>
        <w:jc w:val="both"/>
      </w:pPr>
      <w:r>
        <w:rPr>
          <w:rFonts w:ascii="Arial" w:cs="Arial" w:eastAsia="Arial" w:hAnsi="Arial"/>
          <w:color w:val="333333"/>
          <w:sz w:val="18"/>
          <w:szCs w:val="18"/>
        </w:rPr>
        <w:t xml:space="preserve">[14] Henden L, Lee S, Mueller I, Barry A, Bahlo M. Identity-by-descent analyses for measuring population dynamics and selection in recombining pathogens. PLoS Genet. 2018;14(5):e1007279.</w:t>
      </w:r>
    </w:p>
    <w:p>
      <w:pPr>
        <w:spacing w:before="0" w:after="120" w:line="300"/>
        <w:jc w:val="both"/>
      </w:pPr>
      <w:r>
        <w:rPr>
          <w:rFonts w:ascii="Arial" w:cs="Arial" w:eastAsia="Arial" w:hAnsi="Arial"/>
          <w:color w:val="333333"/>
          <w:sz w:val="18"/>
          <w:szCs w:val="18"/>
        </w:rPr>
        <w:t xml:space="preserve">[15] Neafsey DE, et al. Genetic diversity and protective efficacy of the RTS,S/AS01 malaria vaccine. N Engl J Med. 2015;373(21):2025–2037.</w:t>
      </w:r>
    </w:p>
    <w:p>
      <w:pPr>
        <w:spacing w:before="0" w:after="120" w:line="300"/>
        <w:jc w:val="both"/>
      </w:pPr>
      <w:r>
        <w:rPr>
          <w:rFonts w:ascii="Arial" w:cs="Arial" w:eastAsia="Arial" w:hAnsi="Arial"/>
          <w:color w:val="333333"/>
          <w:sz w:val="18"/>
          <w:szCs w:val="18"/>
        </w:rPr>
        <w:t xml:space="preserve">[16] Amambua-Ngwa A, et al. Major subpopulations of Plasmodium falciparum in sub-Saharan Africa. Science. 2019;365(6455):813–816.</w:t>
      </w:r>
    </w:p>
    <w:p>
      <w:pPr>
        <w:spacing w:before="0" w:after="120" w:line="300"/>
        <w:jc w:val="both"/>
      </w:pPr>
      <w:r>
        <w:rPr>
          <w:rFonts w:ascii="Arial" w:cs="Arial" w:eastAsia="Arial" w:hAnsi="Arial"/>
          <w:color w:val="333333"/>
          <w:sz w:val="18"/>
          <w:szCs w:val="18"/>
        </w:rPr>
        <w:t xml:space="preserve">[17] Chang HH, et al. THE REAL McCOIL: A method for the concurrent estimation of the complexity of infection and SNP allele frequency for malaria parasites. PLoS Comput Biol. 2017;13(1):e1005348.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80"/>
      <w:outlineLvl w:val="0"/>
    </w:pPr>
    <w:rPr>
      <w:rFonts w:ascii="Arial" w:cs="Arial" w:eastAsia="Arial" w:hAnsi="Arial"/>
      <w:b/>
      <w:bCs/>
      <w:color w:val="1A306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2026-03-03T01:20:19.802Z</dcterms:created>
  <dcterms:modified xsi:type="dcterms:W3CDTF">2026-03-03T01:20:19.803Z</dcterms:modified>
</cp:coreProperties>
</file>

<file path=docProps/custom.xml><?xml version="1.0" encoding="utf-8"?>
<Properties xmlns="http://schemas.openxmlformats.org/officeDocument/2006/custom-properties" xmlns:vt="http://schemas.openxmlformats.org/officeDocument/2006/docPropsVTypes"/>
</file>