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9261" w14:textId="77777777" w:rsidR="001619FD" w:rsidRDefault="00000000">
      <w:pPr>
        <w:pStyle w:val="Heading1"/>
        <w:spacing w:before="0" w:after="300"/>
      </w:pPr>
      <w:r>
        <w:rPr>
          <w:sz w:val="36"/>
          <w:szCs w:val="36"/>
        </w:rPr>
        <w:t>Results</w:t>
      </w:r>
    </w:p>
    <w:p w14:paraId="405B9262" w14:textId="77777777" w:rsidR="001619FD" w:rsidRDefault="00000000">
      <w:pPr>
        <w:spacing w:after="400"/>
      </w:pPr>
      <w:r>
        <w:rPr>
          <w:i/>
          <w:iCs/>
          <w:color w:val="666666"/>
          <w:sz w:val="20"/>
          <w:szCs w:val="20"/>
        </w:rPr>
        <w:t>Manuscript: Mapping the detectability limits of genomic transmission connectivity in malaria</w:t>
      </w:r>
    </w:p>
    <w:p w14:paraId="405B9263" w14:textId="77777777" w:rsidR="001619FD" w:rsidRDefault="00000000">
      <w:pPr>
        <w:pBdr>
          <w:bottom w:val="single" w:sz="4" w:space="4" w:color="888888"/>
        </w:pBdr>
        <w:spacing w:before="400" w:after="200"/>
      </w:pPr>
      <w:r>
        <w:rPr>
          <w:b/>
          <w:bCs/>
          <w:color w:val="2E5090"/>
          <w:sz w:val="26"/>
          <w:szCs w:val="26"/>
        </w:rPr>
        <w:t>Section 1 — Figure 2</w:t>
      </w:r>
    </w:p>
    <w:p w14:paraId="405B9264" w14:textId="77777777" w:rsidR="001619FD" w:rsidRDefault="00000000">
      <w:pPr>
        <w:pStyle w:val="Heading2"/>
        <w:spacing w:before="0" w:after="160"/>
      </w:pPr>
      <w:r>
        <w:t>Direct and non-direct transmission pairs overlap substantially in coalescence time across scenarios</w:t>
      </w:r>
    </w:p>
    <w:p w14:paraId="405B9265" w14:textId="77777777" w:rsidR="001619FD" w:rsidRDefault="00000000">
      <w:pPr>
        <w:spacing w:after="160" w:line="360" w:lineRule="auto"/>
        <w:jc w:val="both"/>
      </w:pPr>
      <w:r>
        <w:t>A prerequisite for any genomic method to distinguish transmission-linked pairs from unlinked pairs is that the two classes occupy separable regions of the genomic signal space. We examined this prerequisite using the distribution of true pairwise coalescence times (TMRCA) under the baseline and recombination sweep scenarios (</w:t>
      </w:r>
      <w:r>
        <w:rPr>
          <w:b/>
          <w:bCs/>
        </w:rPr>
        <w:t>Fig. 2</w:t>
      </w:r>
      <w:r>
        <w:t>). In both scenarios, direct transmission pairs (orange) display a distribution shifted toward shorter TMRCA values relative to non-direct pairs (blue), consistent with more recent common ancestry. However, the distributions overlap considerably across the full range of TMRCA values observed, with non-direct pairs contributing substantial density at low TMRCA values in both scenarios.</w:t>
      </w:r>
    </w:p>
    <w:p w14:paraId="405B9266" w14:textId="77777777" w:rsidR="001619FD" w:rsidRDefault="00000000">
      <w:pPr>
        <w:spacing w:after="160" w:line="360" w:lineRule="auto"/>
        <w:jc w:val="both"/>
      </w:pPr>
      <w:r>
        <w:t>Under the baseline scenario, direct pairs cluster below approximately 50 generations, but the tail of the non-direct distribution extends well into this range, producing a region of irreducible overlap. This overlap is at least as pronounced in the recombination sweep scenario, where both distributions appear broader and their modes more similar. The degree of overlap in TMRCA space does not markedly increase with elevated recombination rate alone, suggesting that the biological challenge of separation is present even before accounting for the additional distortion introduced by the inference process. Together, these distributions establish that the genomic signal separating direct from non-direct transmission is inherently limited in this pathogen system, and that any classifier operating on this signal will face a non-trivial false positive burden regardless of method choice.</w:t>
      </w:r>
    </w:p>
    <w:p w14:paraId="405B9267" w14:textId="77777777" w:rsidR="001619FD" w:rsidRDefault="001619FD"/>
    <w:p w14:paraId="405B9268" w14:textId="77777777" w:rsidR="001619FD" w:rsidRDefault="00000000">
      <w:pPr>
        <w:spacing w:before="80" w:after="240" w:line="320" w:lineRule="auto"/>
        <w:jc w:val="both"/>
      </w:pPr>
      <w:r>
        <w:rPr>
          <w:b/>
          <w:bCs/>
          <w:sz w:val="20"/>
          <w:szCs w:val="20"/>
        </w:rPr>
        <w:t xml:space="preserve">Figure 2. </w:t>
      </w:r>
      <w:r>
        <w:rPr>
          <w:sz w:val="20"/>
          <w:szCs w:val="20"/>
        </w:rPr>
        <w:t>True TMRCA distributions for direct (orange) and non-direct (blue) transmission pairs under the baseline scenario (left panel) and recombination sweep scenario (right panel). The x-axis shows true TMRCA in generations; the y-axis shows density. Each panel pools all replicate simulations under the corresponding scenario. Distributions are shown as kernel density estimates.</w:t>
      </w:r>
    </w:p>
    <w:p w14:paraId="405B9269" w14:textId="77777777" w:rsidR="001619FD" w:rsidRDefault="001619FD"/>
    <w:p w14:paraId="405B926A" w14:textId="77777777" w:rsidR="001619FD" w:rsidRDefault="00000000">
      <w:pPr>
        <w:pBdr>
          <w:bottom w:val="single" w:sz="4" w:space="4" w:color="888888"/>
        </w:pBdr>
        <w:spacing w:before="400" w:after="200"/>
      </w:pPr>
      <w:r>
        <w:rPr>
          <w:b/>
          <w:bCs/>
          <w:color w:val="2E5090"/>
          <w:sz w:val="26"/>
          <w:szCs w:val="26"/>
        </w:rPr>
        <w:t>Section 2 — Figure 3 + FigS1</w:t>
      </w:r>
    </w:p>
    <w:p w14:paraId="405B926B" w14:textId="77777777" w:rsidR="001619FD" w:rsidRDefault="00000000">
      <w:pPr>
        <w:pStyle w:val="Heading2"/>
        <w:spacing w:before="0" w:after="160"/>
      </w:pPr>
      <w:r>
        <w:lastRenderedPageBreak/>
        <w:t>Recombination progressively erodes the IBD signal and degrades inference accuracy</w:t>
      </w:r>
    </w:p>
    <w:p w14:paraId="405B926C" w14:textId="77777777" w:rsidR="001619FD" w:rsidRDefault="00000000">
      <w:pPr>
        <w:spacing w:after="160" w:line="360" w:lineRule="auto"/>
        <w:jc w:val="both"/>
      </w:pPr>
      <w:r>
        <w:t>We quantified how recombination rate modulates both the true genomic relatedness signal and the capacity of hmmIBD to recover it. Across a four-order-of-magnitude range of recombination rates (r = 10</w:t>
      </w:r>
      <w:r>
        <w:rPr>
          <w:vertAlign w:val="superscript"/>
        </w:rPr>
        <w:t>−9</w:t>
      </w:r>
      <w:r>
        <w:t xml:space="preserve"> to 10</w:t>
      </w:r>
      <w:r>
        <w:rPr>
          <w:vertAlign w:val="superscript"/>
        </w:rPr>
        <w:t>−6</w:t>
      </w:r>
      <w:r>
        <w:t xml:space="preserve"> per base per generation), true pairwise IBD proportions declined monotonically with increasing recombination (</w:t>
      </w:r>
      <w:r>
        <w:rPr>
          <w:b/>
          <w:bCs/>
        </w:rPr>
        <w:t>Fig. 3A</w:t>
      </w:r>
      <w:r>
        <w:t>). At r = 10</w:t>
      </w:r>
      <w:r>
        <w:rPr>
          <w:vertAlign w:val="superscript"/>
        </w:rPr>
        <w:t>−9</w:t>
      </w:r>
      <w:r>
        <w:t>, the distribution of true IBD is bimodal, with a substantial fraction of pairs exhibiting IBD proportions approaching 1.0, consistent with near-complete identity in very low-recombination genomes (</w:t>
      </w:r>
      <w:r>
        <w:rPr>
          <w:b/>
          <w:bCs/>
        </w:rPr>
        <w:t>Fig. S1</w:t>
      </w:r>
      <w:r>
        <w:t>). As recombination rate increases to r = 10</w:t>
      </w:r>
      <w:r>
        <w:rPr>
          <w:vertAlign w:val="superscript"/>
        </w:rPr>
        <w:t>−6</w:t>
      </w:r>
      <w:r>
        <w:t>, this high-IBD mode collapses and the distribution concentrates at lower values, reflecting the progressive fragmentation of identity blocks by recombination.</w:t>
      </w:r>
    </w:p>
    <w:p w14:paraId="405B926D" w14:textId="77777777" w:rsidR="001619FD" w:rsidRDefault="00000000">
      <w:pPr>
        <w:spacing w:after="160" w:line="360" w:lineRule="auto"/>
        <w:jc w:val="both"/>
      </w:pPr>
      <w:r>
        <w:t>The inferred IBD distribution from hmmIBD (</w:t>
      </w:r>
      <w:r>
        <w:rPr>
          <w:b/>
          <w:bCs/>
        </w:rPr>
        <w:t>Fig. 3B</w:t>
      </w:r>
      <w:r>
        <w:t>) tracks the true IBD distribution qualitatively across recombination rates, but with systematic compression at intermediate values. The mean inferred IBD proportion parallels the decay of true IBD, though consistently underestimates it at low recombination rates and shows convergence at higher rates (</w:t>
      </w:r>
      <w:r>
        <w:rPr>
          <w:b/>
          <w:bCs/>
        </w:rPr>
        <w:t>Fig. 3C</w:t>
      </w:r>
      <w:r>
        <w:t>). The correlation between true and inferred IBD decreases substantially with increasing recombination (</w:t>
      </w:r>
      <w:r>
        <w:rPr>
          <w:b/>
          <w:bCs/>
        </w:rPr>
        <w:t>Fig. 3D</w:t>
      </w:r>
      <w:r>
        <w:t>), declining from approximately 0.9 at r = 10</w:t>
      </w:r>
      <w:r>
        <w:rPr>
          <w:vertAlign w:val="superscript"/>
        </w:rPr>
        <w:t>−9</w:t>
      </w:r>
      <w:r>
        <w:t xml:space="preserve"> to roughly 0.55–0.60 at r = 10</w:t>
      </w:r>
      <w:r>
        <w:rPr>
          <w:vertAlign w:val="superscript"/>
        </w:rPr>
        <w:t>−6</w:t>
      </w:r>
      <w:r>
        <w:t>. This progressive deterioration in correlation indicates that the informational fidelity of hmmIBD is itself a function of the recombination landscape, becoming increasingly unreliable as recombination rate rises. The implication is that detectability of transmission is partly constrained upstream of any classification step, by the quality of the IBD signal that can be extracted from the genome.</w:t>
      </w:r>
    </w:p>
    <w:p w14:paraId="405B926E" w14:textId="77777777" w:rsidR="001619FD" w:rsidRDefault="001619FD"/>
    <w:p w14:paraId="405B926F" w14:textId="77777777" w:rsidR="001619FD" w:rsidRDefault="00000000">
      <w:pPr>
        <w:spacing w:before="80" w:after="240" w:line="320" w:lineRule="auto"/>
        <w:jc w:val="both"/>
      </w:pPr>
      <w:r>
        <w:rPr>
          <w:b/>
          <w:bCs/>
          <w:sz w:val="20"/>
          <w:szCs w:val="20"/>
        </w:rPr>
        <w:t xml:space="preserve">Figure 3. </w:t>
      </w:r>
      <w:r>
        <w:rPr>
          <w:sz w:val="20"/>
          <w:szCs w:val="20"/>
        </w:rPr>
        <w:t>IBD signal decay and inference fidelity across recombination rates. (A) Distribution of true pairwise IBD proportions for recombination rates spanning r = 10⁻⁹ to r = 10⁻⁶, shown as violin plots. (B) Distribution of IBD proportions inferred by hmmIBD across the same recombination rates. (C) Mean true (solid) and mean inferred (dashed) IBD proportions as a function of recombination rate on a log scale, with 95% confidence intervals. (D) Pearson correlation between true and hmmIBD-inferred pairwise IBD proportions as a function of recombination rate (log scale).</w:t>
      </w:r>
    </w:p>
    <w:p w14:paraId="405B9270" w14:textId="77777777" w:rsidR="001619FD" w:rsidRDefault="001619FD"/>
    <w:p w14:paraId="405B9271" w14:textId="77777777" w:rsidR="001619FD" w:rsidRDefault="00000000">
      <w:pPr>
        <w:spacing w:before="80" w:after="240" w:line="320" w:lineRule="auto"/>
        <w:jc w:val="both"/>
      </w:pPr>
      <w:r>
        <w:rPr>
          <w:b/>
          <w:bCs/>
          <w:sz w:val="20"/>
          <w:szCs w:val="20"/>
        </w:rPr>
        <w:t xml:space="preserve">Figure S1. </w:t>
      </w:r>
      <w:r>
        <w:rPr>
          <w:sz w:val="20"/>
          <w:szCs w:val="20"/>
        </w:rPr>
        <w:t>True pairwise IBD fraction distribution (panel A) and hmmIBD-inferred IBD fraction distribution (panel B) under the baseline scenario. Both panels show the full count distribution across all simulated pairs. The bimodal structure in panel A reflects the high-selfing, low-recombination baseline parameterization.</w:t>
      </w:r>
    </w:p>
    <w:p w14:paraId="405B9272" w14:textId="77777777" w:rsidR="001619FD" w:rsidRDefault="001619FD"/>
    <w:p w14:paraId="405B9273" w14:textId="77777777" w:rsidR="001619FD" w:rsidRDefault="00000000">
      <w:pPr>
        <w:pBdr>
          <w:bottom w:val="single" w:sz="4" w:space="4" w:color="888888"/>
        </w:pBdr>
        <w:spacing w:before="400" w:after="200"/>
      </w:pPr>
      <w:r>
        <w:rPr>
          <w:b/>
          <w:bCs/>
          <w:color w:val="2E5090"/>
          <w:sz w:val="26"/>
          <w:szCs w:val="26"/>
        </w:rPr>
        <w:lastRenderedPageBreak/>
        <w:t>Section 3 — Figure 4 + Figure 5 + FigSx_method_comparison</w:t>
      </w:r>
    </w:p>
    <w:p w14:paraId="405B9274" w14:textId="77777777" w:rsidR="001619FD" w:rsidRDefault="00000000">
      <w:pPr>
        <w:pStyle w:val="Heading2"/>
        <w:spacing w:before="0" w:after="160"/>
      </w:pPr>
      <w:r>
        <w:t>Classification performance is heterogeneous across methods, scenarios, and recombination regimes</w:t>
      </w:r>
    </w:p>
    <w:p w14:paraId="405B9275" w14:textId="77777777" w:rsidR="001619FD" w:rsidRDefault="00000000">
      <w:pPr>
        <w:spacing w:after="160" w:line="360" w:lineRule="auto"/>
        <w:jc w:val="both"/>
      </w:pPr>
      <w:r>
        <w:t>Precision-recall profiles and F1 scores varied substantially across inference methods (IBD, IBS, phylogenetic patristic distances), scenarios (baseline, recombination sweep, migration), and recombination rates (</w:t>
      </w:r>
      <w:r>
        <w:rPr>
          <w:b/>
          <w:bCs/>
        </w:rPr>
        <w:t>Fig. 4</w:t>
      </w:r>
      <w:r>
        <w:t>). In the precision-recall space (</w:t>
      </w:r>
      <w:r>
        <w:rPr>
          <w:b/>
          <w:bCs/>
        </w:rPr>
        <w:t>Fig. 4A</w:t>
      </w:r>
      <w:r>
        <w:t>), all three methods show a wide dispersion of operating points, with no method achieving uniformly high precision and recall simultaneously across scenarios. IBD tends to cluster at higher precision values, while IBS and phylogenetic-based inference show broader scatter toward lower recall. The migration scenario introduces the most heterogeneity, with operating points spread across a larger region of the precision-recall plane compared to the baseline and recombination sweep.</w:t>
      </w:r>
    </w:p>
    <w:p w14:paraId="405B9276" w14:textId="77777777" w:rsidR="001619FD" w:rsidRDefault="00000000">
      <w:pPr>
        <w:spacing w:after="160" w:line="360" w:lineRule="auto"/>
        <w:jc w:val="both"/>
      </w:pPr>
      <w:r>
        <w:t>F1 scores across recombination rates (</w:t>
      </w:r>
      <w:r>
        <w:rPr>
          <w:b/>
          <w:bCs/>
        </w:rPr>
        <w:t>Fig. 4B</w:t>
      </w:r>
      <w:r>
        <w:t>) reveal a non-monotonic relationship in several scenario-method combinations. Under the recombination sweep, F1 scores for all methods tend to be lower at the extremes of the recombination range and modestly higher at intermediate values, though the differences are small in absolute terms. The baseline and migration scenarios display distinct F1 trajectories, with the migration scenario generally yielding lower scores. Across all recombination rates, no method consistently exceeds an F1 of approximately 0.6, and many conditions yield F1 scores below 0.4. The method comparison across sensitivity and false discovery rate (</w:t>
      </w:r>
      <w:r>
        <w:rPr>
          <w:b/>
          <w:bCs/>
        </w:rPr>
        <w:t>Fig. Sx</w:t>
      </w:r>
      <w:r>
        <w:t>) confirms that IBD achieves the most favourable sensitivity-FDR trade-off across scenarios, whereas IBS and phylogenetic inference accumulate higher false discovery rates at comparable sensitivity levels, particularly under the migration scenario.</w:t>
      </w:r>
    </w:p>
    <w:p w14:paraId="405B9277" w14:textId="77777777" w:rsidR="001619FD" w:rsidRDefault="00000000">
      <w:pPr>
        <w:spacing w:after="160" w:line="360" w:lineRule="auto"/>
        <w:jc w:val="both"/>
      </w:pPr>
      <w:r>
        <w:t>The cophenetic (patristic) distance distributions for direct and non-direct pairs (</w:t>
      </w:r>
      <w:r>
        <w:rPr>
          <w:b/>
          <w:bCs/>
        </w:rPr>
        <w:t>Fig. 5</w:t>
      </w:r>
      <w:r>
        <w:t>) provide additional context for the phylogenetic method's performance. In both the baseline and recombination sweep scenarios, the distributions of cophenetic distances for direct and non-direct pairs overlap broadly. The degree of separation between the two classes is modest in the baseline scenario and does not improve in the recombination sweep, where elevated recombination reshuffles ancestry and blurs phylogenetic signal. The limited discriminative capacity visible in the distance distributions is broadly consistent with the phylogenetic method's relatively low F1 and precision-recall performance observed in Fig. 4.</w:t>
      </w:r>
    </w:p>
    <w:p w14:paraId="405B9278" w14:textId="77777777" w:rsidR="001619FD" w:rsidRDefault="001619FD"/>
    <w:p w14:paraId="405B9279" w14:textId="77777777" w:rsidR="001619FD" w:rsidRDefault="00000000">
      <w:pPr>
        <w:spacing w:before="80" w:after="240" w:line="320" w:lineRule="auto"/>
        <w:jc w:val="both"/>
      </w:pPr>
      <w:r>
        <w:rPr>
          <w:b/>
          <w:bCs/>
          <w:sz w:val="20"/>
          <w:szCs w:val="20"/>
        </w:rPr>
        <w:t xml:space="preserve">Figure 4. </w:t>
      </w:r>
      <w:r>
        <w:rPr>
          <w:sz w:val="20"/>
          <w:szCs w:val="20"/>
        </w:rPr>
        <w:t xml:space="preserve">Classification performance of IBD, IBS, and phylogenetic (Phylo) inference methods across simulation scenarios. (A) Precision-recall scatter plot for all scenario-method combinations. Each point represents one replicate simulation. Colour indicates scenario (baseline, recombination sweep, migration); </w:t>
      </w:r>
      <w:r>
        <w:rPr>
          <w:sz w:val="20"/>
          <w:szCs w:val="20"/>
        </w:rPr>
        <w:lastRenderedPageBreak/>
        <w:t>symbol shape indicates method. (B) F1 score as a function of recombination rate for each method, stratified by scenario. Lines show mean F1; shaded regions show 95% confidence intervals across replicates. The x-axis is on a log scale.</w:t>
      </w:r>
    </w:p>
    <w:p w14:paraId="405B927A" w14:textId="77777777" w:rsidR="001619FD" w:rsidRDefault="001619FD"/>
    <w:p w14:paraId="405B927B" w14:textId="77777777" w:rsidR="001619FD" w:rsidRDefault="00000000">
      <w:pPr>
        <w:spacing w:before="80" w:after="240" w:line="320" w:lineRule="auto"/>
        <w:jc w:val="both"/>
      </w:pPr>
      <w:r>
        <w:rPr>
          <w:b/>
          <w:bCs/>
          <w:sz w:val="20"/>
          <w:szCs w:val="20"/>
        </w:rPr>
        <w:t xml:space="preserve">Figure 5. </w:t>
      </w:r>
      <w:r>
        <w:rPr>
          <w:sz w:val="20"/>
          <w:szCs w:val="20"/>
        </w:rPr>
        <w:t>Cophenetic (patristic) distance distributions for direct (orange) and non-direct (blue) transmission pairs under the baseline (left panel) and recombination sweep (right panel) scenarios. Distances were derived from maximum-likelihood phylogenies inferred with IQ-TREE. The x-axis shows cophenetic distance; the y-axis shows density. Distributions are shown as kernel density estimates pooled across replicates.</w:t>
      </w:r>
    </w:p>
    <w:p w14:paraId="405B927C" w14:textId="77777777" w:rsidR="001619FD" w:rsidRDefault="001619FD"/>
    <w:p w14:paraId="405B927D" w14:textId="77777777" w:rsidR="001619FD" w:rsidRDefault="00000000">
      <w:pPr>
        <w:spacing w:before="80" w:after="240" w:line="320" w:lineRule="auto"/>
        <w:jc w:val="both"/>
      </w:pPr>
      <w:r>
        <w:rPr>
          <w:b/>
          <w:bCs/>
          <w:sz w:val="20"/>
          <w:szCs w:val="20"/>
        </w:rPr>
        <w:t xml:space="preserve">Figure Sx. </w:t>
      </w:r>
      <w:r>
        <w:rPr>
          <w:sz w:val="20"/>
          <w:szCs w:val="20"/>
        </w:rPr>
        <w:t>Sensitivity (true positive rate; panel A) and false discovery rate (FDR = FP / (TP + FP); panel B) for IBD, IBS, and Phylo methods across the baseline, recombination sweep, and migration scenarios. Each dot and whisker represents the median and interquartile range across replicates. Results shown at a fixed classification threshold.</w:t>
      </w:r>
    </w:p>
    <w:p w14:paraId="405B927E" w14:textId="77777777" w:rsidR="001619FD" w:rsidRDefault="001619FD"/>
    <w:p w14:paraId="405B927F" w14:textId="77777777" w:rsidR="001619FD" w:rsidRDefault="00000000">
      <w:pPr>
        <w:pBdr>
          <w:bottom w:val="single" w:sz="4" w:space="4" w:color="888888"/>
        </w:pBdr>
        <w:spacing w:before="400" w:after="200"/>
      </w:pPr>
      <w:r>
        <w:rPr>
          <w:b/>
          <w:bCs/>
          <w:color w:val="2E5090"/>
          <w:sz w:val="26"/>
          <w:szCs w:val="26"/>
        </w:rPr>
        <w:t>Section 4 — Figure 6 + FigS3 + FigS6 + FigSxxx_migration_sensitivity</w:t>
      </w:r>
    </w:p>
    <w:p w14:paraId="405B9280" w14:textId="77777777" w:rsidR="001619FD" w:rsidRDefault="00000000">
      <w:pPr>
        <w:pStyle w:val="Heading2"/>
        <w:spacing w:before="0" w:after="160"/>
      </w:pPr>
      <w:r>
        <w:t>Migration rate has a limited independent effect on detectability relative to recombination</w:t>
      </w:r>
    </w:p>
    <w:p w14:paraId="405B9281" w14:textId="77777777" w:rsidR="001619FD" w:rsidRDefault="00000000">
      <w:pPr>
        <w:spacing w:after="160" w:line="360" w:lineRule="auto"/>
        <w:jc w:val="both"/>
      </w:pPr>
      <w:r>
        <w:t>To disentangle the contributions of population structure and recombination to transmission detectability, we evaluated AUPRC across a factorial combination of recombination rates (10</w:t>
      </w:r>
      <w:r>
        <w:rPr>
          <w:vertAlign w:val="superscript"/>
        </w:rPr>
        <w:t>−9</w:t>
      </w:r>
      <w:r>
        <w:t xml:space="preserve"> to 10</w:t>
      </w:r>
      <w:r>
        <w:rPr>
          <w:vertAlign w:val="superscript"/>
        </w:rPr>
        <w:t>−6</w:t>
      </w:r>
      <w:r>
        <w:t>) and migration rates (0.001, 0.01, 0.05) for G ≤ 25 generations (</w:t>
      </w:r>
      <w:r>
        <w:rPr>
          <w:b/>
          <w:bCs/>
        </w:rPr>
        <w:t>Fig. 6</w:t>
      </w:r>
      <w:r>
        <w:t>). Across all panels (</w:t>
      </w:r>
      <w:r>
        <w:rPr>
          <w:b/>
          <w:bCs/>
        </w:rPr>
        <w:t>Fig. 6A–D</w:t>
      </w:r>
      <w:r>
        <w:t>), AUPRC increased with recombination rate for all three methods, regardless of migration level. IBD consistently achieved the highest AUPRC among the three methods at every recombination-migration combination tested. The gradient across migration rates within any fixed recombination rate was modest: at r = 10</w:t>
      </w:r>
      <w:r>
        <w:rPr>
          <w:vertAlign w:val="superscript"/>
        </w:rPr>
        <w:t>−6</w:t>
      </w:r>
      <w:r>
        <w:t xml:space="preserve"> (</w:t>
      </w:r>
      <w:r>
        <w:rPr>
          <w:b/>
          <w:bCs/>
        </w:rPr>
        <w:t>Fig. 6D</w:t>
      </w:r>
      <w:r>
        <w:t>), AUPRC for IBD varied by less than 0.05 units across the three migration levels. The AUPRC gain curve (</w:t>
      </w:r>
      <w:r>
        <w:rPr>
          <w:b/>
          <w:bCs/>
        </w:rPr>
        <w:t>Fig. 6E</w:t>
      </w:r>
      <w:r>
        <w:t>) confirms that the primary driver of detectability differences across the panel is recombination rate, not migration.</w:t>
      </w:r>
    </w:p>
    <w:p w14:paraId="405B9282" w14:textId="77777777" w:rsidR="001619FD" w:rsidRDefault="00000000">
      <w:pPr>
        <w:spacing w:after="160" w:line="360" w:lineRule="auto"/>
        <w:jc w:val="both"/>
      </w:pPr>
      <w:r>
        <w:t>At fixed recombination rates, the sensitivity at 90% specificity (</w:t>
      </w:r>
      <w:r>
        <w:rPr>
          <w:b/>
          <w:bCs/>
        </w:rPr>
        <w:t>Fig. S3</w:t>
      </w:r>
      <w:r>
        <w:t>) showed a similar pattern: IBD achieved the highest sensitivity across all migration-recombination combinations, but migration rate did not produce consistent directional changes in sensitivity within any recombination stratum. The AUPRC profiles stratified by migration rate (</w:t>
      </w:r>
      <w:r>
        <w:rPr>
          <w:b/>
          <w:bCs/>
        </w:rPr>
        <w:t>Fig. S6</w:t>
      </w:r>
      <w:r>
        <w:t>) further demonstrate that, at the AUPRC = 0.6 reference threshold, only the highest recombination rate (r = 10</w:t>
      </w:r>
      <w:r>
        <w:rPr>
          <w:vertAlign w:val="superscript"/>
        </w:rPr>
        <w:t>−6</w:t>
      </w:r>
      <w:r>
        <w:t xml:space="preserve">) reliably produces AUPRC values above this level for IBD, and only under some migration </w:t>
      </w:r>
      <w:r>
        <w:lastRenderedPageBreak/>
        <w:t>conditions. IBS and Phylo remained below this threshold across nearly all conditions. Sensitivity at 90% specificity as a function of migration rate (</w:t>
      </w:r>
      <w:r>
        <w:rPr>
          <w:b/>
          <w:bCs/>
        </w:rPr>
        <w:t>Fig. Sxxx</w:t>
      </w:r>
      <w:r>
        <w:t>) shows that increasing migration from 0.001 to 0.05 does not substantially alter sensitivity in a consistent direction for any method or recombination rate, suggesting that the range of migration rates explored here represents a regime where connectivity does not strongly modulate pair-level discriminability.</w:t>
      </w:r>
    </w:p>
    <w:p w14:paraId="405B9283" w14:textId="77777777" w:rsidR="001619FD" w:rsidRDefault="001619FD"/>
    <w:p w14:paraId="405B9284" w14:textId="77777777" w:rsidR="001619FD" w:rsidRDefault="00000000">
      <w:pPr>
        <w:spacing w:before="80" w:after="240" w:line="320" w:lineRule="auto"/>
        <w:jc w:val="both"/>
      </w:pPr>
      <w:r>
        <w:rPr>
          <w:b/>
          <w:bCs/>
          <w:sz w:val="20"/>
          <w:szCs w:val="20"/>
        </w:rPr>
        <w:t xml:space="preserve">Figure 6. </w:t>
      </w:r>
      <w:r>
        <w:rPr>
          <w:sz w:val="20"/>
          <w:szCs w:val="20"/>
        </w:rPr>
        <w:t>Mean AUPRC (± 95% CI) for IBD (orange), IBS (blue), and Phylo (green) methods across migration rates (0.001, 0.01, 0.05) and recombination rates (r = 10⁻⁹ to 10⁻⁶), for pairs within G ≤ 25 generations. Panels A–D show AUPRC for each recombination rate separately, with migration rate on the x-axis. Panel E shows the AUPRC gradient across all recombination rates simultaneously, with the three migration levels represented by line colour. A horizontal reference line at AUPRC = 0.6 is included.</w:t>
      </w:r>
    </w:p>
    <w:p w14:paraId="405B9285" w14:textId="77777777" w:rsidR="001619FD" w:rsidRDefault="001619FD"/>
    <w:p w14:paraId="405B9286" w14:textId="77777777" w:rsidR="001619FD" w:rsidRDefault="00000000">
      <w:pPr>
        <w:spacing w:before="80" w:after="240" w:line="320" w:lineRule="auto"/>
        <w:jc w:val="both"/>
      </w:pPr>
      <w:r>
        <w:rPr>
          <w:b/>
          <w:bCs/>
          <w:sz w:val="20"/>
          <w:szCs w:val="20"/>
        </w:rPr>
        <w:t xml:space="preserve">Figure S3. </w:t>
      </w:r>
      <w:r>
        <w:rPr>
          <w:sz w:val="20"/>
          <w:szCs w:val="20"/>
        </w:rPr>
        <w:t>Sensitivity at 90% specificity (± 95% CI) for IBD (orange), IBS (blue), and Phylo (green) across four recombination rates (panels) and three migration rates (x-axis) for G ≤ 25 generations.</w:t>
      </w:r>
    </w:p>
    <w:p w14:paraId="405B9287" w14:textId="77777777" w:rsidR="001619FD" w:rsidRDefault="001619FD"/>
    <w:p w14:paraId="405B9288" w14:textId="77777777" w:rsidR="001619FD" w:rsidRDefault="00000000">
      <w:pPr>
        <w:spacing w:before="80" w:after="240" w:line="320" w:lineRule="auto"/>
        <w:jc w:val="both"/>
      </w:pPr>
      <w:r>
        <w:rPr>
          <w:b/>
          <w:bCs/>
          <w:sz w:val="20"/>
          <w:szCs w:val="20"/>
        </w:rPr>
        <w:t xml:space="preserve">Figure S6. </w:t>
      </w:r>
      <w:r>
        <w:rPr>
          <w:sz w:val="20"/>
          <w:szCs w:val="20"/>
        </w:rPr>
        <w:t>Mean AUPRC (± 95% CI) for IBD, IBS, and Phylo across recombination rates (x-axis, log scale) for three migration rates (panels: 0.001, 0.01, 0.05), at G ≤ 25 generations. A horizontal dashed reference line marks AUPRC = 0.6.</w:t>
      </w:r>
    </w:p>
    <w:p w14:paraId="405B9289" w14:textId="77777777" w:rsidR="001619FD" w:rsidRDefault="001619FD"/>
    <w:p w14:paraId="405B928A" w14:textId="77777777" w:rsidR="001619FD" w:rsidRDefault="00000000">
      <w:pPr>
        <w:spacing w:before="80" w:after="240" w:line="320" w:lineRule="auto"/>
        <w:jc w:val="both"/>
      </w:pPr>
      <w:r>
        <w:rPr>
          <w:b/>
          <w:bCs/>
          <w:sz w:val="20"/>
          <w:szCs w:val="20"/>
        </w:rPr>
        <w:t xml:space="preserve">Figure Sxxx (migration sensitivity). </w:t>
      </w:r>
      <w:r>
        <w:rPr>
          <w:sz w:val="20"/>
          <w:szCs w:val="20"/>
        </w:rPr>
        <w:t>Sensitivity at 90% specificity (± 95% CI) as a function of migration rate (x-axis: 0.001, 0.01, 0.05) for each recombination rate stratum (panels A–D: r = 10⁻⁹, 10⁻⁸, 10⁻⁷, 10⁻⁶). Colours indicate method (IBD, IBS, Phylo).</w:t>
      </w:r>
    </w:p>
    <w:p w14:paraId="405B928B" w14:textId="77777777" w:rsidR="001619FD" w:rsidRDefault="001619FD"/>
    <w:p w14:paraId="405B928C" w14:textId="77777777" w:rsidR="001619FD" w:rsidRDefault="00000000">
      <w:pPr>
        <w:pBdr>
          <w:bottom w:val="single" w:sz="4" w:space="4" w:color="888888"/>
        </w:pBdr>
        <w:spacing w:before="400" w:after="200"/>
      </w:pPr>
      <w:r>
        <w:rPr>
          <w:b/>
          <w:bCs/>
          <w:color w:val="2E5090"/>
          <w:sz w:val="26"/>
          <w:szCs w:val="26"/>
        </w:rPr>
        <w:t>Section 5 — Figure 7</w:t>
      </w:r>
    </w:p>
    <w:p w14:paraId="405B928D" w14:textId="77777777" w:rsidR="001619FD" w:rsidRDefault="00000000">
      <w:pPr>
        <w:pStyle w:val="Heading2"/>
        <w:spacing w:before="0" w:after="160"/>
      </w:pPr>
      <w:r>
        <w:t>Recombination rate dominates the detectability landscape across sample sizes and population structures</w:t>
      </w:r>
    </w:p>
    <w:p w14:paraId="405B928E" w14:textId="77777777" w:rsidR="001619FD" w:rsidRDefault="00000000">
      <w:pPr>
        <w:spacing w:after="160" w:line="360" w:lineRule="auto"/>
        <w:jc w:val="both"/>
      </w:pPr>
      <w:r>
        <w:t>To characterise the joint effect of recombination rate, sample size, and migration on the upper bound of detectability, we summarised the best AUPRC achievable by any single method (maximum over IBD, IBS, and Phylo) across a grid of simulation conditions (</w:t>
      </w:r>
      <w:r>
        <w:rPr>
          <w:b/>
          <w:bCs/>
        </w:rPr>
        <w:t>Fig. 7</w:t>
      </w:r>
      <w:r>
        <w:t>). The heatmaps reveal a consistent gradient along the recombination axis: best AUPRC increased from 0.53–0.62 at r = 10</w:t>
      </w:r>
      <w:r>
        <w:rPr>
          <w:vertAlign w:val="superscript"/>
        </w:rPr>
        <w:t>−9</w:t>
      </w:r>
      <w:r>
        <w:t xml:space="preserve"> to 0.74–0.82 at r = 10</w:t>
      </w:r>
      <w:r>
        <w:rPr>
          <w:vertAlign w:val="superscript"/>
        </w:rPr>
        <w:t>−6</w:t>
      </w:r>
      <w:r>
        <w:t>, regardless of migration rate or sample size. This gradient was present across all three migration panels (migration = 0.001, 0.01, 0.05) and was the dominant source of variation in the heatmaps.</w:t>
      </w:r>
    </w:p>
    <w:p w14:paraId="405B928F" w14:textId="77777777" w:rsidR="001619FD" w:rsidRDefault="00000000">
      <w:pPr>
        <w:spacing w:after="160" w:line="360" w:lineRule="auto"/>
        <w:jc w:val="both"/>
      </w:pPr>
      <w:r>
        <w:lastRenderedPageBreak/>
        <w:t>The effect of sample size on best AUPRC was non-monotonic and generally small relative to the recombination effect. At several recombination-migration combinations, the smallest sample size (n = 100) achieved the highest best AUPRC within its column—for example, n = 100 yielded best AUPRC of 0.82 at r = 10</w:t>
      </w:r>
      <w:r>
        <w:rPr>
          <w:vertAlign w:val="superscript"/>
        </w:rPr>
        <w:t>−6</w:t>
      </w:r>
      <w:r>
        <w:t>, migration = 0.001, compared to 0.75 at n = 400 under the same conditions. This pattern was not universal and was less consistent at lower recombination rates. Across migration levels, the best AUPRC values were broadly similar: the difference between migration = 0.001 and migration = 0.05 at any fixed recombination-sample size cell was generally less than 0.05 AUPRC units. These results reinforce the conclusion that recombination rate is the primary axis of variation in transmission detectability within the parameter space explored here, while sample size and migration exert secondary and context-dependent effects.</w:t>
      </w:r>
    </w:p>
    <w:p w14:paraId="405B9290" w14:textId="77777777" w:rsidR="001619FD" w:rsidRDefault="00000000">
      <w:pPr>
        <w:spacing w:after="160" w:line="360" w:lineRule="auto"/>
        <w:jc w:val="both"/>
      </w:pPr>
      <w:r>
        <w:t>Across the entire grid, best AUPRC did not reach 0.9 in any cell, and only a small subset of conditions—specifically those combining the highest recombination rate with smaller sample sizes—exceeded 0.8. This ceiling on best achievable performance, even under the most favourable simulated conditions, indicates a fundamental limit to transmission detectability that persists despite method optimisation.</w:t>
      </w:r>
    </w:p>
    <w:p w14:paraId="405B9291" w14:textId="77777777" w:rsidR="001619FD" w:rsidRDefault="001619FD"/>
    <w:p w14:paraId="405B9292" w14:textId="77777777" w:rsidR="001619FD" w:rsidRDefault="00000000">
      <w:pPr>
        <w:spacing w:before="80" w:after="240" w:line="320" w:lineRule="auto"/>
        <w:jc w:val="both"/>
      </w:pPr>
      <w:r>
        <w:rPr>
          <w:b/>
          <w:bCs/>
          <w:sz w:val="20"/>
          <w:szCs w:val="20"/>
        </w:rPr>
        <w:t xml:space="preserve">Figure 7. </w:t>
      </w:r>
      <w:r>
        <w:rPr>
          <w:sz w:val="20"/>
          <w:szCs w:val="20"/>
        </w:rPr>
        <w:t>Best AUPRC (maximum over IBD, IBS, and Phylo methods) across sample sizes (y-axis: 100, 200, 400) and recombination rates (x-axis: 10⁻⁹, 10⁻⁸, 10⁻⁷, 10⁻⁶), for three migration rates (panels: 0.001, 0.01, 0.05). Colour scale ranges from yellow (low AUPRC ≈ 0.50) to dark red (high AUPRC ≈ 1.00). Numeric AUPRC values are displayed in each cell. Results are for G ≤ 25 generations.</w:t>
      </w:r>
    </w:p>
    <w:p w14:paraId="405B9293" w14:textId="77777777" w:rsidR="001619FD" w:rsidRDefault="001619FD"/>
    <w:p w14:paraId="405B9294" w14:textId="77777777" w:rsidR="001619FD" w:rsidRDefault="00000000">
      <w:pPr>
        <w:pBdr>
          <w:bottom w:val="single" w:sz="4" w:space="4" w:color="888888"/>
        </w:pBdr>
        <w:spacing w:before="400" w:after="200"/>
      </w:pPr>
      <w:r>
        <w:rPr>
          <w:b/>
          <w:bCs/>
          <w:color w:val="2E5090"/>
          <w:sz w:val="26"/>
          <w:szCs w:val="26"/>
        </w:rPr>
        <w:t>Section 6 — Figure 8 + FigS7</w:t>
      </w:r>
    </w:p>
    <w:p w14:paraId="405B9295" w14:textId="77777777" w:rsidR="001619FD" w:rsidRDefault="00000000">
      <w:pPr>
        <w:pStyle w:val="Heading2"/>
        <w:spacing w:before="0" w:after="160"/>
      </w:pPr>
      <w:r>
        <w:t>The generation threshold for transmission definition is a critical and underappreciated modulator of detectability</w:t>
      </w:r>
    </w:p>
    <w:p w14:paraId="405B9296" w14:textId="77777777" w:rsidR="001619FD" w:rsidRDefault="00000000">
      <w:pPr>
        <w:spacing w:after="160" w:line="360" w:lineRule="auto"/>
        <w:jc w:val="both"/>
      </w:pPr>
      <w:r>
        <w:t>The definition of what constitutes a "transmission link" depends on the temporal scope specified by the generation threshold G. We systematically varied G from 1 to 25 generations and evaluated AUPRC for each method across all recombination rates (</w:t>
      </w:r>
      <w:r>
        <w:rPr>
          <w:b/>
          <w:bCs/>
        </w:rPr>
        <w:t>Fig. 8</w:t>
      </w:r>
      <w:r>
        <w:t>). At G = 1—the most stringent definition of transmission—AUPRC values were low and nearly uniform across recombination rates for all three methods, ranging from approximately 0.39 to 0.46 (</w:t>
      </w:r>
      <w:r>
        <w:rPr>
          <w:b/>
          <w:bCs/>
        </w:rPr>
        <w:t>Fig. 8A–C</w:t>
      </w:r>
      <w:r>
        <w:t>). At this threshold, no method achieved AUPRC above 0.50 under any recombination condition, indicating that genomic inference of the most recent transmission events is near-random in terms of ranking performance.</w:t>
      </w:r>
    </w:p>
    <w:p w14:paraId="405B9297" w14:textId="77777777" w:rsidR="001619FD" w:rsidRDefault="00000000">
      <w:pPr>
        <w:spacing w:after="160" w:line="360" w:lineRule="auto"/>
        <w:jc w:val="both"/>
      </w:pPr>
      <w:r>
        <w:lastRenderedPageBreak/>
        <w:t>As G increased, AUPRC improved for all methods, but the rate of gain was strongly modulated by recombination rate. At r = 10</w:t>
      </w:r>
      <w:r>
        <w:rPr>
          <w:vertAlign w:val="superscript"/>
        </w:rPr>
        <w:t>−6</w:t>
      </w:r>
      <w:r>
        <w:t>, AUPRC for IBD increased from 0.41 at G = 1 to 0.71 at G = 25—a gain of 0.30 AUPRC units (</w:t>
      </w:r>
      <w:r>
        <w:rPr>
          <w:b/>
          <w:bCs/>
        </w:rPr>
        <w:t>Fig. 8A</w:t>
      </w:r>
      <w:r>
        <w:t>). The corresponding gain for IBS was from 0.39 to 0.62 (</w:t>
      </w:r>
      <w:r>
        <w:rPr>
          <w:b/>
          <w:bCs/>
        </w:rPr>
        <w:t>Fig. 8B</w:t>
      </w:r>
      <w:r>
        <w:t>), and for Phylo from 0.42 to 0.60 (</w:t>
      </w:r>
      <w:r>
        <w:rPr>
          <w:b/>
          <w:bCs/>
        </w:rPr>
        <w:t>Fig. 8C</w:t>
      </w:r>
      <w:r>
        <w:t>). By contrast, at r = 10</w:t>
      </w:r>
      <w:r>
        <w:rPr>
          <w:vertAlign w:val="superscript"/>
        </w:rPr>
        <w:t>−9</w:t>
      </w:r>
      <w:r>
        <w:t>, AUPRC increases with G were smaller and less consistent across methods—IBD increased from 0.42 to 0.49, while IBS and Phylo showed negligible gains. The G-threshold gain curve (</w:t>
      </w:r>
      <w:r>
        <w:rPr>
          <w:b/>
          <w:bCs/>
        </w:rPr>
        <w:t>Fig. 8D</w:t>
      </w:r>
      <w:r>
        <w:t>) illustrates this recombination-G interaction: the curve is steepest at the highest recombination rates, while at the lowest recombination rate, the AUPRC gain with G is nearly flat.</w:t>
      </w:r>
    </w:p>
    <w:p w14:paraId="405B9298" w14:textId="77777777" w:rsidR="001619FD" w:rsidRDefault="00000000">
      <w:pPr>
        <w:spacing w:after="160" w:line="360" w:lineRule="auto"/>
        <w:jc w:val="both"/>
      </w:pPr>
      <w:r>
        <w:t>The G-threshold heatmaps for all three methods (</w:t>
      </w:r>
      <w:r>
        <w:rPr>
          <w:b/>
          <w:bCs/>
        </w:rPr>
        <w:t>Fig. S7</w:t>
      </w:r>
      <w:r>
        <w:t>) confirm these patterns at the replicate level, showing that the IBD method consistently achieved the highest AUPRC at each G-recombination combination, with the largest absolute advantage over IBS and Phylo at G = 25 and high recombination. These results indicate that the detectability of transmission events is fundamentally conditional on how broadly "transmission" is defined temporally. Broader definitions (larger G) yield more detectable signals, particularly in genomes with higher recombination, whereas narrow definitions—most relevant for outbreak or household-level epidemiology—remain poorly recovered by current methods across the full recombination range explored.</w:t>
      </w:r>
    </w:p>
    <w:p w14:paraId="405B9299" w14:textId="77777777" w:rsidR="001619FD" w:rsidRDefault="001619FD"/>
    <w:p w14:paraId="405B929A" w14:textId="77777777" w:rsidR="001619FD" w:rsidRDefault="00000000">
      <w:pPr>
        <w:spacing w:before="80" w:after="240" w:line="320" w:lineRule="auto"/>
        <w:jc w:val="both"/>
      </w:pPr>
      <w:r>
        <w:rPr>
          <w:b/>
          <w:bCs/>
          <w:sz w:val="20"/>
          <w:szCs w:val="20"/>
        </w:rPr>
        <w:t xml:space="preserve">Figure 8. </w:t>
      </w:r>
      <w:r>
        <w:rPr>
          <w:sz w:val="20"/>
          <w:szCs w:val="20"/>
        </w:rPr>
        <w:t>AUPRC as a function of generation threshold G (y-axis: G = 1, 3, 5, 10, 15, 25) and recombination rate (x-axis: 10⁻⁹, 10⁻⁸, 10⁻⁷, 10⁻⁶), for IBD (panel A), IBS (panel B), and Phylo (panel C). Numeric AUPRC values are shown in each cell; colour scale from light yellow (low) to dark orange/red (high). Panel D shows the G-threshold gain curve: mean AUPRC as a function of G threshold, with one line per recombination rate and line type per method (IBD, IBS, Phylo).</w:t>
      </w:r>
    </w:p>
    <w:p w14:paraId="405B929B" w14:textId="77777777" w:rsidR="001619FD" w:rsidRDefault="001619FD"/>
    <w:p w14:paraId="405B929C" w14:textId="77777777" w:rsidR="001619FD" w:rsidRDefault="00000000">
      <w:pPr>
        <w:spacing w:before="80" w:after="240" w:line="320" w:lineRule="auto"/>
        <w:jc w:val="both"/>
      </w:pPr>
      <w:r>
        <w:rPr>
          <w:b/>
          <w:bCs/>
          <w:sz w:val="20"/>
          <w:szCs w:val="20"/>
        </w:rPr>
        <w:t xml:space="preserve">Figure S7. </w:t>
      </w:r>
      <w:r>
        <w:rPr>
          <w:sz w:val="20"/>
          <w:szCs w:val="20"/>
        </w:rPr>
        <w:t>Full G-threshold × recombination rate AUPRC heatmaps for IBD, IBS, and Phylo methods (panels), mirroring the structure of Fig. 8A–C. Shown separately as a supplementary reference with extended numerical annotations.</w:t>
      </w:r>
    </w:p>
    <w:p w14:paraId="405B929D" w14:textId="77777777" w:rsidR="001619FD" w:rsidRDefault="001619FD"/>
    <w:p w14:paraId="405B929E" w14:textId="77777777" w:rsidR="001619FD" w:rsidRDefault="00000000">
      <w:pPr>
        <w:pBdr>
          <w:bottom w:val="single" w:sz="4" w:space="4" w:color="888888"/>
        </w:pBdr>
        <w:spacing w:before="400" w:after="200"/>
      </w:pPr>
      <w:r>
        <w:rPr>
          <w:b/>
          <w:bCs/>
          <w:color w:val="2E5090"/>
          <w:sz w:val="26"/>
          <w:szCs w:val="26"/>
        </w:rPr>
        <w:t>Section 7 — Figure 9 + FigS2 + FigS4 + FigS5</w:t>
      </w:r>
    </w:p>
    <w:p w14:paraId="405B929F" w14:textId="77777777" w:rsidR="001619FD" w:rsidRDefault="00000000">
      <w:pPr>
        <w:pStyle w:val="Heading2"/>
        <w:spacing w:before="0" w:after="160"/>
      </w:pPr>
      <w:r>
        <w:t>Observed genomic data shows near-baseline performance, consistent with a low-recombination, high-IBD-overlap regime</w:t>
      </w:r>
    </w:p>
    <w:p w14:paraId="405B92A0" w14:textId="77777777" w:rsidR="001619FD" w:rsidRDefault="00000000">
      <w:pPr>
        <w:spacing w:after="160" w:line="360" w:lineRule="auto"/>
        <w:jc w:val="both"/>
      </w:pPr>
      <w:r>
        <w:lastRenderedPageBreak/>
        <w:t>To contextualise simulated performance against real sequencing data, we evaluated IBD, IBS, and phylogenetic inference using an observed P. falciparum dataset in which same-household (same-HH) and different-household (different-HH) pairs served as a proxy for transmission proximity. Observed AUPRC values for all three methods (</w:t>
      </w:r>
      <w:r>
        <w:rPr>
          <w:b/>
          <w:bCs/>
        </w:rPr>
        <w:t>Fig. 9B</w:t>
      </w:r>
      <w:r>
        <w:t>) were low—approximately 0.03–0.05—placing them far below the simulated performance distributions (mean simulated AUPRC: ~0.55–0.65 for IBD, ~0.40–0.50 for IBS, ~0.25–0.35 for Phylo). The observed data points fall near the dashed vertical line marking a random classifier (AUPRC ≈ prevalence of positive pairs), indicating that none of the three methods could meaningfully distinguish same-HH from different-HH pairs in this dataset.</w:t>
      </w:r>
    </w:p>
    <w:p w14:paraId="405B92A1" w14:textId="77777777" w:rsidR="001619FD" w:rsidRDefault="00000000">
      <w:pPr>
        <w:spacing w:after="160" w:line="360" w:lineRule="auto"/>
        <w:jc w:val="both"/>
      </w:pPr>
      <w:r>
        <w:t>The IBD proportion distributions for same-HH (n = 158) and different-HH (n = 12,562) pairs (</w:t>
      </w:r>
      <w:r>
        <w:rPr>
          <w:b/>
          <w:bCs/>
        </w:rPr>
        <w:t>Fig. 9C</w:t>
      </w:r>
      <w:r>
        <w:t>) provide a direct explanation for this failure: both distributions are nearly superimposable, with peaks near IBD proportion ≈ 0.22–0.25. Same-HH pairs show a marginally heavier tail at higher IBD proportions, but the overlap is extensive and the distributions cannot be separated at any reasonable threshold. The dashed vertical reference line in panel C indicates that the bulk of both populations clusters within a narrow range of IBD values, reflecting a population where background relatedness is high and within-household transmission pairs are not detectably more related than random pairs at the scale of pairwise IBD.</w:t>
      </w:r>
    </w:p>
    <w:p w14:paraId="405B92A2" w14:textId="77777777" w:rsidR="001619FD" w:rsidRDefault="00000000">
      <w:pPr>
        <w:spacing w:after="160" w:line="360" w:lineRule="auto"/>
        <w:jc w:val="both"/>
      </w:pPr>
      <w:r>
        <w:t>Overlaying the observed data AUPRC on the simulated heatmap (</w:t>
      </w:r>
      <w:r>
        <w:rPr>
          <w:b/>
          <w:bCs/>
        </w:rPr>
        <w:t>Fig. 9A</w:t>
      </w:r>
      <w:r>
        <w:t>) shows that the observed performance falls within the region of the parameter space corresponding to low recombination rates and the associated low-detectability zone. The dashed contour lines in the migration = 0.001 and migration = 0.05 panels indicate that the observed data are broadly consistent with simulations in the r = 10</w:t>
      </w:r>
      <w:r>
        <w:rPr>
          <w:vertAlign w:val="superscript"/>
        </w:rPr>
        <w:t>−7</w:t>
      </w:r>
      <w:r>
        <w:t xml:space="preserve"> to r = 10</w:t>
      </w:r>
      <w:r>
        <w:rPr>
          <w:vertAlign w:val="superscript"/>
        </w:rPr>
        <w:t>−6</w:t>
      </w:r>
      <w:r>
        <w:t xml:space="preserve"> range at moderate to large sample sizes, though the mismatch between observed and simulated AUPRC suggests that additional factors—such as high background relatedness, sample aggregation structure, or the imprecision of household membership as a transmission proxy—further reduce performance beyond what the simulation captures.</w:t>
      </w:r>
    </w:p>
    <w:p w14:paraId="405B92A3" w14:textId="77777777" w:rsidR="001619FD" w:rsidRDefault="00000000">
      <w:pPr>
        <w:spacing w:after="160" w:line="360" w:lineRule="auto"/>
        <w:jc w:val="both"/>
      </w:pPr>
      <w:r>
        <w:t>Sensitivity analysis of the bottleneck size (</w:t>
      </w:r>
      <w:r>
        <w:rPr>
          <w:b/>
          <w:bCs/>
        </w:rPr>
        <w:t>Fig. S2</w:t>
      </w:r>
      <w:r>
        <w:t>) showed that AUPRC varied modestly with the effective population size at the bottleneck (Ne bottleneck = 1,000–20,000) for both low (r = 10</w:t>
      </w:r>
      <w:r>
        <w:rPr>
          <w:vertAlign w:val="superscript"/>
        </w:rPr>
        <w:t>−9</w:t>
      </w:r>
      <w:r>
        <w:t>) and medium (r = 10</w:t>
      </w:r>
      <w:r>
        <w:rPr>
          <w:vertAlign w:val="superscript"/>
        </w:rPr>
        <w:t>−8</w:t>
      </w:r>
      <w:r>
        <w:t>) recombination rates. The smallest bottleneck produced marginally higher AUPRC, particularly for IBD at low recombination, consistent with a more recent coalescent and stronger relatedness signal under severe demographic contraction. However, the absolute differences across bottleneck sizes were small, indicating that the parameterisation of the bottleneck does not qualitatively alter the conclusions about detectability limits.</w:t>
      </w:r>
    </w:p>
    <w:p w14:paraId="405B92A4" w14:textId="77777777" w:rsidR="001619FD" w:rsidRDefault="00000000">
      <w:pPr>
        <w:spacing w:after="160" w:line="360" w:lineRule="auto"/>
        <w:jc w:val="both"/>
      </w:pPr>
      <w:r>
        <w:lastRenderedPageBreak/>
        <w:t>The fraction of simulation replicates in which transmission events were classifiable as identifiable—defined as exceeding a high-performance AUPRC threshold—was near zero for the large majority of conditions (</w:t>
      </w:r>
      <w:r>
        <w:rPr>
          <w:b/>
          <w:bCs/>
        </w:rPr>
        <w:t>Fig. S4</w:t>
      </w:r>
      <w:r>
        <w:t>). Only IBD at r = 10</w:t>
      </w:r>
      <w:r>
        <w:rPr>
          <w:vertAlign w:val="superscript"/>
        </w:rPr>
        <w:t>−9</w:t>
      </w:r>
      <w:r>
        <w:t xml:space="preserve"> achieved non-trivial identifiable fractions (0.70–0.95 depending on migration level), and this fraction dropped sharply to below 0.15 at r = 10</w:t>
      </w:r>
      <w:r>
        <w:rPr>
          <w:vertAlign w:val="superscript"/>
        </w:rPr>
        <w:t>−8</w:t>
      </w:r>
      <w:r>
        <w:t>. IBS and Phylo methods yielded identifiable fractions of 0.00 across all recombination rates and migration levels, underscoring the near-complete failure of these methods to achieve high-confidence transmission classification in this pathogen system. Finally, the AUPRC gap between IBD and the next-best method (</w:t>
      </w:r>
      <w:r>
        <w:rPr>
          <w:b/>
          <w:bCs/>
        </w:rPr>
        <w:t>Fig. S5</w:t>
      </w:r>
      <w:r>
        <w:t>) was largest at the lowest recombination rate (gap = 0.158–0.176 across migration levels) and smallest at r = 10</w:t>
      </w:r>
      <w:r>
        <w:rPr>
          <w:vertAlign w:val="superscript"/>
        </w:rPr>
        <w:t>−7</w:t>
      </w:r>
      <w:r>
        <w:t xml:space="preserve"> (gap ≈ 0.049–0.050), indicating that the three methods are most differentiated in the regime where the genomic signal is strongest. Across all conditions, IBD retained a positive advantage over IBS and Phylo, though this advantage provides limited practical benefit when absolute AUPRC values remain below 0.6 in most conditions.</w:t>
      </w:r>
    </w:p>
    <w:p w14:paraId="405B92A5" w14:textId="77777777" w:rsidR="001619FD" w:rsidRDefault="001619FD"/>
    <w:p w14:paraId="405B92A6" w14:textId="77777777" w:rsidR="001619FD" w:rsidRDefault="00000000">
      <w:pPr>
        <w:spacing w:before="80" w:after="240" w:line="320" w:lineRule="auto"/>
        <w:jc w:val="both"/>
      </w:pPr>
      <w:r>
        <w:rPr>
          <w:b/>
          <w:bCs/>
          <w:sz w:val="20"/>
          <w:szCs w:val="20"/>
        </w:rPr>
        <w:t xml:space="preserve">Figure 9. </w:t>
      </w:r>
      <w:r>
        <w:rPr>
          <w:sz w:val="20"/>
          <w:szCs w:val="20"/>
        </w:rPr>
        <w:t>(A) Heatmap of best simulated AUPRC (maximum over IBD, IBS, Phylo) as a function of recombination rate (x-axis, log scale) and sample size (y-axis: 100–400), for three migration rates (panels: 0.001, 0.01, 0.05). Dashed contour lines indicate the region of the parameter space most consistent with observed P. falciparum data. Colour scale: green (AUPRC ≈ 0.5) to orange-red (AUPRC ≈ 1.0). (B) AUPRC for IBD, IBS, and Phylo in observed (solid dots) versus simulated (shaded interval) data. Horizontal dashed line marks the random classifier baseline. (C) IBD proportion density distributions for same-household (orange; n = 158) and different-household (grey; n = 12,562) pairs in the observed dataset. The vertical dashed lines indicate the median IBD proportion for each group.</w:t>
      </w:r>
    </w:p>
    <w:p w14:paraId="405B92A7" w14:textId="77777777" w:rsidR="001619FD" w:rsidRDefault="001619FD"/>
    <w:p w14:paraId="405B92A8" w14:textId="77777777" w:rsidR="001619FD" w:rsidRDefault="00000000">
      <w:pPr>
        <w:spacing w:before="80" w:after="240" w:line="320" w:lineRule="auto"/>
        <w:jc w:val="both"/>
      </w:pPr>
      <w:r>
        <w:rPr>
          <w:b/>
          <w:bCs/>
          <w:sz w:val="20"/>
          <w:szCs w:val="20"/>
        </w:rPr>
        <w:t xml:space="preserve">Figure S2. </w:t>
      </w:r>
      <w:r>
        <w:rPr>
          <w:sz w:val="20"/>
          <w:szCs w:val="20"/>
        </w:rPr>
        <w:t>Effect of effective population size at the bottleneck (Ne bottleneck = 1,000; 5,000; 20,000) on mean AUPRC (± 95% CI) for IBD, IBS, and Phylo, shown separately for low (r = 10⁻⁹) and medium (r = 10⁻⁸) recombination rates. Results are for G ≤ 25 generations.</w:t>
      </w:r>
    </w:p>
    <w:p w14:paraId="405B92A9" w14:textId="77777777" w:rsidR="001619FD" w:rsidRDefault="001619FD"/>
    <w:p w14:paraId="405B92AA" w14:textId="77777777" w:rsidR="001619FD" w:rsidRDefault="00000000">
      <w:pPr>
        <w:spacing w:before="80" w:after="240" w:line="320" w:lineRule="auto"/>
        <w:jc w:val="both"/>
      </w:pPr>
      <w:r>
        <w:rPr>
          <w:b/>
          <w:bCs/>
          <w:sz w:val="20"/>
          <w:szCs w:val="20"/>
        </w:rPr>
        <w:t xml:space="preserve">Figure S4. </w:t>
      </w:r>
      <w:r>
        <w:rPr>
          <w:sz w:val="20"/>
          <w:szCs w:val="20"/>
        </w:rPr>
        <w:t>Fraction of simulation replicates classified as identifiable (i.e., achieving high-performance AUPRC above a fixed threshold) for IBD, IBS, and Phylo methods, across three migration rates (rows) and four recombination rates (columns). For G ≤ 25 generations. Cells show the fraction (0–1); colour scale from white (fraction = 0) to dark blue (fraction = 1).</w:t>
      </w:r>
    </w:p>
    <w:p w14:paraId="405B92AB" w14:textId="77777777" w:rsidR="001619FD" w:rsidRDefault="001619FD"/>
    <w:p w14:paraId="405B92AC" w14:textId="77777777" w:rsidR="001619FD" w:rsidRDefault="00000000">
      <w:pPr>
        <w:spacing w:before="80" w:after="240" w:line="320" w:lineRule="auto"/>
        <w:jc w:val="both"/>
      </w:pPr>
      <w:r>
        <w:rPr>
          <w:b/>
          <w:bCs/>
          <w:sz w:val="20"/>
          <w:szCs w:val="20"/>
        </w:rPr>
        <w:t xml:space="preserve">Figure S5. </w:t>
      </w:r>
      <w:r>
        <w:rPr>
          <w:sz w:val="20"/>
          <w:szCs w:val="20"/>
        </w:rPr>
        <w:t>IBD advantage over the next-best method (AUPRC gap = AUPRC_IBD − max(AUPRC_IBS, AUPRC_Phylo)) for G ≤ 25 generations. Heatmap with migration rate on the y-axis (0.001, 0.01, 0.05) and recombination rate on the x-axis (10⁻⁹, 10⁻⁸, 10⁻⁷, 10⁻⁶). Numeric values shown in each cell; colour scale from white (small gap) to dark orange (large gap).</w:t>
      </w:r>
    </w:p>
    <w:p w14:paraId="405B92AD" w14:textId="77777777" w:rsidR="001619FD" w:rsidRDefault="001619FD"/>
    <w:p w14:paraId="405B92AE" w14:textId="77777777" w:rsidR="001619FD" w:rsidRDefault="00000000">
      <w:pPr>
        <w:pBdr>
          <w:bottom w:val="single" w:sz="4" w:space="4" w:color="888888"/>
        </w:pBdr>
        <w:spacing w:before="400" w:after="200"/>
      </w:pPr>
      <w:r>
        <w:rPr>
          <w:b/>
          <w:bCs/>
          <w:color w:val="2E5090"/>
          <w:sz w:val="26"/>
          <w:szCs w:val="26"/>
        </w:rPr>
        <w:t>Suggested Tables</w:t>
      </w:r>
    </w:p>
    <w:p w14:paraId="405B92AF" w14:textId="77777777" w:rsidR="001619FD" w:rsidRDefault="00000000">
      <w:pPr>
        <w:pStyle w:val="Heading2"/>
        <w:spacing w:before="0" w:after="160"/>
      </w:pPr>
      <w:r>
        <w:t>Suggested Tables for the Manuscript</w:t>
      </w:r>
    </w:p>
    <w:p w14:paraId="405B92B0" w14:textId="77777777" w:rsidR="001619FD" w:rsidRDefault="00000000">
      <w:pPr>
        <w:spacing w:after="160" w:line="360" w:lineRule="auto"/>
        <w:jc w:val="both"/>
      </w:pPr>
      <w:r>
        <w:t>The following tables are recommended to complement the figure-based results and provide reviewers with structured numerical summaries. These are suggestions based on the data visible in the figures; exact values should be drawn from simulation outputs.</w:t>
      </w:r>
    </w:p>
    <w:p w14:paraId="405B92B1" w14:textId="77777777" w:rsidR="001619FD" w:rsidRDefault="001619FD"/>
    <w:p w14:paraId="405B92B2" w14:textId="77777777" w:rsidR="001619FD" w:rsidRDefault="00000000">
      <w:pPr>
        <w:pStyle w:val="Heading3"/>
      </w:pPr>
      <w:r>
        <w:t>Table 1. Simulation parameters and scenario definitions</w:t>
      </w:r>
    </w:p>
    <w:p w14:paraId="405B92B3" w14:textId="77777777" w:rsidR="001619FD" w:rsidRDefault="00000000">
      <w:pPr>
        <w:spacing w:after="160" w:line="360" w:lineRule="auto"/>
        <w:jc w:val="both"/>
      </w:pPr>
      <w:r>
        <w:t>A structured summary of all three scenarios (Baseline, Recombination Sweep, Multi-population), listing the values of μ, r, Ne, selfing rate, drug selection coefficient, number of subpopulations, migration rates, and the factorial combinations explored. This table contextualises all downstream results and is essential for reproducibility.</w:t>
      </w:r>
    </w:p>
    <w:p w14:paraId="405B92B4" w14:textId="77777777" w:rsidR="001619FD" w:rsidRDefault="001619FD"/>
    <w:p w14:paraId="405B92B5" w14:textId="77777777" w:rsidR="001619FD" w:rsidRDefault="00000000">
      <w:pPr>
        <w:pStyle w:val="Heading3"/>
      </w:pPr>
      <w:r>
        <w:t>Table 2. AUPRC summary by method, scenario, and G threshold (main conditions)</w:t>
      </w:r>
    </w:p>
    <w:p w14:paraId="405B92B6" w14:textId="77777777" w:rsidR="001619FD" w:rsidRDefault="00000000">
      <w:pPr>
        <w:spacing w:after="160" w:line="360" w:lineRule="auto"/>
        <w:jc w:val="both"/>
      </w:pPr>
      <w:r>
        <w:t>Mean AUPRC (± 95% CI) for IBD, IBS, and Phylo at G = 1, 5, 10, and 25, for each scenario and key recombination rate (e.g., r = 10⁻⁹ and r = 10⁻⁶). This table complements Fig. 8 and provides exact values for readers wishing to compare performance at specific conditions.</w:t>
      </w:r>
    </w:p>
    <w:p w14:paraId="405B92B7" w14:textId="77777777" w:rsidR="001619FD" w:rsidRDefault="001619FD"/>
    <w:p w14:paraId="405B92B8" w14:textId="77777777" w:rsidR="001619FD" w:rsidRDefault="00000000">
      <w:pPr>
        <w:pStyle w:val="Heading3"/>
      </w:pPr>
      <w:r>
        <w:t>Table 3. Sensitivity at 90% specificity across recombination and migration (key conditions)</w:t>
      </w:r>
    </w:p>
    <w:p w14:paraId="405B92B9" w14:textId="77777777" w:rsidR="001619FD" w:rsidRDefault="00000000">
      <w:pPr>
        <w:spacing w:after="160" w:line="360" w:lineRule="auto"/>
        <w:jc w:val="both"/>
      </w:pPr>
      <w:r>
        <w:t>Mean sensitivity at 90% specificity (± 95% CI) for IBD, IBS, and Phylo at each recombination × migration combination for G ≤ 25 generations. This provides a fixed-specificity operating point complement to the AUPRC-based summaries, facilitating comparison with threshold-based field application scenarios. Complements Fig. S3 and FigSxxx_migration_sensitivity.</w:t>
      </w:r>
    </w:p>
    <w:p w14:paraId="405B92BA" w14:textId="77777777" w:rsidR="001619FD" w:rsidRDefault="001619FD"/>
    <w:p w14:paraId="405B92BB" w14:textId="77777777" w:rsidR="001619FD" w:rsidRDefault="00000000">
      <w:pPr>
        <w:pStyle w:val="Heading3"/>
      </w:pPr>
      <w:r>
        <w:t>Table 4. Observed versus simulated AUPRC and matched simulation conditions</w:t>
      </w:r>
    </w:p>
    <w:p w14:paraId="405B92BC" w14:textId="77777777" w:rsidR="001619FD" w:rsidRDefault="00000000">
      <w:pPr>
        <w:spacing w:after="160" w:line="360" w:lineRule="auto"/>
        <w:jc w:val="both"/>
      </w:pPr>
      <w:r>
        <w:t>For each method (IBD, IBS, Phylo), the observed AUPRC in the real P. falciparum dataset, the range of simulated AUPRC values across all conditions, and the simulated condition (recombination rate, migration, sample size) that most closely matches the observed performance. Complements Fig. 9B and anchors the biological interpretation of the simulation results.</w:t>
      </w:r>
    </w:p>
    <w:p w14:paraId="405B92BD" w14:textId="77777777" w:rsidR="001619FD" w:rsidRDefault="001619FD"/>
    <w:sectPr w:rsidR="001619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B177A"/>
    <w:multiLevelType w:val="hybridMultilevel"/>
    <w:tmpl w:val="E7CC43DC"/>
    <w:lvl w:ilvl="0" w:tplc="E40E99D8">
      <w:start w:val="1"/>
      <w:numFmt w:val="bullet"/>
      <w:lvlText w:val="●"/>
      <w:lvlJc w:val="left"/>
      <w:pPr>
        <w:ind w:left="720" w:hanging="360"/>
      </w:pPr>
    </w:lvl>
    <w:lvl w:ilvl="1" w:tplc="716A8214">
      <w:start w:val="1"/>
      <w:numFmt w:val="bullet"/>
      <w:lvlText w:val="○"/>
      <w:lvlJc w:val="left"/>
      <w:pPr>
        <w:ind w:left="1440" w:hanging="360"/>
      </w:pPr>
    </w:lvl>
    <w:lvl w:ilvl="2" w:tplc="AB2EADC8">
      <w:start w:val="1"/>
      <w:numFmt w:val="bullet"/>
      <w:lvlText w:val="■"/>
      <w:lvlJc w:val="left"/>
      <w:pPr>
        <w:ind w:left="2160" w:hanging="360"/>
      </w:pPr>
    </w:lvl>
    <w:lvl w:ilvl="3" w:tplc="5712D296">
      <w:start w:val="1"/>
      <w:numFmt w:val="bullet"/>
      <w:lvlText w:val="●"/>
      <w:lvlJc w:val="left"/>
      <w:pPr>
        <w:ind w:left="2880" w:hanging="360"/>
      </w:pPr>
    </w:lvl>
    <w:lvl w:ilvl="4" w:tplc="70260420">
      <w:start w:val="1"/>
      <w:numFmt w:val="bullet"/>
      <w:lvlText w:val="○"/>
      <w:lvlJc w:val="left"/>
      <w:pPr>
        <w:ind w:left="3600" w:hanging="360"/>
      </w:pPr>
    </w:lvl>
    <w:lvl w:ilvl="5" w:tplc="B8FE6A22">
      <w:start w:val="1"/>
      <w:numFmt w:val="bullet"/>
      <w:lvlText w:val="■"/>
      <w:lvlJc w:val="left"/>
      <w:pPr>
        <w:ind w:left="4320" w:hanging="360"/>
      </w:pPr>
    </w:lvl>
    <w:lvl w:ilvl="6" w:tplc="FDA0A5FC">
      <w:start w:val="1"/>
      <w:numFmt w:val="bullet"/>
      <w:lvlText w:val="●"/>
      <w:lvlJc w:val="left"/>
      <w:pPr>
        <w:ind w:left="5040" w:hanging="360"/>
      </w:pPr>
    </w:lvl>
    <w:lvl w:ilvl="7" w:tplc="66A89C8A">
      <w:start w:val="1"/>
      <w:numFmt w:val="bullet"/>
      <w:lvlText w:val="●"/>
      <w:lvlJc w:val="left"/>
      <w:pPr>
        <w:ind w:left="5760" w:hanging="360"/>
      </w:pPr>
    </w:lvl>
    <w:lvl w:ilvl="8" w:tplc="FC9A562A">
      <w:start w:val="1"/>
      <w:numFmt w:val="bullet"/>
      <w:lvlText w:val="●"/>
      <w:lvlJc w:val="left"/>
      <w:pPr>
        <w:ind w:left="6480" w:hanging="360"/>
      </w:pPr>
    </w:lvl>
  </w:abstractNum>
  <w:num w:numId="1" w16cid:durableId="28527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9FD"/>
    <w:rsid w:val="001619FD"/>
    <w:rsid w:val="003D16B2"/>
    <w:rsid w:val="007E6C80"/>
    <w:rsid w:val="0095064F"/>
  </w:rsids>
  <m:mathPr>
    <m:mathFont m:val="Cambria Math"/>
    <m:brkBin m:val="before"/>
    <m:brkBinSub m:val="--"/>
    <m:smallFrac m:val="0"/>
    <m:dispDef/>
    <m:lMargin m:val="0"/>
    <m:rMargin m:val="0"/>
    <m:defJc m:val="centerGroup"/>
    <m:wrapIndent m:val="1440"/>
    <m:intLim m:val="subSup"/>
    <m:naryLim m:val="undOvr"/>
  </m:mathPr>
  <w:themeFontLang w:val="en-GM"/>
  <w:clrSchemeMapping w:bg1="light1" w:t1="dark1" w:bg2="light2" w:t2="dark2" w:accent1="accent1" w:accent2="accent2" w:accent3="accent3" w:accent4="accent4" w:accent5="accent5" w:accent6="accent6" w:hyperlink="hyperlink" w:followedHyperlink="followedHyperlink"/>
  <w:decimalSymbol w:val="."/>
  <w:listSeparator w:val=","/>
  <w14:docId w14:val="405B9261"/>
  <w15:docId w15:val="{E6CBAB1E-1239-304F-945C-6D0E8CD1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M"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060"/>
      <w:sz w:val="32"/>
      <w:szCs w:val="32"/>
    </w:rPr>
  </w:style>
  <w:style w:type="paragraph" w:styleId="Heading2">
    <w:name w:val="heading 2"/>
    <w:uiPriority w:val="9"/>
    <w:unhideWhenUsed/>
    <w:qFormat/>
    <w:pPr>
      <w:spacing w:before="300" w:after="140"/>
      <w:outlineLvl w:val="1"/>
    </w:pPr>
    <w:rPr>
      <w:b/>
      <w:bCs/>
      <w:color w:val="2E5090"/>
      <w:sz w:val="26"/>
      <w:szCs w:val="26"/>
    </w:rPr>
  </w:style>
  <w:style w:type="paragraph" w:styleId="Heading3">
    <w:name w:val="heading 3"/>
    <w:uiPriority w:val="9"/>
    <w:unhideWhenUsed/>
    <w:qFormat/>
    <w:pPr>
      <w:spacing w:before="200" w:after="100"/>
      <w:outlineLvl w:val="2"/>
    </w:pPr>
    <w:rPr>
      <w:b/>
      <w:bCs/>
      <w:i/>
      <w:i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3751</Words>
  <Characters>21671</Characters>
  <Application>Microsoft Office Word</Application>
  <DocSecurity>0</DocSecurity>
  <Lines>325</Lines>
  <Paragraphs>64</Paragraphs>
  <ScaleCrop>false</ScaleCrop>
  <Company/>
  <LinksUpToDate>false</LinksUpToDate>
  <CharactersWithSpaces>25331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Mouhamadou Fadel Diop</cp:lastModifiedBy>
  <cp:revision>3</cp:revision>
  <dcterms:created xsi:type="dcterms:W3CDTF">2026-03-03T00:15:00Z</dcterms:created>
  <dcterms:modified xsi:type="dcterms:W3CDTF">2026-03-03T03:25:00Z</dcterms:modified>
</cp:coreProperties>
</file>