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d2b45"/>
          <w:sz w:val="38"/>
          <w:szCs w:val="38"/>
        </w:rPr>
        <w:t xml:space="preserve">SOLUTION DESIGN DOCUMENT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Beyond the Model — Stage 3: Solution Design</w:t>
      </w:r>
    </w:p>
    <w:p>
      <w:pPr>
        <w:spacing w:after="260"/>
      </w:pPr>
      <w:r>
        <w:rPr>
          <w:rFonts w:ascii="Arial" w:cs="Arial" w:eastAsia="Arial" w:hAnsi="Arial"/>
          <w:i/>
          <w:iCs/>
          <w:color w:val="3a3a3a"/>
          <w:sz w:val="19"/>
          <w:szCs w:val="19"/>
        </w:rPr>
        <w:t xml:space="preserve">A guided template — answer each question and insert the requested schematic in the diagram placeholder that follows it.</w:t>
      </w: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9e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d2b45"/>
                <w:sz w:val="20"/>
                <w:szCs w:val="20"/>
              </w:rPr>
              <w:t xml:space="preserve">HOW TO USE THIS TEMPLATE</w:t>
            </w:r>
          </w:p>
          <w:p>
            <w:r>
              <w:rPr>
                <w:rFonts w:ascii="Arial" w:cs="Arial" w:eastAsia="Arial" w:hAnsi="Arial"/>
                <w:color w:val="2b2b2b"/>
                <w:sz w:val="20"/>
                <w:szCs w:val="20"/>
              </w:rPr>
              <w:t xml:space="preserve">This template consolidates the System Architecture Specification, Data Architecture &amp; Data Flow Specification, and AI/ML Architecture Specification into one working design document. Three schematics are required — system architecture, data flow, and AI/ML pipeline — each with a placeholder box marking exactly where to paste or embed the diagram, and a checklist of what it must show. Design choices made here (especially human oversight and transparency) cannot be easily retrofitted later, so treat Sections 5–6 as load-bearing, not optional.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Entry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System / Initiative Name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Author(s)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Date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Architecture Review Board / Approver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Version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1. Solution Design Approach &amp; Principles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Orient the reader before the schematics arrive — state the modeling approach and evaluation strategy the diagrams will make concrete.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modeling approach was selected, and why (over the alternatives considered)?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is the evaluation strategy — how will 'good enough' be defined and tested?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target features/outcomes is the system designed to predict or support?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design principles (e.g., explainability-first, modularity, GxP-aligned change control) govern the choices below?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2. System Architecture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Define the system's boundaries, components, integrations, and trust boundaries — this is the schematic every other reviewer (security, architecture board, operations) will look at first.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are the major system components, and how do they interact?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are the system boundaries — what's inside this system versus an external dependency?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integrations exist with upstream/downstream systems and workflows?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Where are the trust boundaries (e.g., between untrusted input and validated internal processing)?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environments are planned (dev/test/staging/prod), and how do they differ?</w:t>
      </w:r>
    </w:p>
    <w:p>
      <w:pPr>
        <w:spacing w:after="120"/>
      </w:pPr>
    </w:p>
    <w:tbl>
      <w:tblPr>
        <w:tblW w:type="pct" w:w="100%"/>
        <w:tblBorders>
          <w:top w:val="dashed" w:color="5a7a8a" w:sz="8"/>
          <w:left w:val="dashed" w:color="5a7a8a" w:sz="8"/>
          <w:bottom w:val="dashed" w:color="5a7a8a" w:sz="8"/>
          <w:right w:val="dashed" w:color="5a7a8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7d8f99"/>
                <w:sz w:val="22"/>
                <w:szCs w:val="22"/>
              </w:rPr>
              <w:t xml:space="preserve">[ INSERT SYSTEM ARCHITECTURE DIAGRAM HERE ]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Figure 1: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System Architecture Diagram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This diagram must show: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All major components and services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Integration points with upstream/downstream systems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Trust boundaries and network zones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Environment boundaries (dev/test/staging/prod)</w:t>
      </w:r>
    </w:p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3. Data Architecture &amp; Data Flow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Trace data from source to target so PHI/PII movement, transformation points, and lineage are visible at a glance — this schematic is what a privacy or security reviewer will ask for.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are the data sources, and where does data enter the system?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transformations occur, and at which stage (raw → cleaned → feature → model input)?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Where does PHI/PII move through the system, and where is it stored, masked, or dropped?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are the interfaces between data stores, pipelines, and the model itself?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retention and archival paths apply to each data store shown?</w:t>
      </w:r>
    </w:p>
    <w:p>
      <w:pPr>
        <w:spacing w:after="120"/>
      </w:pPr>
    </w:p>
    <w:tbl>
      <w:tblPr>
        <w:tblW w:type="pct" w:w="100%"/>
        <w:tblBorders>
          <w:top w:val="dashed" w:color="5a7a8a" w:sz="8"/>
          <w:left w:val="dashed" w:color="5a7a8a" w:sz="8"/>
          <w:bottom w:val="dashed" w:color="5a7a8a" w:sz="8"/>
          <w:right w:val="dashed" w:color="5a7a8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7d8f99"/>
                <w:sz w:val="22"/>
                <w:szCs w:val="22"/>
              </w:rPr>
              <w:t xml:space="preserve">[ INSERT DATA ARCHITECTURE &amp; DATA FLOW DIAGRAM HERE ]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Figure 2: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Data Architecture &amp; Data Flow Diagram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This diagram must show: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Source-to-target data flow, left to right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Every transformation/processing step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PHI/PII movement and storage points, explicitly marked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Lineage points feeding the Data Dictionary &amp; Feature Specification (Stage 4)</w:t>
      </w:r>
    </w:p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4. AI/ML Architecture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Show the model's life cycle end to end — training and inference are often drawn as one blob; separating them here prevents ambiguity at Verification &amp; Validation.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does the training pipeline look like, from prepared data to registered model?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does the inference pipeline look like, from live input to output/decision?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Where does the model registry sit, and what governs promotion between versions?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deployment pattern is used (batch, real-time API, embedded)?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Where do explainability (e.g., SHAP/LIME) and monitoring hooks attach in this pipeline?</w:t>
      </w:r>
    </w:p>
    <w:p>
      <w:pPr>
        <w:spacing w:after="120"/>
      </w:pPr>
    </w:p>
    <w:tbl>
      <w:tblPr>
        <w:tblW w:type="pct" w:w="100%"/>
        <w:tblBorders>
          <w:top w:val="dashed" w:color="5a7a8a" w:sz="8"/>
          <w:left w:val="dashed" w:color="5a7a8a" w:sz="8"/>
          <w:bottom w:val="dashed" w:color="5a7a8a" w:sz="8"/>
          <w:right w:val="dashed" w:color="5a7a8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9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after="60" w:before="400"/>
              <w:jc w:val="center"/>
            </w:pPr>
            <w:r>
              <w:rPr>
                <w:rFonts w:ascii="Arial" w:cs="Arial" w:eastAsia="Arial" w:hAnsi="Arial"/>
                <w:b/>
                <w:bCs/>
                <w:color w:val="7d8f99"/>
                <w:sz w:val="22"/>
                <w:szCs w:val="22"/>
              </w:rPr>
              <w:t xml:space="preserve">[ INSERT AI/ML ARCHITECTURE DIAGRAM HERE ]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8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Figure 3: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AI/ML Architecture Diagram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This diagram must show: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Training path: data → feature pipeline → training → model registry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Inference path: input → model → explainability layer → output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Monitoring and retraining feedback loop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18"/>
          <w:szCs w:val="18"/>
        </w:rPr>
        <w:t xml:space="preserve">Deployment pattern (batch / real-time / embedded)</w:t>
      </w:r>
    </w:p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5. Human Oversight &amp; Transparency Design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Design these now — Article 14 human oversight, Article 13 transparency, and Article 50 generative-AI disclosure cannot be bolted on after build without significant rework.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At what point(s) in the workflow does a human review or approve the system's output?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information does the system present to that human to support their decision (confidence, drivers, evidence)?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Under what conditions can/must a human override the system's output?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How are the system's purpose, capabilities, and limitations communicated to end users?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EU AI Act Art. 50 — Generative AI Disclosure  [Added: covers cheat-sheet gap #2 — end-user-facing runtime disclosure, distinct from Instructions for Use's deployer-facing documentation]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this system uses generative AI to interact with a person directly, how and when is that person informed they're interacting with AI, not a human?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this system generates synthetic audio, image, video, or text content, what mechanism marks that output as AI-generated (watermarking, metadata, visible labeling) so it's machine-detectable, not just visually apparent?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this system generates or manipulates content that could be mistaken for an authentic recording of a real person or event, does the design account for the stricter deepfake-specific labeling obligation?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6. Security &amp; Privacy by Design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Design safeguards into the architecture directly, rather than layering them on afterward — this section should visibly reference the trust boundaries drawn in Section 2.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access control and authentication approach is designed for each component?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encryption is applied, in transit and at rest, and where?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audit-trail and logging mechanism captures who did what, when?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data minimization or pseudonymization is built into the data flow from Section 3?</w:t>
      </w:r>
    </w:p>
    <w:p>
      <w:pPr>
        <w:spacing w:after="6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OWASP Top 10 for Agentic Applications &amp; LLM Applications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For each agent-to-agent handoff shown in the AI/ML Architecture diagram, what validates that the receiving agent doesn't blindly trust the sending agent's output (ASI07: Insecure Inter-Agent Communication)?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Where is each agent's autonomy explicitly bounded to only the actions its role requires — i.e., where is 'least agency' enforced by design rather than assumed (ASI01: Agent Goal Hijack; ASI02: Tool Misuse &amp; Exploitation)?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one agent produces a degraded or incorrect output, what stops that error from silently cascading through the rest of the pipeline (ASI08: Cascading Agent Failures)?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For any LLM-generated text reaching an end user (e.g., an explanation or summary), what output handling prevents injected or malicious content from passing through unfiltered (OWASP LLM Top 10: Insecure Output Handling)?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7. Regulatory &amp; Governance Design Screening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Confirm the design choices above actually satisfy what Stage 1 flagged as applicable — this is a design-stage checkpoint, not a repeat of the Stage 1 screening.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GxP / 21 CFR Part 11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Does the design support audit-trail, access-control, and e-signature requirements (11.10 / 11.50 / 11.70)? What design elements require formal design review sign-off?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EU AI Act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Does Section 5 fully address Article 13 transparency, Article 14 human oversight, and (if applicable) Article 50 generative-AI disclosure? Any open gaps?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HIPAA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Does Section 6 satisfy Security Rule safeguards (§164.312) — access control, unique user ID, encryption?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GDPR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Does the design reflect privacy by design and default (Art. 25), or was privacy added after the architecture was set?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NIST AI RMF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Have system boundaries and potential impacts (technical, social, ethical) been enumerated per the MAP function?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ISO/IEC 42001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Which Annex A.6 life-cycle design controls apply here, and are they reflected in the diagrams above?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</w:p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8. Design Review &amp; Approval</w:t>
      </w:r>
    </w:p>
    <w:p>
      <w:pPr>
        <w:spacing w:after="140"/>
      </w:pPr>
      <w:r>
        <w:rPr>
          <w:rFonts w:ascii="Arial" w:cs="Arial" w:eastAsia="Arial" w:hAnsi="Arial"/>
          <w:b/>
          <w:bCs/>
          <w:i/>
          <w:iCs/>
          <w:color w:val="1f6f78"/>
          <w:sz w:val="19"/>
          <w:szCs w:val="19"/>
        </w:rPr>
        <w:t xml:space="preserve">Purpose: </w:t>
      </w:r>
      <w:r>
        <w:rPr>
          <w:rFonts w:ascii="Arial" w:cs="Arial" w:eastAsia="Arial" w:hAnsi="Arial"/>
          <w:i/>
          <w:iCs/>
          <w:color w:val="4a4a4a"/>
          <w:sz w:val="19"/>
          <w:szCs w:val="19"/>
        </w:rPr>
        <w:t xml:space="preserve">Record that the design was reviewed by the right people before Stage 4 (Data Prep &amp; Engineering) begins building against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Who reviewed this design (Architecture Review Board, Security, Privacy, Clinical/SME), and what did they flag?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open issues or deferred decisions remain, and who owns resolving them?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What would trigger a re-review of this design (e.g., a materially different data source, a scope change)?</w:t>
      </w:r>
    </w:p>
    <w:p>
      <w:pPr>
        <w:spacing w:after="80"/>
      </w:pPr>
    </w:p>
    <w:tbl>
      <w:tblPr>
        <w:tblW w:type="pct" w:w="100%"/>
        <w:tblBorders>
          <w:top w:val="single" w:color="9fb3bd" w:sz="4"/>
          <w:left w:val="single" w:color="9fb3bd" w:sz="4"/>
          <w:bottom w:val="single" w:color="9fb3bd" w:sz="4"/>
          <w:right w:val="single" w:color="9fb3b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EFE" w:val="clear"/>
            <w:tcMar>
              <w:top w:type="dxa" w:w="14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8a97a0"/>
                <w:sz w:val="15"/>
                <w:szCs w:val="15"/>
              </w:rPr>
              <w:t xml:space="preserve">AUTHOR'S RESPONSE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  <w:p>
            <w:pPr>
              <w:spacing w:after="1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c9d2d8" w:sz="4"/>
          <w:left w:val="single" w:color="c9d2d8" w:sz="4"/>
          <w:bottom w:val="single" w:color="c9d2d8" w:sz="4"/>
          <w:right w:val="single" w:color="c9d2d8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"/>
            <w:shd w:fill="0d2b45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Solution/System Architect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AI/ML Architect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Security Architect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d2b45"/>
                <w:sz w:val="18"/>
                <w:szCs w:val="18"/>
              </w:rPr>
              <w:t xml:space="preserve">Architecture Review Board / System Owner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shd w:fill="f4f7f8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1"/>
        <w:pBdr>
          <w:bottom w:val="single" w:color="0d2b45" w:sz="6" w:space="4"/>
        </w:pBdr>
        <w:spacing w:after="100" w:before="340"/>
      </w:pPr>
      <w:r>
        <w:rPr>
          <w:rFonts w:ascii="Arial" w:cs="Arial" w:eastAsia="Arial" w:hAnsi="Arial"/>
          <w:b/>
          <w:bCs/>
          <w:color w:val="0d2b45"/>
          <w:sz w:val="27"/>
          <w:szCs w:val="27"/>
        </w:rPr>
        <w:t xml:space="preserve">References &amp; Sources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4a4a4a"/>
          <w:sz w:val="18"/>
          <w:szCs w:val="18"/>
        </w:rPr>
        <w:t xml:space="preserve">External sources consulted in developing this artifact's structure and requirements. Article/clause-level citations appear inline throughout; full source details are listed here for verification.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21 CFR Part 11 — Electronic Records; Electronic Signatures</w:t>
      </w:r>
      <w:r>
        <w:rPr>
          <w:rFonts w:ascii="Arial" w:cs="Arial" w:eastAsia="Arial" w:hAnsi="Arial"/>
          <w:sz w:val="19"/>
          <w:szCs w:val="19"/>
        </w:rPr>
        <w:t xml:space="preserve"> — U.S. Food and Drug Administration (eCFR)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https://www.ecfr.gov/current/title-21/chapter-I/subchapter-A/part-11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Regulation (EU) 2024/1689 (Artificial Intelligence Act)</w:t>
      </w:r>
      <w:r>
        <w:rPr>
          <w:rFonts w:ascii="Arial" w:cs="Arial" w:eastAsia="Arial" w:hAnsi="Arial"/>
          <w:sz w:val="19"/>
          <w:szCs w:val="19"/>
        </w:rPr>
        <w:t xml:space="preserve"> — European Parliament and Council of the European Union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https://eur-lex.europa.eu/eli/reg/2024/1689/oj/eng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HIPAA Security Rule, 45 CFR Parts 160 &amp; 164</w:t>
      </w:r>
      <w:r>
        <w:rPr>
          <w:rFonts w:ascii="Arial" w:cs="Arial" w:eastAsia="Arial" w:hAnsi="Arial"/>
          <w:sz w:val="19"/>
          <w:szCs w:val="19"/>
        </w:rPr>
        <w:t xml:space="preserve"> — U.S. Department of Health and Human Services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https://www.hhs.gov/hipaa/for-professionals/security/index.html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Regulation (EU) 2016/679 (General Data Protection Regulation)</w:t>
      </w:r>
      <w:r>
        <w:rPr>
          <w:rFonts w:ascii="Arial" w:cs="Arial" w:eastAsia="Arial" w:hAnsi="Arial"/>
          <w:sz w:val="19"/>
          <w:szCs w:val="19"/>
        </w:rPr>
        <w:t xml:space="preserve"> — European Parliament and Council of the European Union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https://eur-lex.europa.eu/eli/reg/2016/679/oj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AI Risk Management Framework (AI RMF 1.0)</w:t>
      </w:r>
      <w:r>
        <w:rPr>
          <w:rFonts w:ascii="Arial" w:cs="Arial" w:eastAsia="Arial" w:hAnsi="Arial"/>
          <w:sz w:val="19"/>
          <w:szCs w:val="19"/>
        </w:rPr>
        <w:t xml:space="preserve"> — National Institute of Standards and Technology (NIST)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https://www.nist.gov/itl/ai-risk-management-framework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ISO/IEC 42001:2023 — AI Management System</w:t>
      </w:r>
      <w:r>
        <w:rPr>
          <w:rFonts w:ascii="Arial" w:cs="Arial" w:eastAsia="Arial" w:hAnsi="Arial"/>
          <w:sz w:val="19"/>
          <w:szCs w:val="19"/>
        </w:rPr>
        <w:t xml:space="preserve"> — International Organization for Standardization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https://www.iso.org/standard/81230.html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OWASP Top 10 for Agentic Applications 2026</w:t>
      </w:r>
      <w:r>
        <w:rPr>
          <w:rFonts w:ascii="Arial" w:cs="Arial" w:eastAsia="Arial" w:hAnsi="Arial"/>
          <w:sz w:val="19"/>
          <w:szCs w:val="19"/>
        </w:rPr>
        <w:t xml:space="preserve"> — OWASP Gen AI Security Project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https://genai.owasp.org/resource/owasp-top-10-for-agentic-applications-for-2026/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d2b45"/>
          <w:sz w:val="19"/>
          <w:szCs w:val="19"/>
        </w:rPr>
        <w:t xml:space="preserve">OWASP Top 10 for LLM Applications</w:t>
      </w:r>
      <w:r>
        <w:rPr>
          <w:rFonts w:ascii="Arial" w:cs="Arial" w:eastAsia="Arial" w:hAnsi="Arial"/>
          <w:sz w:val="19"/>
          <w:szCs w:val="19"/>
        </w:rPr>
        <w:t xml:space="preserve"> — OWASP Gen AI Security Project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1f6f78"/>
          <w:sz w:val="17"/>
          <w:szCs w:val="17"/>
        </w:rPr>
        <w:t xml:space="preserve">https://genai.owasp.org/llm-top-10/</w:t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0d2b45"/>
          <w:sz w:val="18"/>
          <w:szCs w:val="18"/>
        </w:rPr>
        <w:t xml:space="preserve">Internal references: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Companion Data Assessment Report (Stage 2) and Data Dictionary &amp; Feature Specification (Stage 4, next stage this artifact feeds into).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d8" w:sz="4" w:space="4"/>
      </w:pBdr>
      <w:tabs>
        <w:tab w:val="right" w:pos="9350"/>
      </w:tabs>
    </w:pPr>
    <w:r>
      <w:rPr>
        <w:rFonts w:ascii="Arial" w:cs="Arial" w:eastAsia="Arial" w:hAnsi="Arial"/>
        <w:color w:val="6b6b6b"/>
        <w:sz w:val="16"/>
        <w:szCs w:val="16"/>
      </w:rPr>
      <w:t xml:space="preserve">Maria Febus · Beyond the Model — Implementation Artifact Templates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Page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6"/>
        <w:szCs w:val="16"/>
      </w:rPr>
      <w:t xml:space="preserve"> of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2d8" w:sz="4" w:space="4"/>
      </w:pBdr>
    </w:pPr>
    <w:r>
      <w:rPr>
        <w:rFonts w:ascii="Arial" w:cs="Arial" w:eastAsia="Arial" w:hAnsi="Arial"/>
        <w:b/>
        <w:bCs/>
        <w:color w:val="1f6f78"/>
        <w:sz w:val="16"/>
        <w:szCs w:val="16"/>
      </w:rPr>
      <w:t xml:space="preserve">SOLUTION DESIGN DOCUMENT — STAGE 3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2026-08-21T20:46:46.791Z</dcterms:created>
  <dcterms:modified xsi:type="dcterms:W3CDTF">2026-08-21T20:46:46.792Z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