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d2b45"/>
          <w:sz w:val="38"/>
          <w:szCs w:val="38"/>
        </w:rPr>
        <w:t xml:space="preserve">COMPLIANCE ANALYSIS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f6f78"/>
          <w:sz w:val="22"/>
          <w:szCs w:val="22"/>
        </w:rPr>
        <w:t xml:space="preserve">Product-Level, Living Document — Pre-Stage 1 and Ongoing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3a3a3a"/>
          <w:sz w:val="19"/>
          <w:szCs w:val="19"/>
        </w:rPr>
        <w:t xml:space="preserve">Started the moment a product idea exists, before a project charter does — revisited at every release, not written once.</w:t>
      </w:r>
    </w:p>
    <w:tbl>
      <w:tblPr>
        <w:tblW w:type="pct" w:w="100%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9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2b45"/>
                <w:sz w:val="20"/>
                <w:szCs w:val="20"/>
              </w:rPr>
              <w:t xml:space="preserve">HOW THIS DIFFERS FROM EVERYTHING ELSE IN THIS SERIES</w:t>
            </w:r>
          </w:p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Every other artifact in this series is project-scoped — built once per initiative, tied to one Business Case &amp; Project Charter. This one is product-scoped: it belongs to the AI product itself, persists across every release and every future project touching that product, and gets updated — not recreated — whenever something material changes. Complete Sections 1–7 as early as you have a product idea and rough data/use-case information, well before a formal charter exists. Section 8's classification is what determines how much of the rest of this artifact series a given release actually needs.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0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Entry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Product / System Name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Product Owner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Current Version of This Analysis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Date of Last Review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Next Scheduled Review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f6f78"/>
          <w:sz w:val="20"/>
          <w:szCs w:val="20"/>
        </w:rPr>
        <w:t xml:space="preserve">Revision History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300"/>
        <w:gridCol w:w="2000"/>
        <w:gridCol w:w="2050"/>
      </w:tblGrid>
      <w:tr>
        <w:trPr>
          <w:tblHeader/>
        </w:trPr>
        <w:tc>
          <w:tcPr>
            <w:tcW w:type="dxa" w:w="14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Version</w:t>
            </w:r>
          </w:p>
        </w:tc>
        <w:tc>
          <w:tcPr>
            <w:tcW w:type="dxa" w:w="16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Date</w:t>
            </w:r>
          </w:p>
        </w:tc>
        <w:tc>
          <w:tcPr>
            <w:tcW w:type="dxa" w:w="23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Release / Trigger</w:t>
            </w:r>
          </w:p>
        </w:tc>
        <w:tc>
          <w:tcPr>
            <w:tcW w:type="dxa" w:w="20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Author</w:t>
            </w:r>
          </w:p>
        </w:tc>
        <w:tc>
          <w:tcPr>
            <w:tcW w:type="dxa" w:w="205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Summary of Changes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1.0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Initial analysis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0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14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16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3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0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0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20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1. Product / System Overview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Establish the identity this compliance profile tracks going forward — everything else in this document attaches to this product, not to any single project.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is this product/system, and what does it do, in plain language?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Who is the accountable Product Owner for this compliance profile over time (not just for one release)?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Does this analysis cover a single product, or a product family / shared platform used by multiple products?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is the intended user base and deployment context (internal tool, customer-facing, embedded in another product)?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2. Data Types &amp; Sensitivity Screening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Identify what kinds of data this product will ever plausibly touch — broader than any single project's dataset, since this profile has to hold up across future releases too.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categories of data does (or will) this product process — PHI, PII, biometric, financial, de-identified, synthetic?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is the overall data sensitivity classification (Public / Internal / Confidential / Restricted)?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Does this product process data across multiple jurisdictions, raising data residency or cross-border transfer questions?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3. Applicable Legal &amp; Regulatory Screening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An early, product-level pass across the same frameworks the Master Crosswalk covers in depth — the goal here is a first-pass flag, not a final determination.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900"/>
        <w:gridCol w:w="4800"/>
      </w:tblGrid>
      <w:tr>
        <w:trPr>
          <w:tblHeader/>
        </w:trPr>
        <w:tc>
          <w:tcPr>
            <w:tcW w:type="dxa" w:w="265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Framework</w:t>
            </w:r>
          </w:p>
        </w:tc>
        <w:tc>
          <w:tcPr>
            <w:tcW w:type="dxa" w:w="19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Likely Applies?</w:t>
            </w:r>
          </w:p>
        </w:tc>
        <w:tc>
          <w:tcPr>
            <w:tcW w:type="dxa" w:w="48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Basis for Determination</w:t>
            </w:r>
          </w:p>
        </w:tc>
      </w:tr>
      <w:tr>
        <w:tc>
          <w:tcPr>
            <w:tcW w:type="dxa" w:w="26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GxP / 21 CFR Part 11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EU AI Act</w:t>
            </w:r>
          </w:p>
        </w:tc>
        <w:tc>
          <w:tcPr>
            <w:tcW w:type="dxa" w:w="19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HIPAA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GDPR</w:t>
            </w:r>
          </w:p>
        </w:tc>
        <w:tc>
          <w:tcPr>
            <w:tcW w:type="dxa" w:w="19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SOC 2 (Type I / II)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State privacy law (e.g., CCPA)</w:t>
            </w:r>
          </w:p>
        </w:tc>
        <w:tc>
          <w:tcPr>
            <w:tcW w:type="dxa" w:w="19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Industry-specific (e.g., ISO 13485)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OECD AI Principles (voluntary; often a de facto baseline)</w:t>
            </w:r>
          </w:p>
        </w:tc>
        <w:tc>
          <w:tcPr>
            <w:tcW w:type="dxa" w:w="19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ISO/IEC 22989 (AI terminology, if formal AI vocabulary alignment is required)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  <w:tc>
          <w:tcPr>
            <w:tcW w:type="dxa" w:w="48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4. Legal Considerations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Cover the contract/IP/liability questions that sit alongside regulatory applicability — a product can be fully compliant on paper and still carry unresolved legal exposure.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Who owns the IP in the training data, the model weights, and the model's outputs — especially if third-party data or a foundation model/API is used?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vendor or third-party agreements exist for data licensing, model/API providers, or hosting, and do they include AI-specific liability and audit-rights terms?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liability allocation applies if this system's output contributes to a harmful decision — indemnification, insurance coverage, limitation-of-liability clauses?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Does deploying or updating this product require changes to Terms of Service, an End User License Agreement, or existing customer contracts?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At what points is legal counsel review required before a release proceeds (e.g., new data source, new jurisdiction, new vendor)?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5. Data Privacy Deep-Dive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Go beyond the Section 3 applicability checkbox — GDPR/HIPAA/CCPA 'likely applies' is a screening result, not a privacy program. This is where the actual mechanisms get named.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is the lawful basis for processing personal data (GDPR Art. 6, and Art. 9 if special-category/health data is involved)?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Does this product's processing trigger a mandatory Data Protection Impact Assessment (GDPR Art. 35 criteria)? Has one been initiated, and where does it live?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data subject rights mechanisms exist — access, correction, erasure, portability — and can they actually be fulfilled for data that has already been used to train a model (a known hard problem, not a checkbox)?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If consent is the lawful basis for any part of processing, what consent management approach applies, and how is withdrawal handled?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cross-border data transfer mechanism applies if data moves outside its origin jurisdiction (Standard Contractual Clauses, adequacy decision, Binding Corporate Rules)?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subprocessor/third-party data-sharing agreements are in place, and do they flow down the same privacy obligations this product is subject to?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6. Information Security Requirements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Set the security baseline this product must maintain for its entire life — unlike a project's security design, this doesn't reset with each release; each release must meet or exceed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access control tier applies (role-based access, least-privilege standard, MFA requirements)?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encryption standard applies at rest and in transit, given the data sensitivity classification in Section 2?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security certifications are required or targeted for this product (SOC 2 Type II, ISO 27001, HITRUST)?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Who owns confirming that each new release still meets this baseline before go-live?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7. Records Retention &amp; Archiving Requirements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Establish retention obligations at the product level — these typically outlive any single release and need a consistent answer regardless of which team is running a given project.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retention period applies to this product's data and records, and under which regulation or policy?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archiving and disposal process applies once the retention period ends?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Are there litigation hold or legal discovery considerations that could override standard retention/disposal?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8. Product Risk Classification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Combine the findings above into one classification — this determination is what decides how much of the rest of this artifact series a given release actually needs. Select the applicable value on each axis; the regulations are presented so the person makes the call, not the template.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d2b45"/>
          <w:sz w:val="18"/>
          <w:szCs w:val="18"/>
        </w:rPr>
        <w:t xml:space="preserve">Axis 1 — GxP Status</w:t>
      </w:r>
    </w:p>
    <w:p>
      <w:pPr>
        <w:spacing w:after="100"/>
      </w:pPr>
      <w:r>
        <w:rPr>
          <w:rFonts w:ascii="Arial" w:cs="Arial" w:eastAsia="Arial" w:hAnsi="Arial"/>
          <w:sz w:val="19"/>
          <w:szCs w:val="19"/>
        </w:rPr>
        <w:t xml:space="preserve">☐ GxP-regulated (touches a predicate rule / validated system)      ☐ Non-GxP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d2b45"/>
          <w:sz w:val="18"/>
          <w:szCs w:val="18"/>
        </w:rPr>
        <w:t xml:space="preserve">Axis 2 — EU AI Act Risk Tier</w:t>
      </w:r>
    </w:p>
    <w:p>
      <w:pPr>
        <w:spacing w:after="100"/>
      </w:pPr>
      <w:r>
        <w:rPr>
          <w:rFonts w:ascii="Arial" w:cs="Arial" w:eastAsia="Arial" w:hAnsi="Arial"/>
          <w:sz w:val="19"/>
          <w:szCs w:val="19"/>
        </w:rPr>
        <w:t xml:space="preserve">☐ Unacceptable risk      ☐ High-risk (Annex III / Art. 6)      ☐ Limited risk (transparency obligations)      ☐ Minimal risk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d2b45"/>
          <w:sz w:val="18"/>
          <w:szCs w:val="18"/>
        </w:rPr>
        <w:t xml:space="preserve">Axis 3 — Data Sensitivity (from Section 2)</w:t>
      </w:r>
    </w:p>
    <w:p>
      <w:pPr>
        <w:spacing w:after="160"/>
      </w:pPr>
      <w:r>
        <w:rPr>
          <w:rFonts w:ascii="Arial" w:cs="Arial" w:eastAsia="Arial" w:hAnsi="Arial"/>
          <w:sz w:val="19"/>
          <w:szCs w:val="19"/>
        </w:rPr>
        <w:t xml:space="preserve">☐ Restricted      ☐ Confidential      ☐ Internal      ☐ Public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3500"/>
      </w:tblGrid>
      <w:tr>
        <w:trPr>
          <w:tblHeader/>
        </w:trPr>
        <w:tc>
          <w:tcPr>
            <w:tcW w:type="dxa" w:w="585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Combined Profile</w:t>
            </w:r>
          </w:p>
        </w:tc>
        <w:tc>
          <w:tcPr>
            <w:tcW w:type="dxa" w:w="35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Resulting Documentation Tier</w:t>
            </w:r>
          </w:p>
        </w:tc>
      </w:tr>
      <w:tr>
        <w:tc>
          <w:tcPr>
            <w:tcW w:type="dxa" w:w="58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GxP + High-Risk (any data sensitivity)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1 — Full documentation package</w:t>
            </w:r>
          </w:p>
        </w:tc>
      </w:tr>
      <w:tr>
        <w:tc>
          <w:tcPr>
            <w:tcW w:type="dxa" w:w="58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Non-GxP + High-Risk, or GxP + Limited/Minimal risk</w:t>
            </w:r>
          </w:p>
        </w:tc>
        <w:tc>
          <w:tcPr>
            <w:tcW w:type="dxa" w:w="35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2 — Standard documentation package</w:t>
            </w:r>
          </w:p>
        </w:tc>
      </w:tr>
      <w:tr>
        <w:tc>
          <w:tcPr>
            <w:tcW w:type="dxa" w:w="58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Non-GxP + Limited/Minimal risk + Internal/Public data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3 — Light documentation package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af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d2b45"/>
                <w:sz w:val="20"/>
                <w:szCs w:val="20"/>
              </w:rPr>
              <w:t xml:space="preserve">OVERRIDE RULE</w:t>
            </w:r>
          </w:p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Restricted data sensitivity (Section 2) escalates a product to at least Tier 2 regardless of GxP/EU AI Act tier — highly sensitive data justifies rigor even in a nominally low-risk system.</w:t>
            </w:r>
          </w:p>
        </w:tc>
      </w:tr>
    </w:tbl>
    <w:p>
      <w:pPr>
        <w:spacing w:after="1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d2b45"/>
          <w:sz w:val="20"/>
          <w:szCs w:val="20"/>
        </w:rPr>
        <w:t xml:space="preserve">Final Determination:  ☐ Tier 1      ☐ Tier 2      ☐ Tier 3</w:t>
      </w:r>
    </w:p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9. Documentation Requirements by Tier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Translate the tier into an actual artifact list — this is what tells a project team, at kickoff, exactly what they're on the hook for.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50"/>
      </w:tblGrid>
      <w:tr>
        <w:trPr>
          <w:tblHeader/>
        </w:trPr>
        <w:tc>
          <w:tcPr>
            <w:tcW w:type="dxa" w:w="150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Tier</w:t>
            </w:r>
          </w:p>
        </w:tc>
        <w:tc>
          <w:tcPr>
            <w:tcW w:type="dxa" w:w="7850"/>
            <w:shd w:fill="0d2b45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Required Artifacts</w:t>
            </w:r>
          </w:p>
        </w:tc>
      </w:tr>
      <w:tr>
        <w:tc>
          <w:tcPr>
            <w:tcW w:type="dxa" w:w="15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1</w:t>
            </w:r>
          </w:p>
        </w:tc>
        <w:tc>
          <w:tcPr>
            <w:tcW w:type="dxa" w:w="78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Full set: Business Case &amp; Charter, Cost Estimate, Data Assessment Report, Solution Design Document, Data Dictionary &amp; Feature Spec, Model Development Report, Bias &amp; Fairness Assessment, Model Card, System Test Protocol, UAT Protocol, Sample Test Scripts, Test Summary Report, RTM, Model Validation Report, Deployment &amp; Hypercare Plan, Training &amp; Competency Records, AI Solutions FMEA, plus Stage 8 monitoring/review artifacts</w:t>
            </w:r>
          </w:p>
        </w:tc>
      </w:tr>
      <w:tr>
        <w:tc>
          <w:tcPr>
            <w:tcW w:type="dxa" w:w="150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2</w:t>
            </w:r>
          </w:p>
        </w:tc>
        <w:tc>
          <w:tcPr>
            <w:tcW w:type="dxa" w:w="7850"/>
            <w:shd w:fill="f4f7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Standard set: Business Case &amp; Charter, Data Assessment Report, Solution Design Document, Model Development Report, Bias &amp; Fairness Assessment, System Test Protocol, Test Summary Report, RTM, Deployment &amp; Hypercare Plan</w:t>
            </w:r>
          </w:p>
        </w:tc>
      </w:tr>
      <w:tr>
        <w:tc>
          <w:tcPr>
            <w:tcW w:type="dxa" w:w="15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Tier 3</w:t>
            </w:r>
          </w:p>
        </w:tc>
        <w:tc>
          <w:tcPr>
            <w:tcW w:type="dxa" w:w="785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Light set: Business Case &amp; Charter (abbreviated), Data Assessment Report, System Test Protocol, Test Summary Report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10. Review Cadence &amp; Update Triggers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Define what makes this document 'living' in practice — a trigger list is what keeps it from silently going stale.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standing review cadence applies regardless of triggers (e.g., annual)?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What events mandate an immediate update: new release, new data source, new jurisdiction, regulatory change, M&amp;A, material architecture change?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Who is responsible for confirming this document was reviewed before each release proceeds to its own Stage 1 Charter?</w:t>
      </w:r>
    </w:p>
    <w:p>
      <w:pPr>
        <w:spacing w:after="80"/>
      </w:pPr>
    </w:p>
    <w:tbl>
      <w:tblPr>
        <w:tblW w:type="pct" w:w="100%"/>
        <w:tblBorders>
          <w:top w:val="single" w:color="9fb3bd" w:sz="4"/>
          <w:left w:val="single" w:color="9fb3bd" w:sz="4"/>
          <w:bottom w:val="single" w:color="9fb3bd" w:sz="4"/>
          <w:right w:val="single" w:color="9fb3b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E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8a97a0"/>
                <w:sz w:val="15"/>
                <w:szCs w:val="15"/>
              </w:rPr>
              <w:t xml:space="preserve">AUTHOR'S RESPONSE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11. Approval &amp; Sign-off</w:t>
      </w:r>
    </w:p>
    <w:p>
      <w:pPr>
        <w:spacing w:after="140"/>
      </w:pPr>
      <w:r>
        <w:rPr>
          <w:rFonts w:ascii="Arial" w:cs="Arial" w:eastAsia="Arial" w:hAnsi="Arial"/>
          <w:b/>
          <w:bCs/>
          <w:i/>
          <w:iCs/>
          <w:color w:val="1f6f78"/>
          <w:sz w:val="19"/>
          <w:szCs w:val="19"/>
        </w:rPr>
        <w:t xml:space="preserve">Purpose: </w:t>
      </w:r>
      <w:r>
        <w:rPr>
          <w:rFonts w:ascii="Arial" w:cs="Arial" w:eastAsia="Arial" w:hAnsi="Arial"/>
          <w:i/>
          <w:iCs/>
          <w:color w:val="4a4a4a"/>
          <w:sz w:val="19"/>
          <w:szCs w:val="19"/>
        </w:rPr>
        <w:t xml:space="preserve">Approve this version before it governs the next release's documentation scope.</w:t>
      </w:r>
    </w:p>
    <w:p>
      <w:pPr>
        <w:spacing w:after="60"/>
      </w:pPr>
    </w:p>
    <w:tbl>
      <w:tblPr>
        <w:tblW w:type="pct" w:w="100%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5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"/>
            <w:shd w:fill="0d2b45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Product Owner (Author)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Quality/Compliance Lead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Privacy Officer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Legal Counsel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shd w:fill="f4f7f8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d2b45"/>
                <w:sz w:val="18"/>
                <w:szCs w:val="18"/>
              </w:rPr>
              <w:t xml:space="preserve">Security Lead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pBdr>
          <w:bottom w:val="single" w:color="0d2b45" w:sz="6" w:space="4"/>
        </w:pBdr>
        <w:spacing w:after="100" w:before="340"/>
      </w:pPr>
      <w:r>
        <w:rPr>
          <w:rFonts w:ascii="Arial" w:cs="Arial" w:eastAsia="Arial" w:hAnsi="Arial"/>
          <w:b/>
          <w:bCs/>
          <w:color w:val="0d2b45"/>
          <w:sz w:val="27"/>
          <w:szCs w:val="27"/>
        </w:rPr>
        <w:t xml:space="preserve">References &amp; Sources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4a4a4a"/>
          <w:sz w:val="18"/>
          <w:szCs w:val="18"/>
        </w:rPr>
        <w:t xml:space="preserve">External sources consulted in developing this artifact's structure and requirements. Article/clause-level citations appear inline throughout; full source details are listed here for verification.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21 CFR Part 11 — Electronic Records; Electronic Signatures</w:t>
      </w:r>
      <w:r>
        <w:rPr>
          <w:rFonts w:ascii="Arial" w:cs="Arial" w:eastAsia="Arial" w:hAnsi="Arial"/>
          <w:sz w:val="19"/>
          <w:szCs w:val="19"/>
        </w:rPr>
        <w:t xml:space="preserve"> — U.S. Food and Drug Administration (eCFR)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https://www.ecfr.gov/current/title-21/chapter-I/subchapter-A/part-11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Regulation (EU) 2024/1689 (Artificial Intelligence Act)</w:t>
      </w:r>
      <w:r>
        <w:rPr>
          <w:rFonts w:ascii="Arial" w:cs="Arial" w:eastAsia="Arial" w:hAnsi="Arial"/>
          <w:sz w:val="19"/>
          <w:szCs w:val="19"/>
        </w:rPr>
        <w:t xml:space="preserve"> — European Parliament and Council of the European Union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https://eur-lex.europa.eu/eli/reg/2024/1689/oj/eng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HIPAA Security Rule, 45 CFR Parts 160 &amp; 164</w:t>
      </w:r>
      <w:r>
        <w:rPr>
          <w:rFonts w:ascii="Arial" w:cs="Arial" w:eastAsia="Arial" w:hAnsi="Arial"/>
          <w:sz w:val="19"/>
          <w:szCs w:val="19"/>
        </w:rPr>
        <w:t xml:space="preserve"> — U.S. Department of Health and Human Services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https://www.hhs.gov/hipaa/for-professionals/security/index.html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Regulation (EU) 2016/679 (General Data Protection Regulation)</w:t>
      </w:r>
      <w:r>
        <w:rPr>
          <w:rFonts w:ascii="Arial" w:cs="Arial" w:eastAsia="Arial" w:hAnsi="Arial"/>
          <w:sz w:val="19"/>
          <w:szCs w:val="19"/>
        </w:rPr>
        <w:t xml:space="preserve"> — European Parliament and Council of the European Union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https://eur-lex.europa.eu/eli/reg/2016/679/oj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ISO/IEC 42001:2023 — AI Management System</w:t>
      </w:r>
      <w:r>
        <w:rPr>
          <w:rFonts w:ascii="Arial" w:cs="Arial" w:eastAsia="Arial" w:hAnsi="Arial"/>
          <w:sz w:val="19"/>
          <w:szCs w:val="19"/>
        </w:rPr>
        <w:t xml:space="preserve"> — International Organization for Standardization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https://www.iso.org/standard/81230.html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OECD AI Principles</w:t>
      </w:r>
      <w:r>
        <w:rPr>
          <w:rFonts w:ascii="Arial" w:cs="Arial" w:eastAsia="Arial" w:hAnsi="Arial"/>
          <w:sz w:val="19"/>
          <w:szCs w:val="19"/>
        </w:rPr>
        <w:t xml:space="preserve"> — Organisation for Economic Co-operation and Development — the internationally-referenced foundation for trustworthy AI that NIST AI RMF and other frameworks build on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https://oecd.ai/en/ai-principles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d2b45"/>
          <w:sz w:val="19"/>
          <w:szCs w:val="19"/>
        </w:rPr>
        <w:t xml:space="preserve">ISO/IEC 22989:2022 — Artificial Intelligence Concepts and Terminology</w:t>
      </w:r>
      <w:r>
        <w:rPr>
          <w:rFonts w:ascii="Arial" w:cs="Arial" w:eastAsia="Arial" w:hAnsi="Arial"/>
          <w:sz w:val="19"/>
          <w:szCs w:val="19"/>
        </w:rPr>
        <w:t xml:space="preserve"> — International Organization for Standardization — the vocabulary standard underlying ISO/IEC 42001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6f78"/>
          <w:sz w:val="17"/>
          <w:szCs w:val="17"/>
        </w:rPr>
        <w:t xml:space="preserve">https://www.iso.org/standard/74296.html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0d2b45"/>
          <w:sz w:val="18"/>
          <w:szCs w:val="18"/>
        </w:rPr>
        <w:t xml:space="preserve">Internal references: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Master Crosswalk (full-depth version of the Section 3 screening), Business Case &amp; Project Charter (this analysis is completed before that document, and referenced by it), AI System Audit Checklist (verifies the resulting tier's documentation package is actually complete).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 w:space="4"/>
      </w:pBdr>
      <w:tabs>
        <w:tab w:val="right" w:pos="9350"/>
      </w:tabs>
    </w:pPr>
    <w:r>
      <w:rPr>
        <w:rFonts w:ascii="Arial" w:cs="Arial" w:eastAsia="Arial" w:hAnsi="Arial"/>
        <w:color w:val="6b6b6b"/>
        <w:sz w:val="16"/>
        <w:szCs w:val="16"/>
      </w:rPr>
      <w:t xml:space="preserve">Maria Febus · Beyond the Model — Implementation Artifact Templates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Page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b6b"/>
        <w:sz w:val="16"/>
        <w:szCs w:val="16"/>
      </w:rPr>
      <w:t xml:space="preserve"> of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 w:space="4"/>
      </w:pBdr>
    </w:pPr>
    <w:r>
      <w:rPr>
        <w:rFonts w:ascii="Arial" w:cs="Arial" w:eastAsia="Arial" w:hAnsi="Arial"/>
        <w:b/>
        <w:bCs/>
        <w:color w:val="1f6f78"/>
        <w:sz w:val="16"/>
        <w:szCs w:val="16"/>
      </w:rPr>
      <w:t xml:space="preserve">COMPLIANCE ANALYSIS — PRODUCT-LEVEL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2026-08-11T22:40:45.379Z</dcterms:created>
  <dcterms:modified xsi:type="dcterms:W3CDTF">2026-08-11T22:40:45.392Z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