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d2b45"/>
          <w:sz w:val="38"/>
          <w:szCs w:val="38"/>
        </w:rPr>
        <w:t xml:space="preserve">SOLUTION COST ESTIMATE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6f78"/>
          <w:sz w:val="22"/>
          <w:szCs w:val="22"/>
        </w:rPr>
        <w:t xml:space="preserve">Companion to the Business Case &amp; Project Charter — Stage 1: Business Understanding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3a3a3a"/>
          <w:sz w:val="19"/>
          <w:szCs w:val="19"/>
        </w:rPr>
        <w:t xml:space="preserve">A guided template for a detailed, three-point cost-benefit estimate.</w:t>
      </w:r>
    </w:p>
    <w:tbl>
      <w:tblPr>
        <w:tblW w:type="pct" w:w="100%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9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TO USE THIS TEMPLATE</w:t>
            </w:r>
          </w:p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This template produces the detailed backing for the High-Level Cost Summary table in the Business Case &amp; Project Charter. Use three-point estimates (Low / Most Likely / High) for every line item so the charter can carry a defensible range rather than a single guessed number. Revisit this estimate at each Change Control event and at Periodic Review (Stage 8) — estimates drift, and the gap between estimate and actual is itself useful evidence for future projects.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"/>
            <w:shd w:fill="0d2b4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"/>
            <w:shd w:fill="0d2b4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System / Initiative Name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Estimator</w:t>
            </w:r>
          </w:p>
        </w:tc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Date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Estimate Class (e.g., ROM / Budgetary / Definitive)</w:t>
            </w:r>
          </w:p>
        </w:tc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Currency &amp; Time Horizon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1. Estimate Basis &amp; Scope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Define what this estimate covers and how reliable it's meant to be, so anyone reading it later knows how much weight to put on the numbers.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is the estimate class — rough order of magnitude, budgetary, or definitive — and what accuracy range does that imply?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is explicitly included and excluded from this estimate (e.g., does it cover pilot only, or full production scale)?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time horizon does this estimate cover (e.g., Year 1 build + 3 years operating)?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pricing/rate assumptions were used (internal labor rates, cloud pricing tier, vendor quotes)?</w:t>
      </w:r>
    </w:p>
    <w:p>
      <w:pPr>
        <w:spacing w:after="80"/>
      </w:pPr>
    </w:p>
    <w:tbl>
      <w:tblPr>
        <w:tblW w:type="pct" w:w="100%"/>
        <w:tblBorders>
          <w:top w:val="single" w:color="9fb3bd" w:sz="4"/>
          <w:left w:val="single" w:color="9fb3bd" w:sz="4"/>
          <w:bottom w:val="single" w:color="9fb3bd" w:sz="4"/>
          <w:right w:val="single" w:color="9fb3b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EFE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97a0"/>
                <w:sz w:val="15"/>
                <w:szCs w:val="15"/>
              </w:rPr>
              <w:t xml:space="preserve">AUTHOR'S RESPONSE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2. One-Time / Build Costs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Capture every cost that occurs once, before go-live — the goal is to avoid the common trap of pricing only the model-building effort while underpricing integration and change management.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labor is required to build this (data science, engineering, architecture, QA/validation), and at what effort/rate?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data acquisition or licensing costs are one-time (dataset purchase, historical data extraction, labeling)?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infrastructure/environment setup is required (dev/test/prod environments, tooling licenses)?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integration and change-management costs exist (workflow redesign, training material development, communications)?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contingency/reserve is included for this phase, and how was that percentage chosen?</w:t>
      </w:r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1350"/>
        <w:gridCol w:w="1350"/>
        <w:gridCol w:w="2700"/>
      </w:tblGrid>
      <w:tr>
        <w:trPr>
          <w:tblHeader/>
        </w:trPr>
        <w:tc>
          <w:tcPr>
            <w:tcW w:type="dxa" w:w="260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 Item</w:t>
            </w:r>
          </w:p>
        </w:tc>
        <w:tc>
          <w:tcPr>
            <w:tcW w:type="dxa" w:w="135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35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Most Likely</w:t>
            </w:r>
          </w:p>
        </w:tc>
        <w:tc>
          <w:tcPr>
            <w:tcW w:type="dxa" w:w="135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70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Basis / 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science / ML engineering labor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Software engineering / integration labor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Architecture / validation labor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acquisition or licensing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Infrastructure &amp; environment setup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material development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Contingency reserve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6"/>
                <w:szCs w:val="16"/>
              </w:rPr>
              <w:t xml:space="preserve">TOTAL</w:t>
            </w:r>
          </w:p>
        </w:tc>
        <w:tc>
          <w:tcPr>
            <w:tcW w:type="dxa" w:w="135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3. Ongoing / Operational Costs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Capture the recurring cost of keeping this system alive and trustworthy — this is the category most business cases underestimate, especially monitoring and revalidation effort.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are the annual hosting/compute costs at expected production volume?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is the ongoing cost of model monitoring, drift detection, and periodic retraining?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support staffing is required (L1/L2/L3, MLOps on-call), and at what allocation?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licensing/subscription renewals recur annually?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is the annual compliance/validation overhead (periodic review, revalidation, audit support)?</w:t>
      </w:r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1350"/>
        <w:gridCol w:w="1350"/>
        <w:gridCol w:w="2700"/>
      </w:tblGrid>
      <w:tr>
        <w:trPr>
          <w:tblHeader/>
        </w:trPr>
        <w:tc>
          <w:tcPr>
            <w:tcW w:type="dxa" w:w="260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 Item</w:t>
            </w:r>
          </w:p>
        </w:tc>
        <w:tc>
          <w:tcPr>
            <w:tcW w:type="dxa" w:w="135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35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Most Likely</w:t>
            </w:r>
          </w:p>
        </w:tc>
        <w:tc>
          <w:tcPr>
            <w:tcW w:type="dxa" w:w="135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70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Basis / 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Hosting / compute (annual)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Monitoring, drift detection &amp; retraining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Support staffing (L1/L2/L3, MLOps)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Licensing / subscription renewals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Compliance / validation overhead (annual)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6"/>
                <w:szCs w:val="16"/>
              </w:rPr>
              <w:t xml:space="preserve">TOTAL</w:t>
            </w:r>
          </w:p>
        </w:tc>
        <w:tc>
          <w:tcPr>
            <w:tcW w:type="dxa" w:w="135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4. Quantified Benefits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Tie every claimed benefit back to a KPI named in the Project Charter — an unquantified benefit can't be checked at Periodic Review, and won't survive a budget challenge.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direct cost savings result, and how were they calculated (e.g., hours saved × fully loaded rate)?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revenue impact is expected, and what assumption drives that number (conversion lift, capacity increase)?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efficiency gains result, expressed in a unit finance will recognize (cycle time, throughput, error rate reduction)?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risk or quality-cost avoidance does this create (e.g., reduced rework, reduced compliance exposure)?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Which of these benefits are hard/quantified versus soft/directional — and how should each be weighted in the decision?</w:t>
      </w:r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1350"/>
        <w:gridCol w:w="1350"/>
        <w:gridCol w:w="2700"/>
      </w:tblGrid>
      <w:tr>
        <w:trPr>
          <w:tblHeader/>
        </w:trPr>
        <w:tc>
          <w:tcPr>
            <w:tcW w:type="dxa" w:w="260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 Item</w:t>
            </w:r>
          </w:p>
        </w:tc>
        <w:tc>
          <w:tcPr>
            <w:tcW w:type="dxa" w:w="135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35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Most Likely</w:t>
            </w:r>
          </w:p>
        </w:tc>
        <w:tc>
          <w:tcPr>
            <w:tcW w:type="dxa" w:w="135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700"/>
            <w:shd w:fill="0d2b4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Basis / 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Direct cost savings (annual)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Revenue impact (annual)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Efficiency gains (annualized value)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Risk / quality-cost avoidance (annual)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f4f7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6"/>
                <w:szCs w:val="16"/>
              </w:rPr>
              <w:t xml:space="preserve">TOTAL</w:t>
            </w:r>
          </w:p>
        </w:tc>
        <w:tc>
          <w:tcPr>
            <w:tcW w:type="dxa" w:w="135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35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2700"/>
            <w:shd w:fill="e8ed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5. ROI &amp; Payback Analysis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Turn the cost and benefit tables above into the single answer a sponsor actually wants: when does this pay for itself, and by how much.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Based on the tables above, what is the expected payback period (time for cumulative benefit to exceed cumulative cost)?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is the estimated ROI or net benefit over the stated time horizon?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If a discount rate or NPV approach is used, what rate was applied and why?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How does the payback estimate change under the Low vs. High cost/benefit scenarios?</w:t>
      </w:r>
    </w:p>
    <w:p>
      <w:pPr>
        <w:spacing w:after="80"/>
      </w:pPr>
    </w:p>
    <w:tbl>
      <w:tblPr>
        <w:tblW w:type="pct" w:w="100%"/>
        <w:tblBorders>
          <w:top w:val="single" w:color="9fb3bd" w:sz="4"/>
          <w:left w:val="single" w:color="9fb3bd" w:sz="4"/>
          <w:bottom w:val="single" w:color="9fb3bd" w:sz="4"/>
          <w:right w:val="single" w:color="9fb3b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EFE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97a0"/>
                <w:sz w:val="15"/>
                <w:szCs w:val="15"/>
              </w:rPr>
              <w:t xml:space="preserve">AUTHOR'S RESPONSE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6. Cost of Inaction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Make the status-quo cost explicit — ‘doing nothing’ is rarely actually free, and this section is what makes that visible.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does continuing the current process/tool cost annually, in the same units used above?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Is there compliance, competitive, or reputational exposure that grows the longer this is deferred?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How does the cost of inaction compare to the total cost of this solution over the same time horizon?</w:t>
      </w:r>
    </w:p>
    <w:p>
      <w:pPr>
        <w:spacing w:after="80"/>
      </w:pPr>
    </w:p>
    <w:tbl>
      <w:tblPr>
        <w:tblW w:type="pct" w:w="100%"/>
        <w:tblBorders>
          <w:top w:val="single" w:color="9fb3bd" w:sz="4"/>
          <w:left w:val="single" w:color="9fb3bd" w:sz="4"/>
          <w:bottom w:val="single" w:color="9fb3bd" w:sz="4"/>
          <w:right w:val="single" w:color="9fb3b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EFE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97a0"/>
                <w:sz w:val="15"/>
                <w:szCs w:val="15"/>
              </w:rPr>
              <w:t xml:space="preserve">AUTHOR'S RESPONSE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7. Sensitivity &amp; Assumptions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Name the assumptions that would most change the answer — a sponsor should know which numbers in this estimate are load-bearing.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Which single assumption, if wrong, would most change the total cost or the payback period?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happens to the estimate if adoption is 50% of projected? If it's 150%?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happens if regulatory scope expands mid-build (e.g., a system is reclassified as higher-risk)?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is the confidence level in this estimate overall, and what would increase that confidence?</w:t>
      </w:r>
    </w:p>
    <w:p>
      <w:pPr>
        <w:spacing w:after="80"/>
      </w:pPr>
    </w:p>
    <w:tbl>
      <w:tblPr>
        <w:tblW w:type="pct" w:w="100%"/>
        <w:tblBorders>
          <w:top w:val="single" w:color="9fb3bd" w:sz="4"/>
          <w:left w:val="single" w:color="9fb3bd" w:sz="4"/>
          <w:bottom w:val="single" w:color="9fb3bd" w:sz="4"/>
          <w:right w:val="single" w:color="9fb3b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EFE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97a0"/>
                <w:sz w:val="15"/>
                <w:szCs w:val="15"/>
              </w:rPr>
              <w:t xml:space="preserve">AUTHOR'S RESPONSE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8. Approval &amp; Sign-off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Record who accepted this estimate as the basis for the funding decision — and commit to when it gets revisited.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Who approves this cost estimate, and does approval authorize spend or only inform the Stage 1 go/no-go decision?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When will this estimate be formally revisited (e.g., end of Stage 3 Architecture, or any Change Control event)?</w:t>
      </w:r>
    </w:p>
    <w:p>
      <w:pPr>
        <w:spacing w:after="80"/>
      </w:pPr>
    </w:p>
    <w:tbl>
      <w:tblPr>
        <w:tblW w:type="pct" w:w="100%"/>
        <w:tblBorders>
          <w:top w:val="single" w:color="9fb3bd" w:sz="4"/>
          <w:left w:val="single" w:color="9fb3bd" w:sz="4"/>
          <w:bottom w:val="single" w:color="9fb3bd" w:sz="4"/>
          <w:right w:val="single" w:color="9fb3b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EFE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97a0"/>
                <w:sz w:val="15"/>
                <w:szCs w:val="15"/>
              </w:rPr>
              <w:t xml:space="preserve">AUTHOR'S RESPONSE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"/>
            <w:shd w:fill="0d2b4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"/>
            <w:shd w:fill="0d2b4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"/>
            <w:shd w:fill="0d2b4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5"/>
            <w:shd w:fill="0d2b4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Business/System Owner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Finance / Budget Owner</w:t>
            </w:r>
          </w:p>
        </w:tc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Project/Program Manager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References &amp; Sources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External sources consulted in developing this artifact's structure and requirements. Article/clause-level citations appear inline throughout; full source details are listed here for verification.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No external regulatory or standards sources are directly cited in this artifact.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0d2b45"/>
          <w:sz w:val="18"/>
          <w:szCs w:val="18"/>
        </w:rPr>
        <w:t xml:space="preserve">Internal references: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Companion Business Case &amp; Project Charter (this estimate backs the High-Level Cost Summary in that document's Section 2). Three-point (Low/Most Likely/High) estimating is a general project-estimation practice, not drawn from a specific regulatory source.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8" w:sz="4" w:space="4"/>
      </w:pBdr>
      <w:tabs>
        <w:tab w:val="right" w:pos="9350"/>
      </w:tabs>
    </w:pPr>
    <w:r>
      <w:rPr>
        <w:rFonts w:ascii="Arial" w:cs="Arial" w:eastAsia="Arial" w:hAnsi="Arial"/>
        <w:color w:val="6b6b6b"/>
        <w:sz w:val="16"/>
        <w:szCs w:val="16"/>
      </w:rPr>
      <w:t xml:space="preserve">Maria Febus · Beyond the Model — Implementation Artifact Templates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6"/>
        <w:szCs w:val="16"/>
      </w:rPr>
      <w:t xml:space="preserve"> of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8" w:sz="4" w:space="4"/>
      </w:pBdr>
    </w:pPr>
    <w:r>
      <w:rPr>
        <w:rFonts w:ascii="Arial" w:cs="Arial" w:eastAsia="Arial" w:hAnsi="Arial"/>
        <w:b/>
        <w:bCs/>
        <w:color w:val="1f6f78"/>
        <w:sz w:val="16"/>
        <w:szCs w:val="16"/>
      </w:rPr>
      <w:t xml:space="preserve">SOLUTION COST ESTIMATE —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2026-08-11T17:46:03.288Z</dcterms:created>
  <dcterms:modified xsi:type="dcterms:W3CDTF">2026-08-11T17:46:03.288Z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