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CC88F" w14:textId="269F97FF" w:rsidR="002833E4" w:rsidRPr="002833E4" w:rsidRDefault="002833E4" w:rsidP="002833E4">
      <w:pPr>
        <w:spacing w:line="480" w:lineRule="auto"/>
        <w:rPr>
          <w:rStyle w:val="apple-converted-space"/>
          <w:color w:val="222222"/>
          <w:shd w:val="clear" w:color="auto" w:fill="FFFFFF"/>
        </w:rPr>
      </w:pPr>
      <w:r w:rsidRPr="002833E4">
        <w:rPr>
          <w:rStyle w:val="apple-converted-space"/>
          <w:b/>
          <w:color w:val="222222"/>
          <w:shd w:val="clear" w:color="auto" w:fill="FFFFFF"/>
        </w:rPr>
        <w:t xml:space="preserve">Title: </w:t>
      </w:r>
      <w:r w:rsidRPr="002833E4">
        <w:t>The influence of temporal</w:t>
      </w:r>
      <w:r w:rsidRPr="002833E4">
        <w:rPr>
          <w:color w:val="FF0000"/>
        </w:rPr>
        <w:t xml:space="preserve"> </w:t>
      </w:r>
      <w:r w:rsidRPr="002833E4">
        <w:t>isotope heterogeneity and isotope incorporation rates on consumer trophic position estimation</w:t>
      </w:r>
    </w:p>
    <w:p w14:paraId="2408D217" w14:textId="736CB8F6" w:rsidR="002833E4" w:rsidRPr="002833E4" w:rsidRDefault="002833E4" w:rsidP="002833E4">
      <w:pPr>
        <w:spacing w:line="480" w:lineRule="auto"/>
        <w:ind w:left="720" w:hanging="720"/>
        <w:rPr>
          <w:vertAlign w:val="superscript"/>
        </w:rPr>
      </w:pPr>
      <w:r w:rsidRPr="002833E4">
        <w:rPr>
          <w:b/>
        </w:rPr>
        <w:t>Authors:</w:t>
      </w:r>
      <w:r w:rsidRPr="002833E4">
        <w:t xml:space="preserve"> Megan L. Feddern</w:t>
      </w:r>
      <w:r w:rsidRPr="002833E4">
        <w:rPr>
          <w:vertAlign w:val="superscript"/>
        </w:rPr>
        <w:t>1</w:t>
      </w:r>
      <w:r w:rsidRPr="002833E4">
        <w:t xml:space="preserve">, </w:t>
      </w:r>
      <w:r>
        <w:t>Jens M</w:t>
      </w:r>
      <w:r w:rsidRPr="002833E4">
        <w:t xml:space="preserve">. </w:t>
      </w:r>
      <w:r>
        <w:t>Nielsen</w:t>
      </w:r>
      <w:r w:rsidRPr="002833E4">
        <w:rPr>
          <w:vertAlign w:val="superscript"/>
        </w:rPr>
        <w:t>2</w:t>
      </w:r>
      <w:r w:rsidR="00980511">
        <w:rPr>
          <w:vertAlign w:val="superscript"/>
        </w:rPr>
        <w:t>,3</w:t>
      </w:r>
      <w:r w:rsidRPr="002833E4">
        <w:t>, Gordon W. Holtgrieve</w:t>
      </w:r>
      <w:r w:rsidRPr="002833E4">
        <w:rPr>
          <w:vertAlign w:val="superscript"/>
        </w:rPr>
        <w:t>1</w:t>
      </w:r>
    </w:p>
    <w:p w14:paraId="01708F61" w14:textId="77777777" w:rsidR="002833E4" w:rsidRPr="002833E4" w:rsidRDefault="002833E4" w:rsidP="002833E4">
      <w:pPr>
        <w:spacing w:line="480" w:lineRule="auto"/>
      </w:pPr>
      <w:r w:rsidRPr="002833E4">
        <w:t>1. University of Washington, School of Aquatic and Fishery Sciences, 1122 NE Boat Street, Seattle, WA 98105</w:t>
      </w:r>
    </w:p>
    <w:p w14:paraId="4E0D07D5" w14:textId="6D03A0F9" w:rsidR="00980511" w:rsidRPr="004F6F44" w:rsidRDefault="00980511" w:rsidP="00980511">
      <w:pPr>
        <w:shd w:val="clear" w:color="auto" w:fill="FFFFFF"/>
        <w:spacing w:line="480" w:lineRule="auto"/>
      </w:pPr>
      <w:r>
        <w:t xml:space="preserve">2. </w:t>
      </w:r>
      <w:r w:rsidRPr="004F6F44">
        <w:t>National Oceanic and Atmospheric Administration (NOAA), Alaska Fisheries Science Center, 7600 Sand Point Way NE, Seattle, WA, 98115, USA</w:t>
      </w:r>
    </w:p>
    <w:p w14:paraId="54618A8F" w14:textId="77777777" w:rsidR="00C73CDD" w:rsidRDefault="00980511" w:rsidP="00980511">
      <w:pPr>
        <w:spacing w:line="480" w:lineRule="auto"/>
      </w:pPr>
      <w:r>
        <w:t xml:space="preserve">3. </w:t>
      </w:r>
      <w:r w:rsidRPr="004F6F44">
        <w:t>Cooperative Institute for Climate, Ocean, and Ecosystem Studies, University of Washington, Seattle, WA, United States</w:t>
      </w:r>
    </w:p>
    <w:p w14:paraId="6C63C014" w14:textId="79EEACA1" w:rsidR="002833E4" w:rsidRDefault="00980511" w:rsidP="00980511">
      <w:pPr>
        <w:spacing w:line="480" w:lineRule="auto"/>
        <w:rPr>
          <w:i/>
          <w:iCs/>
        </w:rPr>
      </w:pPr>
      <w:r>
        <w:t xml:space="preserve"> </w:t>
      </w:r>
      <w:r w:rsidR="002833E4" w:rsidRPr="002833E4">
        <w:rPr>
          <w:b/>
        </w:rPr>
        <w:t xml:space="preserve">Corresponding Author: </w:t>
      </w:r>
      <w:r w:rsidR="002833E4" w:rsidRPr="002833E4">
        <w:t>Megan L. Feddern, 603-651-6802, mfeddern@uw.edu</w:t>
      </w:r>
      <w:r w:rsidR="002833E4" w:rsidRPr="002833E4">
        <w:rPr>
          <w:i/>
          <w:iCs/>
        </w:rPr>
        <w:t xml:space="preserve"> </w:t>
      </w:r>
    </w:p>
    <w:p w14:paraId="49CCC397" w14:textId="41C1E4DB" w:rsidR="002833E4" w:rsidRPr="00FB6BA6" w:rsidRDefault="00791BD8" w:rsidP="002833E4">
      <w:pPr>
        <w:spacing w:line="480" w:lineRule="auto"/>
        <w:rPr>
          <w:iCs/>
        </w:rPr>
      </w:pPr>
      <w:r>
        <w:rPr>
          <w:b/>
          <w:iCs/>
        </w:rPr>
        <w:t xml:space="preserve">Target Journals: </w:t>
      </w:r>
      <w:proofErr w:type="spellStart"/>
      <w:r>
        <w:rPr>
          <w:iCs/>
        </w:rPr>
        <w:t>PloS</w:t>
      </w:r>
      <w:proofErr w:type="spellEnd"/>
      <w:r>
        <w:rPr>
          <w:iCs/>
        </w:rPr>
        <w:t xml:space="preserve"> One, MEPS, L</w:t>
      </w:r>
      <w:r w:rsidR="00636559">
        <w:rPr>
          <w:iCs/>
        </w:rPr>
        <w:t>&amp;</w:t>
      </w:r>
      <w:r>
        <w:rPr>
          <w:iCs/>
        </w:rPr>
        <w:t>M Methods</w:t>
      </w:r>
    </w:p>
    <w:p w14:paraId="07071DCC" w14:textId="5255D0A3" w:rsidR="002833E4" w:rsidRPr="00FB6BA6" w:rsidRDefault="002833E4">
      <w:r w:rsidRPr="002833E4">
        <w:t>Main text: of 12000 words</w:t>
      </w:r>
    </w:p>
    <w:p w14:paraId="749542B5" w14:textId="77777777" w:rsidR="00FB6BA6" w:rsidRDefault="00FB6BA6">
      <w:pPr>
        <w:rPr>
          <w:b/>
        </w:rPr>
      </w:pPr>
      <w:r>
        <w:rPr>
          <w:b/>
        </w:rPr>
        <w:br w:type="page"/>
      </w:r>
    </w:p>
    <w:p w14:paraId="7B4446ED" w14:textId="71D1CD3F" w:rsidR="005C2C02" w:rsidRDefault="00A25EB6">
      <w:pPr>
        <w:rPr>
          <w:b/>
        </w:rPr>
      </w:pPr>
      <w:r>
        <w:rPr>
          <w:b/>
        </w:rPr>
        <w:lastRenderedPageBreak/>
        <w:t xml:space="preserve">1. </w:t>
      </w:r>
      <w:r w:rsidR="002833E4" w:rsidRPr="002833E4">
        <w:rPr>
          <w:b/>
        </w:rPr>
        <w:t>Abstract</w:t>
      </w:r>
      <w:r w:rsidR="00864E5B">
        <w:rPr>
          <w:b/>
        </w:rPr>
        <w:t xml:space="preserve"> (288)</w:t>
      </w:r>
    </w:p>
    <w:p w14:paraId="38201014" w14:textId="4B956873" w:rsidR="001734F8" w:rsidRPr="002833E4" w:rsidRDefault="00C03B0E" w:rsidP="001752C1">
      <w:pPr>
        <w:spacing w:line="480" w:lineRule="auto"/>
        <w:rPr>
          <w:b/>
        </w:rPr>
      </w:pPr>
      <w:r>
        <w:rPr>
          <w:b/>
        </w:rPr>
        <w:tab/>
      </w:r>
      <w:r w:rsidRPr="00C532F3">
        <w:t xml:space="preserve">Nitrogen stable isotope </w:t>
      </w:r>
      <w:r w:rsidR="00C532F3" w:rsidRPr="00C532F3">
        <w:t xml:space="preserve">ratios are </w:t>
      </w:r>
      <w:r w:rsidR="00C532F3">
        <w:t>frequently used to estimate trophic position of consumers. A key assumption in this application of stable isotope data is that the food web</w:t>
      </w:r>
      <w:r w:rsidR="004607BC">
        <w:t>s</w:t>
      </w:r>
      <w:r w:rsidR="00C532F3">
        <w:t xml:space="preserve"> in which consumers forage </w:t>
      </w:r>
      <w:r w:rsidR="004607BC">
        <w:t>are</w:t>
      </w:r>
      <w:r w:rsidR="00C532F3">
        <w:t xml:space="preserve"> in </w:t>
      </w:r>
      <w:r w:rsidR="00BE24D8">
        <w:t xml:space="preserve">isotopic </w:t>
      </w:r>
      <w:proofErr w:type="spellStart"/>
      <w:r w:rsidR="00BE24D8">
        <w:t>equlibrium</w:t>
      </w:r>
      <w:proofErr w:type="spellEnd"/>
      <w:r w:rsidR="00C532F3">
        <w:t xml:space="preserve"> with </w:t>
      </w:r>
      <w:r w:rsidR="004607BC">
        <w:t xml:space="preserve">nitrogen </w:t>
      </w:r>
      <w:r w:rsidR="00C532F3">
        <w:t xml:space="preserve">resources. However, </w:t>
      </w:r>
      <w:r w:rsidR="00654EF7">
        <w:t>isotopic heterogeneity in the food web, which can arise from seasonal nutrient fluctuations, spatial variability in primary production, or variability in available prey</w:t>
      </w:r>
      <w:r w:rsidR="00A96F6C">
        <w:t>,</w:t>
      </w:r>
      <w:r w:rsidR="00654EF7">
        <w:t xml:space="preserve"> exists in most systems</w:t>
      </w:r>
      <w:r w:rsidR="00A96F6C">
        <w:t>. Given</w:t>
      </w:r>
      <w:r w:rsidR="004C6424">
        <w:t xml:space="preserve"> </w:t>
      </w:r>
      <w:r w:rsidR="00654EF7">
        <w:t>resources are not immediately assimilated into the tissues of consumers</w:t>
      </w:r>
      <w:r w:rsidR="00A96F6C">
        <w:t xml:space="preserve">, it is likely that the assumption of isotopic </w:t>
      </w:r>
      <w:r w:rsidR="00723A72">
        <w:t>equilibrium</w:t>
      </w:r>
      <w:r w:rsidR="00A96F6C">
        <w:t xml:space="preserve"> is frequently violated in most systems</w:t>
      </w:r>
      <w:r w:rsidR="00654EF7">
        <w:t xml:space="preserve">. We tested the degree to which </w:t>
      </w:r>
      <w:r w:rsidR="00A96F6C">
        <w:t xml:space="preserve">the </w:t>
      </w:r>
      <w:r w:rsidR="00654EF7">
        <w:t>violation of th</w:t>
      </w:r>
      <w:r w:rsidR="00A96F6C">
        <w:t xml:space="preserve">is </w:t>
      </w:r>
      <w:r w:rsidR="00654EF7">
        <w:t xml:space="preserve">assumption impacts consumer stable isotope ratios and trophic position estimates from those ratios. </w:t>
      </w:r>
      <w:r w:rsidR="0004623D">
        <w:t xml:space="preserve">We constructed a compartment model </w:t>
      </w:r>
      <w:r w:rsidR="00654EF7" w:rsidRPr="00743FCB">
        <w:t xml:space="preserve">to explore consumer isotope incorporation rates and their effect on trophic position calculations using </w:t>
      </w:r>
      <w:r w:rsidR="00C97FD9">
        <w:t xml:space="preserve">bulk and compound specific </w:t>
      </w:r>
      <w:r w:rsidR="00654EF7" w:rsidRPr="00743FCB">
        <w:t>stable isotope data from previous experimental and observational studies</w:t>
      </w:r>
      <w:r w:rsidR="00EA28AD">
        <w:t xml:space="preserve"> derived from a variety of aquatic systems</w:t>
      </w:r>
      <w:r w:rsidR="00654EF7" w:rsidRPr="00743FCB">
        <w:t>.</w:t>
      </w:r>
      <w:r w:rsidR="00EA28AD">
        <w:t xml:space="preserve"> </w:t>
      </w:r>
      <w:r w:rsidR="0004623D">
        <w:t xml:space="preserve">We </w:t>
      </w:r>
      <w:r w:rsidR="00725CC7">
        <w:t>also tested how</w:t>
      </w:r>
      <w:r w:rsidR="0004623D">
        <w:t xml:space="preserve"> different parameterizations of the stable isotope baseline </w:t>
      </w:r>
      <w:r w:rsidR="00725CC7">
        <w:t xml:space="preserve">in trophic position calculations </w:t>
      </w:r>
      <w:r w:rsidR="0004623D">
        <w:t xml:space="preserve">can improve accuracy. </w:t>
      </w:r>
      <w:r w:rsidR="00EA28AD">
        <w:t>We</w:t>
      </w:r>
      <w:r w:rsidR="00C97FD9">
        <w:t xml:space="preserve"> </w:t>
      </w:r>
      <w:r w:rsidR="00725CC7">
        <w:t>found</w:t>
      </w:r>
      <w:r w:rsidR="00C97FD9">
        <w:t xml:space="preserve"> trophic position estimates of higher trophic level consumers are less accurate than lower trophic level consumers</w:t>
      </w:r>
      <w:r w:rsidR="0004623D">
        <w:t xml:space="preserve"> when applying bulk stable isotope analysis</w:t>
      </w:r>
      <w:r w:rsidR="00725CC7">
        <w:t xml:space="preserve"> </w:t>
      </w:r>
      <w:r w:rsidR="00A96F6C">
        <w:t xml:space="preserve">(BSIA) </w:t>
      </w:r>
      <w:r w:rsidR="00694D05">
        <w:t>with</w:t>
      </w:r>
      <w:r w:rsidR="00725CC7">
        <w:t xml:space="preserve"> particulate organic matter as the stable isotope baseline</w:t>
      </w:r>
      <w:r w:rsidR="00A96F6C">
        <w:t xml:space="preserve"> in trophic position equations</w:t>
      </w:r>
      <w:r w:rsidR="00C97FD9">
        <w:t>.</w:t>
      </w:r>
      <w:r w:rsidR="00725CC7">
        <w:t xml:space="preserve"> Accuracy of </w:t>
      </w:r>
      <w:r w:rsidR="00A96F6C">
        <w:t>consumer trophic position</w:t>
      </w:r>
      <w:r w:rsidR="00725CC7">
        <w:t xml:space="preserve"> improved for tertiary consumers when applying a 90-day lag between </w:t>
      </w:r>
      <w:r w:rsidR="00A96F6C">
        <w:t xml:space="preserve">the </w:t>
      </w:r>
      <w:r w:rsidR="00725CC7">
        <w:t xml:space="preserve">consumer stable isotope measurement compared to baseline measurements, but this was at the expense of decreased accuracy for lower trophic level consumers. </w:t>
      </w:r>
      <w:r w:rsidR="00C97FD9">
        <w:t xml:space="preserve"> </w:t>
      </w:r>
      <w:r w:rsidR="00864E5B">
        <w:t>Compound-</w:t>
      </w:r>
      <w:r w:rsidR="00EA28AD">
        <w:t xml:space="preserve">specific stable isotope analysis (CSIA) of individual amino acids </w:t>
      </w:r>
      <w:r w:rsidR="00694D05">
        <w:t>was more accurate in estimating</w:t>
      </w:r>
      <w:r w:rsidR="00EA28AD">
        <w:t xml:space="preserve"> trophic position </w:t>
      </w:r>
      <w:r w:rsidR="000A169D">
        <w:t>for all consumers and systems</w:t>
      </w:r>
      <w:r w:rsidR="00EA28AD">
        <w:t xml:space="preserve"> compared to </w:t>
      </w:r>
      <w:r w:rsidR="000A169D">
        <w:t xml:space="preserve">BSIA. </w:t>
      </w:r>
      <w:r w:rsidR="00864E5B">
        <w:t xml:space="preserve">Overall, </w:t>
      </w:r>
      <w:r w:rsidR="000A169D">
        <w:t xml:space="preserve">our results show </w:t>
      </w:r>
      <w:r w:rsidR="00864E5B">
        <w:t xml:space="preserve">consideration of </w:t>
      </w:r>
      <w:r w:rsidR="000A169D">
        <w:t xml:space="preserve">stable </w:t>
      </w:r>
      <w:r w:rsidR="00864E5B">
        <w:t xml:space="preserve">isotope heterogeneity and </w:t>
      </w:r>
      <w:r w:rsidR="000A169D">
        <w:t xml:space="preserve">stable </w:t>
      </w:r>
      <w:r w:rsidR="00864E5B">
        <w:t xml:space="preserve">isotope incorporation rates of consumers is important for accurate trophic position estimates </w:t>
      </w:r>
      <w:r w:rsidR="000A169D">
        <w:t xml:space="preserve">and </w:t>
      </w:r>
      <w:r w:rsidR="00864E5B">
        <w:t>should be carefully considered when designing stable isotope studies.</w:t>
      </w:r>
      <w:r w:rsidR="001734F8" w:rsidRPr="002833E4">
        <w:rPr>
          <w:b/>
        </w:rPr>
        <w:br w:type="page"/>
      </w:r>
    </w:p>
    <w:p w14:paraId="66F2A51A" w14:textId="477EA26D" w:rsidR="00743FCB" w:rsidRDefault="00A25EB6" w:rsidP="00743FCB">
      <w:pPr>
        <w:spacing w:line="480" w:lineRule="auto"/>
        <w:contextualSpacing/>
        <w:rPr>
          <w:b/>
        </w:rPr>
      </w:pPr>
      <w:r>
        <w:rPr>
          <w:b/>
        </w:rPr>
        <w:lastRenderedPageBreak/>
        <w:t xml:space="preserve">2. </w:t>
      </w:r>
      <w:r w:rsidR="00FB6BA6">
        <w:rPr>
          <w:b/>
        </w:rPr>
        <w:t>Introduction</w:t>
      </w:r>
    </w:p>
    <w:p w14:paraId="2BF7BC7D" w14:textId="55430333" w:rsidR="001838D9" w:rsidRPr="00803F40" w:rsidRDefault="00743FCB" w:rsidP="001838D9">
      <w:pPr>
        <w:spacing w:line="480" w:lineRule="auto"/>
      </w:pPr>
      <w:r>
        <w:tab/>
      </w:r>
      <w:r w:rsidR="00567187" w:rsidRPr="00743FCB">
        <w:t>In most ec</w:t>
      </w:r>
      <w:r w:rsidR="00567187">
        <w:t>o</w:t>
      </w:r>
      <w:r w:rsidR="00567187" w:rsidRPr="00743FCB">
        <w:t>systems</w:t>
      </w:r>
      <w:r w:rsidR="004D4D14">
        <w:t>,</w:t>
      </w:r>
      <w:r w:rsidR="00567187" w:rsidRPr="00743FCB">
        <w:t xml:space="preserve"> seasonality is a key mediator of food web structure and function (</w:t>
      </w:r>
      <w:proofErr w:type="spellStart"/>
      <w:r w:rsidR="00567187" w:rsidRPr="00743FCB">
        <w:t>McMeans</w:t>
      </w:r>
      <w:proofErr w:type="spellEnd"/>
      <w:r w:rsidR="00567187" w:rsidRPr="00743FCB">
        <w:t xml:space="preserve"> </w:t>
      </w:r>
      <w:r w:rsidR="00A659A7">
        <w:t>et a</w:t>
      </w:r>
      <w:r w:rsidR="00AB239C">
        <w:t xml:space="preserve">l. </w:t>
      </w:r>
      <w:r w:rsidR="00567187" w:rsidRPr="00743FCB">
        <w:t>2015)</w:t>
      </w:r>
      <w:r w:rsidR="0087739F">
        <w:t>.</w:t>
      </w:r>
      <w:r w:rsidR="00567187">
        <w:t xml:space="preserve"> Nutrients,</w:t>
      </w:r>
      <w:r w:rsidR="00810C61">
        <w:t xml:space="preserve"> such as phosphorus</w:t>
      </w:r>
      <w:r w:rsidR="00266695">
        <w:t>,</w:t>
      </w:r>
      <w:r w:rsidR="00810C61">
        <w:t xml:space="preserve"> nitrogen</w:t>
      </w:r>
      <w:r w:rsidR="00266695">
        <w:t xml:space="preserve">, and </w:t>
      </w:r>
      <w:r w:rsidR="00090337">
        <w:t>silicon</w:t>
      </w:r>
      <w:r w:rsidR="00810C61">
        <w:t xml:space="preserve">, </w:t>
      </w:r>
      <w:r w:rsidR="005D5AF7">
        <w:t xml:space="preserve">can be seasonally </w:t>
      </w:r>
      <w:r w:rsidR="00810C61">
        <w:t>limited</w:t>
      </w:r>
      <w:r w:rsidR="00D435F0">
        <w:t xml:space="preserve"> </w:t>
      </w:r>
      <w:r w:rsidR="00266695">
        <w:t xml:space="preserve">in </w:t>
      </w:r>
      <w:r w:rsidR="00D435F0">
        <w:t xml:space="preserve">their availability </w:t>
      </w:r>
      <w:r w:rsidR="009756AA">
        <w:t xml:space="preserve">which </w:t>
      </w:r>
      <w:r w:rsidR="0006352F">
        <w:t xml:space="preserve">can determine </w:t>
      </w:r>
      <w:r w:rsidR="00810C61">
        <w:t>the timing</w:t>
      </w:r>
      <w:r w:rsidR="006D6E42">
        <w:t xml:space="preserve"> </w:t>
      </w:r>
      <w:r w:rsidR="00810C61">
        <w:t xml:space="preserve">and </w:t>
      </w:r>
      <w:r w:rsidR="00A209A0">
        <w:t xml:space="preserve">amount of primary production </w:t>
      </w:r>
      <w:r w:rsidR="005D5AF7">
        <w:t>(</w:t>
      </w:r>
      <w:proofErr w:type="spellStart"/>
      <w:r w:rsidR="005D5AF7">
        <w:t>sensu</w:t>
      </w:r>
      <w:proofErr w:type="spellEnd"/>
      <w:r w:rsidR="005D5AF7">
        <w:t xml:space="preserve">., Moon and </w:t>
      </w:r>
      <w:r w:rsidR="00AB239C">
        <w:t>C</w:t>
      </w:r>
      <w:r w:rsidR="005D5AF7">
        <w:t xml:space="preserve">arrick 2007, </w:t>
      </w:r>
      <w:proofErr w:type="spellStart"/>
      <w:r w:rsidR="005D5AF7">
        <w:t>Kolzau</w:t>
      </w:r>
      <w:proofErr w:type="spellEnd"/>
      <w:r w:rsidR="005D5AF7">
        <w:t xml:space="preserve"> et al. 2014,</w:t>
      </w:r>
      <w:r w:rsidR="005D5AF7" w:rsidRPr="005D5AF7">
        <w:t xml:space="preserve"> </w:t>
      </w:r>
      <w:proofErr w:type="spellStart"/>
      <w:r w:rsidR="005D5AF7" w:rsidRPr="00480508">
        <w:t>Søndergaard</w:t>
      </w:r>
      <w:proofErr w:type="spellEnd"/>
      <w:r w:rsidR="005D5AF7">
        <w:t xml:space="preserve"> et al. 2017)</w:t>
      </w:r>
      <w:r w:rsidR="00353DB6">
        <w:t xml:space="preserve"> </w:t>
      </w:r>
      <w:r w:rsidR="005D5AF7">
        <w:t>in aquatic</w:t>
      </w:r>
      <w:r w:rsidR="0020745E">
        <w:t xml:space="preserve"> </w:t>
      </w:r>
      <w:r w:rsidR="00353DB6">
        <w:t>system</w:t>
      </w:r>
      <w:r w:rsidR="005D5AF7">
        <w:t>s.</w:t>
      </w:r>
      <w:r w:rsidR="005D5AF7" w:rsidRPr="0020745E">
        <w:t xml:space="preserve"> </w:t>
      </w:r>
      <w:r w:rsidR="005D5AF7">
        <w:t xml:space="preserve">Nutrient availability can be influenced by oceanographic conditions, due to upwelling (Barth et al. 2007, Ferreira et al. 2020), resources pulses (Benbow et al. 2020, </w:t>
      </w:r>
      <w:proofErr w:type="spellStart"/>
      <w:r w:rsidR="005D5AF7">
        <w:t>Vespoor</w:t>
      </w:r>
      <w:proofErr w:type="spellEnd"/>
      <w:r w:rsidR="005D5AF7">
        <w:t xml:space="preserve"> et al. 2011), or anthropogenic inputs (</w:t>
      </w:r>
      <w:proofErr w:type="spellStart"/>
      <w:r w:rsidR="005D5AF7" w:rsidRPr="00FB1ECA">
        <w:t>Khangaonkar</w:t>
      </w:r>
      <w:proofErr w:type="spellEnd"/>
      <w:r w:rsidR="005D5AF7">
        <w:t xml:space="preserve"> et al. 2019, </w:t>
      </w:r>
      <w:proofErr w:type="spellStart"/>
      <w:r w:rsidR="005D5AF7">
        <w:t>McCrackin</w:t>
      </w:r>
      <w:proofErr w:type="spellEnd"/>
      <w:r w:rsidR="005D5AF7">
        <w:t xml:space="preserve"> et al. 2017), allowing for increased resource sequestration as primary producers are released from growth limiting constraints. </w:t>
      </w:r>
      <w:r w:rsidR="00BF46EE">
        <w:t>In addition</w:t>
      </w:r>
      <w:r w:rsidR="00353DB6">
        <w:t xml:space="preserve">, </w:t>
      </w:r>
      <w:r w:rsidR="00EF1A3D">
        <w:t xml:space="preserve">the </w:t>
      </w:r>
      <w:r w:rsidR="005B2378">
        <w:t>impact</w:t>
      </w:r>
      <w:r w:rsidR="00EF1A3D">
        <w:t xml:space="preserve"> of nutrient limitation can </w:t>
      </w:r>
      <w:r w:rsidR="005D5AF7">
        <w:t>propagate to</w:t>
      </w:r>
      <w:r w:rsidR="00EF1A3D">
        <w:t xml:space="preserve"> the rest of the food web, as </w:t>
      </w:r>
      <w:r w:rsidR="00353DB6">
        <w:t>p</w:t>
      </w:r>
      <w:r w:rsidR="00D435F0">
        <w:t xml:space="preserve">rimary production can </w:t>
      </w:r>
      <w:r w:rsidR="006D39AA">
        <w:t xml:space="preserve">alter </w:t>
      </w:r>
      <w:r w:rsidR="00D435F0">
        <w:t>abundance in both adjacent and non-adjacent trophic levels (</w:t>
      </w:r>
      <w:r w:rsidR="00B01AE2" w:rsidRPr="00B01AE2">
        <w:t>Ware and Thomson, 2005</w:t>
      </w:r>
      <w:r w:rsidR="00D435F0">
        <w:t>)</w:t>
      </w:r>
      <w:r w:rsidR="00353DB6">
        <w:t xml:space="preserve"> by </w:t>
      </w:r>
      <w:r w:rsidR="006D39AA">
        <w:t>controlling</w:t>
      </w:r>
      <w:r w:rsidR="00090337">
        <w:t xml:space="preserve"> the energy available</w:t>
      </w:r>
      <w:r w:rsidR="001838D9">
        <w:t xml:space="preserve"> for higher trophic level consumers</w:t>
      </w:r>
      <w:r w:rsidR="00723A72">
        <w:t>.</w:t>
      </w:r>
    </w:p>
    <w:p w14:paraId="011ADE52" w14:textId="6F9B10AF" w:rsidR="0071457D" w:rsidRPr="00743FCB" w:rsidRDefault="00743FCB" w:rsidP="0071457D">
      <w:pPr>
        <w:spacing w:line="480" w:lineRule="auto"/>
      </w:pPr>
      <w:r>
        <w:tab/>
      </w:r>
      <w:r w:rsidR="006D39AA">
        <w:t xml:space="preserve">Stable isotope analysis </w:t>
      </w:r>
      <w:r w:rsidR="003D4611">
        <w:t>of nitrogen (</w:t>
      </w:r>
      <w:r w:rsidR="003D4611" w:rsidRPr="005851D7">
        <w:rPr>
          <w:vertAlign w:val="superscript"/>
        </w:rPr>
        <w:t>15</w:t>
      </w:r>
      <w:r w:rsidR="003D4611">
        <w:t>N/</w:t>
      </w:r>
      <w:r w:rsidR="003D4611" w:rsidRPr="005851D7">
        <w:rPr>
          <w:vertAlign w:val="superscript"/>
        </w:rPr>
        <w:t>14</w:t>
      </w:r>
      <w:r w:rsidR="003D4611">
        <w:t xml:space="preserve">N) </w:t>
      </w:r>
      <w:r w:rsidR="006D39AA">
        <w:t xml:space="preserve">serves as a useful tool for identifying trophic interactions and nutrient sources in food webs. </w:t>
      </w:r>
      <w:r w:rsidR="00C801CF">
        <w:t>The n</w:t>
      </w:r>
      <w:r w:rsidR="0071457D">
        <w:t xml:space="preserve">itrogen stable isotope </w:t>
      </w:r>
      <w:r w:rsidR="001838D9">
        <w:t>values</w:t>
      </w:r>
      <w:r w:rsidR="0071457D">
        <w:t xml:space="preserve"> (</w:t>
      </w:r>
      <w:r w:rsidR="005851D7" w:rsidRPr="00743FCB">
        <w:t>δ</w:t>
      </w:r>
      <w:r w:rsidR="005851D7" w:rsidRPr="00743FCB">
        <w:rPr>
          <w:vertAlign w:val="superscript"/>
        </w:rPr>
        <w:t>15</w:t>
      </w:r>
      <w:r w:rsidR="005851D7" w:rsidRPr="00743FCB">
        <w:t>N</w:t>
      </w:r>
      <w:r w:rsidR="0071457D">
        <w:t xml:space="preserve">) </w:t>
      </w:r>
      <w:r w:rsidR="00084F02">
        <w:t>of consumers within a food web</w:t>
      </w:r>
      <w:r w:rsidR="00651893">
        <w:t xml:space="preserve"> are</w:t>
      </w:r>
      <w:r w:rsidR="00C9365C">
        <w:t xml:space="preserve"> characterize</w:t>
      </w:r>
      <w:r w:rsidR="00651893">
        <w:t>d</w:t>
      </w:r>
      <w:r w:rsidR="0071457D">
        <w:t xml:space="preserve"> </w:t>
      </w:r>
      <w:r w:rsidR="00651893">
        <w:t xml:space="preserve">by </w:t>
      </w:r>
      <w:r w:rsidR="005851D7">
        <w:t>nitrogen availability</w:t>
      </w:r>
      <w:r w:rsidR="0071457D">
        <w:t xml:space="preserve">, contributions of </w:t>
      </w:r>
      <w:r w:rsidR="005851D7">
        <w:t xml:space="preserve">distinct nitrogen sources </w:t>
      </w:r>
      <w:r w:rsidR="0071457D">
        <w:t>(</w:t>
      </w:r>
      <w:r w:rsidR="005851D7">
        <w:t xml:space="preserve">i.e., anthropogenically fixed; Vander </w:t>
      </w:r>
      <w:proofErr w:type="spellStart"/>
      <w:r w:rsidR="005851D7">
        <w:t>Zanden</w:t>
      </w:r>
      <w:proofErr w:type="spellEnd"/>
      <w:r w:rsidR="005851D7">
        <w:t xml:space="preserve"> et al. 2005</w:t>
      </w:r>
      <w:r w:rsidR="0071457D">
        <w:t>), and trophic position</w:t>
      </w:r>
      <w:r w:rsidR="008B63C9">
        <w:t>.</w:t>
      </w:r>
      <w:r w:rsidR="00651893">
        <w:t xml:space="preserve"> </w:t>
      </w:r>
      <w:r w:rsidR="00F73A03">
        <w:t>T</w:t>
      </w:r>
      <w:r w:rsidR="0038256A">
        <w:t xml:space="preserve">rophic position </w:t>
      </w:r>
      <w:r w:rsidR="00F73A03">
        <w:t xml:space="preserve">of a consumer </w:t>
      </w:r>
      <w:r w:rsidR="00084F02">
        <w:t>is able to be</w:t>
      </w:r>
      <w:r w:rsidR="00F73A03">
        <w:t xml:space="preserve"> calculated </w:t>
      </w:r>
      <w:r w:rsidR="0038256A">
        <w:t xml:space="preserve">due to </w:t>
      </w:r>
      <w:r w:rsidR="00F73A03">
        <w:t xml:space="preserve">marked </w:t>
      </w:r>
      <w:r w:rsidR="0038256A">
        <w:t xml:space="preserve">isotope </w:t>
      </w:r>
      <w:r w:rsidR="001838D9">
        <w:t xml:space="preserve">enrichment </w:t>
      </w:r>
      <w:r w:rsidR="00F73A03">
        <w:t xml:space="preserve">between consumer and prey </w:t>
      </w:r>
      <w:r w:rsidR="0038256A">
        <w:t>(typicall</w:t>
      </w:r>
      <w:r w:rsidR="00F73A03">
        <w:t>y</w:t>
      </w:r>
      <w:r w:rsidR="0038256A">
        <w:t xml:space="preserve"> 2 to 4 per </w:t>
      </w:r>
      <w:proofErr w:type="spellStart"/>
      <w:r w:rsidR="0038256A">
        <w:t>mille</w:t>
      </w:r>
      <w:proofErr w:type="spellEnd"/>
      <w:r w:rsidR="00F73A03">
        <w:t xml:space="preserve">, </w:t>
      </w:r>
      <w:proofErr w:type="spellStart"/>
      <w:r w:rsidR="00F73A03">
        <w:t>Deniro</w:t>
      </w:r>
      <w:proofErr w:type="spellEnd"/>
      <w:r w:rsidR="00F73A03">
        <w:t xml:space="preserve"> and Epstein</w:t>
      </w:r>
      <w:r w:rsidR="001F569C">
        <w:t xml:space="preserve"> 1981</w:t>
      </w:r>
      <w:r w:rsidR="0038256A">
        <w:t>)</w:t>
      </w:r>
      <w:r w:rsidR="00F73A03">
        <w:t>. However, these calculations also require</w:t>
      </w:r>
      <w:r w:rsidR="00171F47">
        <w:t>, and are highly sensitive to,</w:t>
      </w:r>
      <w:r w:rsidR="00F73A03">
        <w:t xml:space="preserve"> a characterization of the stable isotope baseline (stable isotope </w:t>
      </w:r>
      <w:r w:rsidR="001838D9">
        <w:t>ratio</w:t>
      </w:r>
      <w:r w:rsidR="00F73A03">
        <w:t xml:space="preserve"> of primary producers</w:t>
      </w:r>
      <w:r w:rsidR="00C801CF">
        <w:t xml:space="preserve"> or inorganic nitrogen sources</w:t>
      </w:r>
      <w:r w:rsidR="00F73A03">
        <w:t xml:space="preserve">) within the food web, </w:t>
      </w:r>
      <w:r w:rsidR="00084F02">
        <w:t xml:space="preserve">which can vary through space and time </w:t>
      </w:r>
      <w:r w:rsidR="00E67151">
        <w:t>(Post 2002, Anderson and Cabana 2007</w:t>
      </w:r>
      <w:r w:rsidR="00171F47">
        <w:t xml:space="preserve">, </w:t>
      </w:r>
      <w:proofErr w:type="spellStart"/>
      <w:r w:rsidR="00171F47">
        <w:t>Possamai</w:t>
      </w:r>
      <w:proofErr w:type="spellEnd"/>
      <w:r w:rsidR="00171F47">
        <w:t xml:space="preserve"> et al. 2021</w:t>
      </w:r>
      <w:r w:rsidR="00E67151">
        <w:t>)</w:t>
      </w:r>
      <w:r w:rsidR="00171F47">
        <w:t xml:space="preserve">. There is </w:t>
      </w:r>
      <w:r w:rsidR="00C801CF">
        <w:t>no</w:t>
      </w:r>
      <w:r w:rsidR="008B63C9">
        <w:t xml:space="preserve"> </w:t>
      </w:r>
      <w:r w:rsidR="005B2378">
        <w:t>consistent methodology</w:t>
      </w:r>
      <w:r w:rsidR="008B63C9">
        <w:t xml:space="preserve"> on </w:t>
      </w:r>
      <w:r w:rsidR="004530DF">
        <w:t>measuring</w:t>
      </w:r>
      <w:r w:rsidR="00171F47">
        <w:t xml:space="preserve"> isotope baseline</w:t>
      </w:r>
      <w:r w:rsidR="008B63C9">
        <w:t xml:space="preserve"> (</w:t>
      </w:r>
      <w:proofErr w:type="spellStart"/>
      <w:r w:rsidR="00391803">
        <w:t>Kjeldgaard</w:t>
      </w:r>
      <w:proofErr w:type="spellEnd"/>
      <w:r w:rsidR="00391803">
        <w:t xml:space="preserve"> et al. 2021, </w:t>
      </w:r>
      <w:proofErr w:type="spellStart"/>
      <w:r w:rsidR="008B63C9">
        <w:t>Possamai</w:t>
      </w:r>
      <w:proofErr w:type="spellEnd"/>
      <w:r w:rsidR="008B63C9">
        <w:t xml:space="preserve"> et al. 2021)</w:t>
      </w:r>
      <w:r w:rsidR="000D61C3">
        <w:t xml:space="preserve"> although recommendations for best practices have been made (Post et al. 2002</w:t>
      </w:r>
      <w:r w:rsidR="005B2378">
        <w:t xml:space="preserve">, </w:t>
      </w:r>
      <w:r w:rsidR="00B3044C">
        <w:t xml:space="preserve">Jardine et al. </w:t>
      </w:r>
      <w:r w:rsidR="00B3044C">
        <w:lastRenderedPageBreak/>
        <w:t>201</w:t>
      </w:r>
      <w:r w:rsidR="00BA4A7B">
        <w:t>4</w:t>
      </w:r>
      <w:r w:rsidR="00B3044C">
        <w:t xml:space="preserve">, </w:t>
      </w:r>
      <w:proofErr w:type="spellStart"/>
      <w:r w:rsidR="005B2378">
        <w:t>Possamai</w:t>
      </w:r>
      <w:proofErr w:type="spellEnd"/>
      <w:r w:rsidR="005B2378">
        <w:t xml:space="preserve"> et al. 2021</w:t>
      </w:r>
      <w:r w:rsidR="000D61C3">
        <w:t>)</w:t>
      </w:r>
      <w:r w:rsidR="00780761">
        <w:t xml:space="preserve">. </w:t>
      </w:r>
      <w:r w:rsidR="00AD346A">
        <w:t>Typically, the isotopic baseline is estimated from</w:t>
      </w:r>
      <w:r w:rsidR="00B3044C">
        <w:t xml:space="preserve"> primary</w:t>
      </w:r>
      <w:r w:rsidR="00AD346A">
        <w:t xml:space="preserve"> producers, particulate organic matter (POM), or primary consumers that were measured at the same time as the consumer of interest (</w:t>
      </w:r>
      <w:proofErr w:type="spellStart"/>
      <w:r w:rsidR="00AD346A">
        <w:t>Kjeldgaard</w:t>
      </w:r>
      <w:proofErr w:type="spellEnd"/>
      <w:r w:rsidR="00AD346A">
        <w:t xml:space="preserve"> et al. 2021)</w:t>
      </w:r>
      <w:r w:rsidR="00A978D7">
        <w:t xml:space="preserve">. However, time average isotope baseline values or generic values that may not be from the same environment or time period are also utilized </w:t>
      </w:r>
      <w:r w:rsidR="00374A4D">
        <w:t>(</w:t>
      </w:r>
      <w:r w:rsidR="003969A0">
        <w:t>i.e. Estrada et al. 2003, Ruiz-Cooley et al. 2006, Chiang et al. 2020</w:t>
      </w:r>
      <w:r w:rsidR="00374A4D">
        <w:t xml:space="preserve">) </w:t>
      </w:r>
      <w:r w:rsidR="00F80A29">
        <w:t>and fail to represent heterogeneity within and across systems</w:t>
      </w:r>
      <w:r w:rsidR="00A978D7">
        <w:t>.</w:t>
      </w:r>
    </w:p>
    <w:p w14:paraId="428D39B3" w14:textId="6CF2958B" w:rsidR="00A61694" w:rsidRPr="00743FCB" w:rsidRDefault="00743FCB" w:rsidP="00743FCB">
      <w:pPr>
        <w:spacing w:line="480" w:lineRule="auto"/>
        <w:contextualSpacing/>
      </w:pPr>
      <w:r>
        <w:tab/>
      </w:r>
      <w:r w:rsidR="009F110E" w:rsidRPr="00743FCB">
        <w:t>The e</w:t>
      </w:r>
      <w:r w:rsidR="00FD3D73" w:rsidRPr="00743FCB">
        <w:t>cosystem heterogeneity</w:t>
      </w:r>
      <w:r w:rsidR="009F110E" w:rsidRPr="00743FCB">
        <w:t xml:space="preserve"> created by seasonal fluctuations </w:t>
      </w:r>
      <w:r w:rsidR="00EF749B" w:rsidRPr="00743FCB">
        <w:t xml:space="preserve">in </w:t>
      </w:r>
      <w:r w:rsidR="009F110E" w:rsidRPr="00743FCB">
        <w:t>both physical, ch</w:t>
      </w:r>
      <w:r w:rsidR="008334FD" w:rsidRPr="00743FCB">
        <w:t>emical</w:t>
      </w:r>
      <w:r w:rsidR="00BF2D67">
        <w:t>,</w:t>
      </w:r>
      <w:r w:rsidR="008334FD" w:rsidRPr="00743FCB">
        <w:t xml:space="preserve"> and biological processes </w:t>
      </w:r>
      <w:r w:rsidR="005A3C18" w:rsidRPr="00743FCB">
        <w:t xml:space="preserve">influence </w:t>
      </w:r>
      <w:r w:rsidR="00FD3D73" w:rsidRPr="00743FCB">
        <w:t xml:space="preserve">the </w:t>
      </w:r>
      <w:r w:rsidR="00FD3D73" w:rsidRPr="00743FCB">
        <w:rPr>
          <w:lang w:val="en-GB"/>
        </w:rPr>
        <w:t xml:space="preserve">isotopic </w:t>
      </w:r>
      <w:r w:rsidR="008275E7">
        <w:rPr>
          <w:rFonts w:eastAsia="Calibri"/>
          <w:bCs/>
          <w:lang w:val="en-GB"/>
        </w:rPr>
        <w:t>values</w:t>
      </w:r>
      <w:r w:rsidR="00FD3D73" w:rsidRPr="00743FCB">
        <w:rPr>
          <w:rFonts w:eastAsia="Calibri"/>
          <w:bCs/>
          <w:lang w:val="en-GB"/>
        </w:rPr>
        <w:t xml:space="preserve"> of primary producers</w:t>
      </w:r>
      <w:r w:rsidR="00725585" w:rsidRPr="00743FCB">
        <w:t xml:space="preserve"> </w:t>
      </w:r>
      <w:r w:rsidR="00366A81">
        <w:t xml:space="preserve">and primary consumers </w:t>
      </w:r>
      <w:r w:rsidR="00EF749B" w:rsidRPr="00743FCB">
        <w:t xml:space="preserve">(the </w:t>
      </w:r>
      <w:r w:rsidR="00FD3D73" w:rsidRPr="00743FCB">
        <w:t>isotope baseline) which vary both</w:t>
      </w:r>
      <w:r w:rsidR="00D3657A" w:rsidRPr="00743FCB">
        <w:t xml:space="preserve"> seasonally</w:t>
      </w:r>
      <w:r w:rsidR="005A3C18" w:rsidRPr="00743FCB">
        <w:t xml:space="preserve"> (Woodland </w:t>
      </w:r>
      <w:r w:rsidR="00366A81">
        <w:t xml:space="preserve">et al. </w:t>
      </w:r>
      <w:r w:rsidR="005A3C18" w:rsidRPr="00743FCB">
        <w:t>2012)</w:t>
      </w:r>
      <w:r w:rsidR="00D3657A" w:rsidRPr="00743FCB">
        <w:t xml:space="preserve"> </w:t>
      </w:r>
      <w:r w:rsidR="00FD3D73" w:rsidRPr="00743FCB">
        <w:t xml:space="preserve">and </w:t>
      </w:r>
      <w:r w:rsidR="00852EF1" w:rsidRPr="00743FCB">
        <w:t>spatially</w:t>
      </w:r>
      <w:r w:rsidR="00FD3D73" w:rsidRPr="00743FCB">
        <w:t xml:space="preserve"> </w:t>
      </w:r>
      <w:r w:rsidR="005A3C18" w:rsidRPr="00743FCB">
        <w:t>(</w:t>
      </w:r>
      <w:proofErr w:type="spellStart"/>
      <w:r w:rsidR="005A3C18" w:rsidRPr="00743FCB">
        <w:t>Vokshoori</w:t>
      </w:r>
      <w:proofErr w:type="spellEnd"/>
      <w:r w:rsidR="005A3C18" w:rsidRPr="00743FCB">
        <w:t xml:space="preserve"> </w:t>
      </w:r>
      <w:r w:rsidR="00366A81">
        <w:t xml:space="preserve">et al. </w:t>
      </w:r>
      <w:r w:rsidR="005A3C18" w:rsidRPr="00743FCB">
        <w:t>201</w:t>
      </w:r>
      <w:r w:rsidR="00366A81">
        <w:t>4</w:t>
      </w:r>
      <w:r w:rsidR="005A3C18" w:rsidRPr="00743FCB">
        <w:t>)</w:t>
      </w:r>
      <w:r w:rsidR="00725585" w:rsidRPr="00743FCB">
        <w:t>.</w:t>
      </w:r>
      <w:r w:rsidR="00D3657A" w:rsidRPr="00743FCB">
        <w:t xml:space="preserve"> </w:t>
      </w:r>
      <w:r w:rsidR="00FD3D73" w:rsidRPr="00743FCB">
        <w:t xml:space="preserve">For example, </w:t>
      </w:r>
      <w:r w:rsidR="009F110E" w:rsidRPr="00743FCB">
        <w:t xml:space="preserve">seasonal variability in </w:t>
      </w:r>
      <w:r w:rsidR="00FD3D73" w:rsidRPr="00743FCB">
        <w:t>t</w:t>
      </w:r>
      <w:r w:rsidR="00A61694" w:rsidRPr="00743FCB">
        <w:t xml:space="preserve">he </w:t>
      </w:r>
      <w:r w:rsidR="00A268F7">
        <w:t>nitrogen</w:t>
      </w:r>
      <w:r w:rsidR="00A61694" w:rsidRPr="00743FCB">
        <w:t xml:space="preserve"> isotope </w:t>
      </w:r>
      <w:r w:rsidR="00D92302">
        <w:t>values</w:t>
      </w:r>
      <w:r w:rsidR="00A61694" w:rsidRPr="00743FCB">
        <w:t xml:space="preserve"> of </w:t>
      </w:r>
      <w:proofErr w:type="spellStart"/>
      <w:r w:rsidR="00A61694" w:rsidRPr="00743FCB">
        <w:t>seston</w:t>
      </w:r>
      <w:proofErr w:type="spellEnd"/>
      <w:r w:rsidR="00A61694" w:rsidRPr="00743FCB">
        <w:t xml:space="preserve">, or phytoplankton </w:t>
      </w:r>
      <w:r w:rsidR="008D6B03" w:rsidRPr="00743FCB">
        <w:t xml:space="preserve">are common </w:t>
      </w:r>
      <w:r w:rsidR="009F110E" w:rsidRPr="00743FCB">
        <w:t xml:space="preserve">in lake </w:t>
      </w:r>
      <w:r w:rsidR="00A61694" w:rsidRPr="00743FCB">
        <w:t>(</w:t>
      </w:r>
      <w:proofErr w:type="spellStart"/>
      <w:r w:rsidR="003233F9" w:rsidRPr="00743FCB">
        <w:t>Syväranta</w:t>
      </w:r>
      <w:proofErr w:type="spellEnd"/>
      <w:r w:rsidR="00A268F7" w:rsidRPr="00743FCB">
        <w:t xml:space="preserve"> </w:t>
      </w:r>
      <w:r w:rsidR="00E02C15">
        <w:t>et al. 2006</w:t>
      </w:r>
      <w:r w:rsidR="00391803">
        <w:t xml:space="preserve">, Matthews and </w:t>
      </w:r>
      <w:proofErr w:type="spellStart"/>
      <w:r w:rsidR="00391803">
        <w:t>Mazumder</w:t>
      </w:r>
      <w:proofErr w:type="spellEnd"/>
      <w:r w:rsidR="00391803">
        <w:t xml:space="preserve"> 2007</w:t>
      </w:r>
      <w:r w:rsidR="00A268F7" w:rsidRPr="00743FCB">
        <w:t xml:space="preserve">, </w:t>
      </w:r>
      <w:r w:rsidR="00A268F7">
        <w:t>Gu et al.</w:t>
      </w:r>
      <w:r w:rsidR="0059329B">
        <w:t xml:space="preserve"> 2009</w:t>
      </w:r>
      <w:r w:rsidR="00852EF1" w:rsidRPr="00743FCB">
        <w:t>)</w:t>
      </w:r>
      <w:r w:rsidR="009F110E" w:rsidRPr="00743FCB">
        <w:t xml:space="preserve"> estuarine (</w:t>
      </w:r>
      <w:proofErr w:type="spellStart"/>
      <w:r w:rsidR="009F110E" w:rsidRPr="00743FCB">
        <w:t>Rolff</w:t>
      </w:r>
      <w:proofErr w:type="spellEnd"/>
      <w:r w:rsidR="009F110E" w:rsidRPr="00743FCB">
        <w:t xml:space="preserve"> 2000) and marine systems (</w:t>
      </w:r>
      <w:r w:rsidR="00391803">
        <w:t xml:space="preserve">Wu et al. 1999, </w:t>
      </w:r>
      <w:proofErr w:type="spellStart"/>
      <w:r w:rsidR="00EF749B" w:rsidRPr="00743FCB">
        <w:t>Vookshori</w:t>
      </w:r>
      <w:proofErr w:type="spellEnd"/>
      <w:r w:rsidR="00EF749B" w:rsidRPr="00743FCB">
        <w:t xml:space="preserve"> et al. 201</w:t>
      </w:r>
      <w:r w:rsidR="00366A81">
        <w:t>4</w:t>
      </w:r>
      <w:r w:rsidR="009F110E" w:rsidRPr="00743FCB">
        <w:t>)</w:t>
      </w:r>
      <w:r w:rsidR="00A268F7">
        <w:t xml:space="preserve">. </w:t>
      </w:r>
      <w:r w:rsidR="00852EF1" w:rsidRPr="00743FCB">
        <w:t xml:space="preserve">Such isotope </w:t>
      </w:r>
      <w:r w:rsidR="0028666B" w:rsidRPr="00743FCB">
        <w:t>variation</w:t>
      </w:r>
      <w:r w:rsidR="00A268F7">
        <w:t xml:space="preserve"> </w:t>
      </w:r>
      <w:r w:rsidR="00C30195">
        <w:t>has been shown to be</w:t>
      </w:r>
      <w:r w:rsidR="0028666B" w:rsidRPr="00743FCB">
        <w:t xml:space="preserve"> </w:t>
      </w:r>
      <w:r w:rsidR="00547EB6" w:rsidRPr="00743FCB">
        <w:t>transferred</w:t>
      </w:r>
      <w:r w:rsidR="00852EF1" w:rsidRPr="00743FCB">
        <w:t xml:space="preserve"> to</w:t>
      </w:r>
      <w:r w:rsidR="0028666B" w:rsidRPr="00743FCB">
        <w:t xml:space="preserve"> </w:t>
      </w:r>
      <w:r w:rsidR="00E02C15">
        <w:t xml:space="preserve">higher trophic level </w:t>
      </w:r>
      <w:r w:rsidR="00547EB6" w:rsidRPr="00743FCB">
        <w:t>consumers</w:t>
      </w:r>
      <w:r w:rsidR="00C30195">
        <w:t xml:space="preserve"> (</w:t>
      </w:r>
      <w:r w:rsidR="00F723DF">
        <w:t>Popp et al. 2007, Olson et al. 2010, Dale et al. 2011, Feddern et al. 2021</w:t>
      </w:r>
      <w:r w:rsidR="00C30195">
        <w:t>)</w:t>
      </w:r>
      <w:r w:rsidR="00E02C15">
        <w:t xml:space="preserve">. However, </w:t>
      </w:r>
      <w:r w:rsidR="00280AB9" w:rsidRPr="00743FCB">
        <w:t xml:space="preserve">isotope incorporation </w:t>
      </w:r>
      <w:r w:rsidR="00A268F7">
        <w:t xml:space="preserve">into consumer tissues </w:t>
      </w:r>
      <w:r w:rsidR="008F651D" w:rsidRPr="00743FCB">
        <w:t>ty</w:t>
      </w:r>
      <w:r w:rsidR="00E162EB" w:rsidRPr="00743FCB">
        <w:t>p</w:t>
      </w:r>
      <w:r w:rsidR="008F651D" w:rsidRPr="00743FCB">
        <w:t xml:space="preserve">ically </w:t>
      </w:r>
      <w:r w:rsidR="00280AB9" w:rsidRPr="00743FCB">
        <w:t>occur</w:t>
      </w:r>
      <w:r w:rsidR="00A268F7">
        <w:t>s</w:t>
      </w:r>
      <w:r w:rsidR="00280AB9" w:rsidRPr="00743FCB">
        <w:t xml:space="preserve"> at a slower rate than that of the prey, as </w:t>
      </w:r>
      <w:r w:rsidR="0078625F" w:rsidRPr="00743FCB">
        <w:t xml:space="preserve">the rate of </w:t>
      </w:r>
      <w:r w:rsidR="00280AB9" w:rsidRPr="00743FCB">
        <w:t xml:space="preserve">isotope turnover </w:t>
      </w:r>
      <w:r w:rsidR="0078625F" w:rsidRPr="00743FCB">
        <w:t>increase</w:t>
      </w:r>
      <w:r w:rsidR="00E546C5">
        <w:t xml:space="preserve">s with animal size </w:t>
      </w:r>
      <w:r w:rsidR="00EF749B" w:rsidRPr="00743FCB">
        <w:t>(</w:t>
      </w:r>
      <w:r w:rsidR="00391803" w:rsidRPr="00743FCB">
        <w:t>Thomas et al 2014</w:t>
      </w:r>
      <w:r w:rsidR="00391803">
        <w:t xml:space="preserve">, </w:t>
      </w:r>
      <w:r w:rsidR="00EF749B" w:rsidRPr="00743FCB">
        <w:t xml:space="preserve">Vander </w:t>
      </w:r>
      <w:proofErr w:type="spellStart"/>
      <w:r w:rsidR="00EF749B" w:rsidRPr="00743FCB">
        <w:t>Zanden</w:t>
      </w:r>
      <w:proofErr w:type="spellEnd"/>
      <w:r w:rsidR="00EF749B" w:rsidRPr="00743FCB">
        <w:t xml:space="preserve"> et al. 2015)</w:t>
      </w:r>
      <w:r w:rsidR="00547EB6" w:rsidRPr="00743FCB">
        <w:t xml:space="preserve"> in addition to </w:t>
      </w:r>
      <w:r w:rsidR="00DF551A" w:rsidRPr="00743FCB">
        <w:t>temperature, growth rate</w:t>
      </w:r>
      <w:r w:rsidR="00547EB6" w:rsidRPr="00743FCB">
        <w:t>,</w:t>
      </w:r>
      <w:r w:rsidR="00DF551A" w:rsidRPr="00743FCB">
        <w:t xml:space="preserve"> and the</w:t>
      </w:r>
      <w:r w:rsidR="00280AB9" w:rsidRPr="00743FCB">
        <w:t xml:space="preserve"> type of</w:t>
      </w:r>
      <w:r w:rsidR="00DF551A" w:rsidRPr="00743FCB">
        <w:t xml:space="preserve"> tissue studied (</w:t>
      </w:r>
      <w:proofErr w:type="spellStart"/>
      <w:r w:rsidR="00DF551A" w:rsidRPr="00743FCB">
        <w:t>Dalerum</w:t>
      </w:r>
      <w:proofErr w:type="spellEnd"/>
      <w:r w:rsidR="00DF551A" w:rsidRPr="00743FCB">
        <w:t xml:space="preserve"> and </w:t>
      </w:r>
      <w:proofErr w:type="spellStart"/>
      <w:r w:rsidR="00DF551A" w:rsidRPr="00743FCB">
        <w:t>Angerbjorn</w:t>
      </w:r>
      <w:proofErr w:type="spellEnd"/>
      <w:r w:rsidR="00DF551A" w:rsidRPr="00743FCB">
        <w:t xml:space="preserve"> 2005)</w:t>
      </w:r>
      <w:r w:rsidR="00280AB9" w:rsidRPr="00743FCB">
        <w:t xml:space="preserve">. </w:t>
      </w:r>
      <w:r w:rsidR="002A1EC3">
        <w:t>As a result of slower incorporation times, consumers can dampen short term temporal stable isotope heterogeneity relative to algae or particulate organic matter (Woodland et al. 2012). Nevertheless, t</w:t>
      </w:r>
      <w:r w:rsidR="009F110E" w:rsidRPr="00743FCB">
        <w:t xml:space="preserve">he </w:t>
      </w:r>
      <w:r w:rsidR="00852EF1" w:rsidRPr="00743FCB">
        <w:t>temporal</w:t>
      </w:r>
      <w:r w:rsidR="00FD3D73" w:rsidRPr="00743FCB">
        <w:t xml:space="preserve"> </w:t>
      </w:r>
      <w:r w:rsidR="00CE707A" w:rsidRPr="00743FCB">
        <w:t>mismatch</w:t>
      </w:r>
      <w:r w:rsidR="00852EF1" w:rsidRPr="00743FCB">
        <w:t xml:space="preserve">es </w:t>
      </w:r>
      <w:r w:rsidR="004E0257" w:rsidRPr="00743FCB">
        <w:t>created by differences in</w:t>
      </w:r>
      <w:r w:rsidR="00852EF1" w:rsidRPr="00743FCB">
        <w:t xml:space="preserve"> isotope incorporation</w:t>
      </w:r>
      <w:r w:rsidR="009F110E" w:rsidRPr="00743FCB">
        <w:t>s</w:t>
      </w:r>
      <w:r w:rsidR="00852EF1" w:rsidRPr="00743FCB">
        <w:t xml:space="preserve"> </w:t>
      </w:r>
      <w:r w:rsidR="004E0257" w:rsidRPr="00743FCB">
        <w:t xml:space="preserve">rates </w:t>
      </w:r>
      <w:r w:rsidR="007515A9" w:rsidRPr="00743FCB">
        <w:t xml:space="preserve">between diet and consumer </w:t>
      </w:r>
      <w:r w:rsidR="002268EB" w:rsidRPr="00743FCB">
        <w:t xml:space="preserve">can </w:t>
      </w:r>
      <w:r w:rsidR="00AE204F" w:rsidRPr="00743FCB">
        <w:t>a</w:t>
      </w:r>
      <w:r w:rsidR="002268EB" w:rsidRPr="00743FCB">
        <w:t>ffect</w:t>
      </w:r>
      <w:r w:rsidR="00CE707A" w:rsidRPr="00743FCB">
        <w:t xml:space="preserve"> the calculation of </w:t>
      </w:r>
      <w:r w:rsidR="009F110E" w:rsidRPr="00743FCB">
        <w:t xml:space="preserve">animal </w:t>
      </w:r>
      <w:r w:rsidR="00CE707A" w:rsidRPr="00743FCB">
        <w:t>trophic position. In fact, a fundamental assumption of such calculations is that</w:t>
      </w:r>
      <w:r w:rsidR="009F110E" w:rsidRPr="00743FCB">
        <w:t xml:space="preserve"> a</w:t>
      </w:r>
      <w:r w:rsidR="00CE707A" w:rsidRPr="00743FCB">
        <w:t xml:space="preserve"> consumer </w:t>
      </w:r>
      <w:r w:rsidR="009F110E" w:rsidRPr="00743FCB">
        <w:t>is</w:t>
      </w:r>
      <w:r w:rsidR="00CE707A" w:rsidRPr="00743FCB">
        <w:t xml:space="preserve"> in close equilibrium </w:t>
      </w:r>
      <w:r w:rsidR="00D92302">
        <w:t xml:space="preserve">or ‘isotopic steady state’ </w:t>
      </w:r>
      <w:r w:rsidR="00CE707A" w:rsidRPr="00743FCB">
        <w:t>with the dietary resource</w:t>
      </w:r>
      <w:r w:rsidR="00116A8A" w:rsidRPr="00743FCB">
        <w:t>s</w:t>
      </w:r>
      <w:r w:rsidR="00CE707A" w:rsidRPr="00743FCB">
        <w:t xml:space="preserve"> consumed (</w:t>
      </w:r>
      <w:proofErr w:type="spellStart"/>
      <w:r w:rsidR="008275E7">
        <w:t>Deniro</w:t>
      </w:r>
      <w:proofErr w:type="spellEnd"/>
      <w:r w:rsidR="008275E7">
        <w:t xml:space="preserve"> and Epstein 1976, </w:t>
      </w:r>
      <w:r w:rsidR="00D92302">
        <w:t xml:space="preserve">Martinez del Rio et al. 2009, </w:t>
      </w:r>
      <w:r w:rsidR="00FD3D73" w:rsidRPr="00743FCB">
        <w:t xml:space="preserve">Phillips </w:t>
      </w:r>
      <w:r w:rsidR="008D6B03" w:rsidRPr="00743FCB">
        <w:t>201</w:t>
      </w:r>
      <w:r w:rsidR="008275E7">
        <w:t>4</w:t>
      </w:r>
      <w:r w:rsidR="00116A8A" w:rsidRPr="00743FCB">
        <w:t>)</w:t>
      </w:r>
      <w:r w:rsidR="00E546C5">
        <w:t xml:space="preserve"> and the isotope baseline used to calculate trophic </w:t>
      </w:r>
      <w:r w:rsidR="00E546C5">
        <w:lastRenderedPageBreak/>
        <w:t>position</w:t>
      </w:r>
      <w:r w:rsidR="00116A8A" w:rsidRPr="00743FCB">
        <w:t xml:space="preserve">. However, in nature </w:t>
      </w:r>
      <w:r w:rsidR="00AE204F" w:rsidRPr="00743FCB">
        <w:t>such equilibria do not necessarily occur</w:t>
      </w:r>
      <w:r w:rsidR="00116A8A" w:rsidRPr="00743FCB">
        <w:t>, a</w:t>
      </w:r>
      <w:r w:rsidR="00CE707A" w:rsidRPr="00743FCB">
        <w:t xml:space="preserve">nd while </w:t>
      </w:r>
      <w:r w:rsidR="00116A8A" w:rsidRPr="00743FCB">
        <w:t xml:space="preserve">such assumption </w:t>
      </w:r>
      <w:r w:rsidR="00CE707A" w:rsidRPr="00743FCB">
        <w:t>violation</w:t>
      </w:r>
      <w:r w:rsidR="009F110E" w:rsidRPr="00743FCB">
        <w:t>s</w:t>
      </w:r>
      <w:r w:rsidR="00CE707A" w:rsidRPr="00743FCB">
        <w:t xml:space="preserve"> </w:t>
      </w:r>
      <w:r w:rsidR="009F110E" w:rsidRPr="00743FCB">
        <w:t>are</w:t>
      </w:r>
      <w:r w:rsidR="00CE707A" w:rsidRPr="00743FCB">
        <w:t xml:space="preserve"> often </w:t>
      </w:r>
      <w:r w:rsidR="00116A8A" w:rsidRPr="00743FCB">
        <w:t xml:space="preserve">acknowledged, </w:t>
      </w:r>
      <w:r w:rsidR="009F110E" w:rsidRPr="00743FCB">
        <w:t>they</w:t>
      </w:r>
      <w:r w:rsidR="00116A8A" w:rsidRPr="00743FCB">
        <w:t xml:space="preserve"> </w:t>
      </w:r>
      <w:r w:rsidR="009F110E" w:rsidRPr="00743FCB">
        <w:t>are</w:t>
      </w:r>
      <w:r w:rsidR="00116A8A" w:rsidRPr="00743FCB">
        <w:t xml:space="preserve"> </w:t>
      </w:r>
      <w:r w:rsidR="00CE707A" w:rsidRPr="00743FCB">
        <w:t xml:space="preserve">rarely quantified. </w:t>
      </w:r>
    </w:p>
    <w:p w14:paraId="382E22BD" w14:textId="408228CF" w:rsidR="00D62BB6" w:rsidRPr="00743FCB" w:rsidRDefault="00743FCB" w:rsidP="007356BC">
      <w:pPr>
        <w:spacing w:before="240" w:line="480" w:lineRule="auto"/>
        <w:contextualSpacing/>
      </w:pPr>
      <w:r>
        <w:tab/>
      </w:r>
      <w:r w:rsidR="00E036D7">
        <w:t xml:space="preserve">A recent methodological advancement in stable isotope analysis, </w:t>
      </w:r>
      <w:r w:rsidR="008F651D" w:rsidRPr="00743FCB">
        <w:t>compound-specific stable isotope analysis (CSIA) of amino acid nitrogen</w:t>
      </w:r>
      <w:r w:rsidR="001916E7" w:rsidRPr="00743FCB">
        <w:t xml:space="preserve"> (δ</w:t>
      </w:r>
      <w:r w:rsidR="001916E7" w:rsidRPr="00743FCB">
        <w:rPr>
          <w:vertAlign w:val="superscript"/>
        </w:rPr>
        <w:t>15</w:t>
      </w:r>
      <w:r w:rsidR="001916E7" w:rsidRPr="00743FCB">
        <w:t>N)</w:t>
      </w:r>
      <w:r w:rsidR="0028666B" w:rsidRPr="00743FCB">
        <w:t>, provide</w:t>
      </w:r>
      <w:r w:rsidR="00623367">
        <w:t>s</w:t>
      </w:r>
      <w:r w:rsidR="0028666B" w:rsidRPr="00743FCB">
        <w:t xml:space="preserve"> researchers with a powerful new tool </w:t>
      </w:r>
      <w:r w:rsidR="00E036D7">
        <w:t xml:space="preserve">to estimate the </w:t>
      </w:r>
      <w:r w:rsidR="00445EBB">
        <w:t>stable isotope values</w:t>
      </w:r>
      <w:r w:rsidR="00E036D7">
        <w:t xml:space="preserve"> of the base of the </w:t>
      </w:r>
      <w:r w:rsidR="006F4F63">
        <w:t>food web</w:t>
      </w:r>
      <w:r w:rsidR="00092EBE" w:rsidRPr="00743FCB">
        <w:t xml:space="preserve"> (</w:t>
      </w:r>
      <w:r w:rsidR="00391803" w:rsidRPr="00743FCB">
        <w:t xml:space="preserve">Sherwood et al. 2011, </w:t>
      </w:r>
      <w:r w:rsidR="00092EBE" w:rsidRPr="00743FCB">
        <w:t>McMahon et al. 2015</w:t>
      </w:r>
      <w:r w:rsidR="008F651D" w:rsidRPr="00743FCB">
        <w:t>, Feddern et al. 2021</w:t>
      </w:r>
      <w:r w:rsidR="00092EBE" w:rsidRPr="00743FCB">
        <w:t>)</w:t>
      </w:r>
      <w:r w:rsidR="00E036D7" w:rsidRPr="00E036D7">
        <w:t xml:space="preserve"> </w:t>
      </w:r>
      <w:r w:rsidR="00E036D7">
        <w:t>which can be applied for</w:t>
      </w:r>
      <w:r w:rsidR="00E036D7" w:rsidRPr="00743FCB">
        <w:t xml:space="preserve"> trophic position </w:t>
      </w:r>
      <w:r w:rsidR="00E036D7">
        <w:t xml:space="preserve">calculations </w:t>
      </w:r>
      <w:r w:rsidR="00E036D7" w:rsidRPr="00743FCB">
        <w:t>of a consumer (Popp 2007)</w:t>
      </w:r>
      <w:r w:rsidR="0028666B" w:rsidRPr="00743FCB">
        <w:t xml:space="preserve">. A key advantage of </w:t>
      </w:r>
      <w:r w:rsidR="00092EBE" w:rsidRPr="00743FCB">
        <w:t xml:space="preserve">estimating trophic position using specific </w:t>
      </w:r>
      <w:r w:rsidR="005A791A" w:rsidRPr="00743FCB">
        <w:t>δ</w:t>
      </w:r>
      <w:r w:rsidR="005A791A" w:rsidRPr="00743FCB">
        <w:rPr>
          <w:vertAlign w:val="superscript"/>
        </w:rPr>
        <w:t>15</w:t>
      </w:r>
      <w:r w:rsidR="005A791A" w:rsidRPr="00743FCB">
        <w:t xml:space="preserve">N </w:t>
      </w:r>
      <w:r w:rsidR="007356BC">
        <w:t>amino acid</w:t>
      </w:r>
      <w:r w:rsidR="00092EBE" w:rsidRPr="00743FCB">
        <w:t xml:space="preserve"> values</w:t>
      </w:r>
      <w:r w:rsidR="0028666B" w:rsidRPr="00743FCB">
        <w:t xml:space="preserve"> are the properties of source </w:t>
      </w:r>
      <w:r w:rsidR="007356BC">
        <w:t>amino acids</w:t>
      </w:r>
      <w:r w:rsidR="0028666B" w:rsidRPr="00743FCB">
        <w:t xml:space="preserve">, which </w:t>
      </w:r>
      <w:r w:rsidR="00092EBE" w:rsidRPr="00743FCB">
        <w:t xml:space="preserve">depict the </w:t>
      </w:r>
      <w:r w:rsidR="001916E7" w:rsidRPr="00743FCB">
        <w:t xml:space="preserve">stable isotope </w:t>
      </w:r>
      <w:r w:rsidR="00391803">
        <w:t>values</w:t>
      </w:r>
      <w:r w:rsidR="001916E7" w:rsidRPr="00743FCB">
        <w:t xml:space="preserve"> of nitrogen resources</w:t>
      </w:r>
      <w:r w:rsidR="00092EBE" w:rsidRPr="00743FCB">
        <w:t xml:space="preserve"> of a system by showing </w:t>
      </w:r>
      <w:r w:rsidR="0028666B" w:rsidRPr="00743FCB">
        <w:t xml:space="preserve">little trophic </w:t>
      </w:r>
      <w:r w:rsidR="00445EBB">
        <w:t>enrichment</w:t>
      </w:r>
      <w:r w:rsidR="0028666B" w:rsidRPr="00743FCB">
        <w:t xml:space="preserve"> with increasing trophic levels</w:t>
      </w:r>
      <w:r w:rsidR="001916E7" w:rsidRPr="00743FCB">
        <w:t>. In contrast</w:t>
      </w:r>
      <w:r w:rsidR="00744BAC" w:rsidRPr="00743FCB">
        <w:t>,</w:t>
      </w:r>
      <w:r w:rsidR="00092EBE" w:rsidRPr="00743FCB">
        <w:t xml:space="preserve"> trophic </w:t>
      </w:r>
      <w:r w:rsidR="007356BC">
        <w:t>amino acid</w:t>
      </w:r>
      <w:r w:rsidR="00092EBE" w:rsidRPr="00743FCB">
        <w:t>s track the apparent trophic position of the animal</w:t>
      </w:r>
      <w:r w:rsidR="007356BC">
        <w:t xml:space="preserve"> through trophic </w:t>
      </w:r>
      <w:r w:rsidR="00C91E5D">
        <w:t>enrichment</w:t>
      </w:r>
      <w:r w:rsidR="0028666B" w:rsidRPr="00743FCB">
        <w:t>. Th</w:t>
      </w:r>
      <w:r w:rsidR="001916E7" w:rsidRPr="00743FCB">
        <w:t xml:space="preserve">is </w:t>
      </w:r>
      <w:r w:rsidR="0028666B" w:rsidRPr="00743FCB">
        <w:t xml:space="preserve">allows estimation of baseline values directly in the consumer organism of interest. Furthermore, </w:t>
      </w:r>
      <w:r w:rsidR="005A791A" w:rsidRPr="00743FCB">
        <w:t>the</w:t>
      </w:r>
      <w:r w:rsidR="0028666B" w:rsidRPr="00743FCB">
        <w:t xml:space="preserve"> baseline value </w:t>
      </w:r>
      <w:r w:rsidR="005A791A" w:rsidRPr="00743FCB">
        <w:t xml:space="preserve">of the source </w:t>
      </w:r>
      <w:r w:rsidR="007356BC">
        <w:t>amino acids</w:t>
      </w:r>
      <w:r w:rsidR="00E46764" w:rsidRPr="00743FCB">
        <w:t xml:space="preserve"> </w:t>
      </w:r>
      <w:r w:rsidR="005A791A" w:rsidRPr="00743FCB">
        <w:t>represents a</w:t>
      </w:r>
      <w:r w:rsidR="00E46764" w:rsidRPr="00743FCB">
        <w:t>n</w:t>
      </w:r>
      <w:r w:rsidR="005A791A" w:rsidRPr="00743FCB">
        <w:t xml:space="preserve"> </w:t>
      </w:r>
      <w:r w:rsidR="0028666B" w:rsidRPr="00743FCB">
        <w:t>integrated dietary contribution</w:t>
      </w:r>
      <w:r w:rsidR="005A791A" w:rsidRPr="00743FCB">
        <w:t xml:space="preserve"> </w:t>
      </w:r>
      <w:r w:rsidR="00E46764" w:rsidRPr="00743FCB">
        <w:t>relating directly</w:t>
      </w:r>
      <w:r w:rsidR="005A791A" w:rsidRPr="00743FCB">
        <w:t xml:space="preserve"> to the</w:t>
      </w:r>
      <w:r w:rsidR="00E46764" w:rsidRPr="00743FCB">
        <w:t xml:space="preserve"> physiology and thus</w:t>
      </w:r>
      <w:r w:rsidR="005A791A" w:rsidRPr="00743FCB">
        <w:t xml:space="preserve"> </w:t>
      </w:r>
      <w:r w:rsidR="00E46764" w:rsidRPr="00743FCB">
        <w:t xml:space="preserve">isotope </w:t>
      </w:r>
      <w:r w:rsidR="005A791A" w:rsidRPr="00743FCB">
        <w:t>turnover of the consumer itself</w:t>
      </w:r>
      <w:r w:rsidR="0028666B" w:rsidRPr="00743FCB">
        <w:t>. That in principle result</w:t>
      </w:r>
      <w:r w:rsidR="005A791A" w:rsidRPr="00743FCB">
        <w:t>s</w:t>
      </w:r>
      <w:r w:rsidR="0028666B" w:rsidRPr="00743FCB">
        <w:t xml:space="preserve"> in a smaller </w:t>
      </w:r>
      <w:r w:rsidR="003E3379" w:rsidRPr="00743FCB">
        <w:t>temporal mismatch</w:t>
      </w:r>
      <w:r w:rsidR="0086372A">
        <w:t xml:space="preserve"> and standardization across a heterogenous environment</w:t>
      </w:r>
      <w:r w:rsidR="003E3379" w:rsidRPr="00743FCB">
        <w:t xml:space="preserve"> between </w:t>
      </w:r>
      <w:r w:rsidR="008D6B03" w:rsidRPr="00743FCB">
        <w:t xml:space="preserve">the </w:t>
      </w:r>
      <w:r w:rsidR="003E3379" w:rsidRPr="00743FCB">
        <w:t>source</w:t>
      </w:r>
      <w:r w:rsidR="008D6B03" w:rsidRPr="00743FCB">
        <w:t xml:space="preserve"> and trophic </w:t>
      </w:r>
      <w:r w:rsidR="007356BC">
        <w:t xml:space="preserve">amino </w:t>
      </w:r>
      <w:r w:rsidR="008D6B03" w:rsidRPr="00743FCB">
        <w:t>isotope values</w:t>
      </w:r>
      <w:r w:rsidR="003E3379" w:rsidRPr="00743FCB">
        <w:t xml:space="preserve">. </w:t>
      </w:r>
      <w:r w:rsidR="00116A8A" w:rsidRPr="00743FCB">
        <w:t>However, i</w:t>
      </w:r>
      <w:r w:rsidR="00B81BA3" w:rsidRPr="00743FCB">
        <w:t xml:space="preserve">ncorporation rates of individual </w:t>
      </w:r>
      <w:r w:rsidR="007356BC">
        <w:t>amino acids</w:t>
      </w:r>
      <w:r w:rsidR="00B81BA3" w:rsidRPr="00743FCB">
        <w:t xml:space="preserve"> vary</w:t>
      </w:r>
      <w:r w:rsidR="003E3379" w:rsidRPr="00743FCB">
        <w:t xml:space="preserve"> (Bradley</w:t>
      </w:r>
      <w:r w:rsidR="00D876EE" w:rsidRPr="00743FCB">
        <w:t xml:space="preserve"> et al. 2014</w:t>
      </w:r>
      <w:r w:rsidR="003E3379" w:rsidRPr="00743FCB">
        <w:t>, Downs</w:t>
      </w:r>
      <w:r w:rsidR="00D876EE" w:rsidRPr="00743FCB">
        <w:t xml:space="preserve"> et al. 2014</w:t>
      </w:r>
      <w:r w:rsidR="0086372A">
        <w:t>; Figure 11</w:t>
      </w:r>
      <w:r w:rsidR="00691493">
        <w:t xml:space="preserve">) </w:t>
      </w:r>
      <w:r w:rsidR="00116A8A" w:rsidRPr="00743FCB">
        <w:t xml:space="preserve">and </w:t>
      </w:r>
      <w:r w:rsidR="003E3379" w:rsidRPr="00743FCB">
        <w:t xml:space="preserve">whether source and trophic </w:t>
      </w:r>
      <w:r w:rsidR="007356BC">
        <w:t xml:space="preserve">amino acids </w:t>
      </w:r>
      <w:r w:rsidR="008A41D7">
        <w:t>are incorporated</w:t>
      </w:r>
      <w:r w:rsidR="003E3379" w:rsidRPr="00743FCB">
        <w:t xml:space="preserve"> at similar rates is at present not well studied</w:t>
      </w:r>
      <w:r w:rsidR="00B81BA3" w:rsidRPr="00743FCB">
        <w:t xml:space="preserve">. </w:t>
      </w:r>
      <w:r w:rsidR="00DC72D8">
        <w:t>Downs et al.</w:t>
      </w:r>
      <w:r w:rsidR="00533BBB" w:rsidRPr="00743FCB">
        <w:t xml:space="preserve"> (2014) showed that the </w:t>
      </w:r>
      <w:r w:rsidR="007356BC">
        <w:t>amino acid</w:t>
      </w:r>
      <w:r w:rsidR="00B81BA3" w:rsidRPr="00743FCB">
        <w:t xml:space="preserve"> </w:t>
      </w:r>
      <w:r w:rsidR="005A791A" w:rsidRPr="00743FCB">
        <w:t xml:space="preserve">incorporation rates of </w:t>
      </w:r>
      <w:r w:rsidR="00744BAC" w:rsidRPr="00743FCB">
        <w:t>glutamic acid</w:t>
      </w:r>
      <w:r w:rsidR="00B81BA3" w:rsidRPr="00743FCB">
        <w:t xml:space="preserve"> </w:t>
      </w:r>
      <w:r w:rsidR="00744BAC" w:rsidRPr="00743FCB">
        <w:t xml:space="preserve">(trophic) </w:t>
      </w:r>
      <w:r w:rsidR="00B81BA3" w:rsidRPr="00743FCB">
        <w:t xml:space="preserve">and </w:t>
      </w:r>
      <w:r w:rsidR="00744BAC" w:rsidRPr="00743FCB">
        <w:t xml:space="preserve">phenylalanine (source), which are </w:t>
      </w:r>
      <w:r w:rsidR="00B81BA3" w:rsidRPr="00743FCB">
        <w:t xml:space="preserve">the most commonly </w:t>
      </w:r>
      <w:r w:rsidR="00744BAC" w:rsidRPr="00743FCB">
        <w:t xml:space="preserve">applied </w:t>
      </w:r>
      <w:r w:rsidR="007356BC">
        <w:t>amino acids</w:t>
      </w:r>
      <w:r w:rsidR="00744BAC" w:rsidRPr="00743FCB">
        <w:t xml:space="preserve"> for trophic position calculation</w:t>
      </w:r>
      <w:r w:rsidR="00E546C5">
        <w:t xml:space="preserve"> due to their trophic enrichment factors</w:t>
      </w:r>
      <w:r w:rsidR="00744BAC" w:rsidRPr="00743FCB">
        <w:t>,</w:t>
      </w:r>
      <w:r w:rsidR="00B81BA3" w:rsidRPr="00743FCB">
        <w:t xml:space="preserve"> </w:t>
      </w:r>
      <w:r w:rsidR="00DC72D8">
        <w:t>in shrimp</w:t>
      </w:r>
      <w:r w:rsidR="00533BBB" w:rsidRPr="00743FCB">
        <w:t xml:space="preserve"> appear </w:t>
      </w:r>
      <w:r w:rsidR="00B81BA3" w:rsidRPr="00743FCB">
        <w:t>similar</w:t>
      </w:r>
      <w:r w:rsidR="0086372A">
        <w:t xml:space="preserve"> (Figure 11)</w:t>
      </w:r>
      <w:r w:rsidR="00744BAC" w:rsidRPr="00743FCB">
        <w:t>. H</w:t>
      </w:r>
      <w:r w:rsidR="00B81BA3" w:rsidRPr="00743FCB">
        <w:t>owever, it is not yet know</w:t>
      </w:r>
      <w:r w:rsidR="007356BC">
        <w:t>n</w:t>
      </w:r>
      <w:r w:rsidR="00B81BA3" w:rsidRPr="00743FCB">
        <w:t xml:space="preserve"> if this is a persistent pattern </w:t>
      </w:r>
      <w:r w:rsidR="005A22EA">
        <w:t xml:space="preserve">between glutamic acid and phenylalanine </w:t>
      </w:r>
      <w:r w:rsidR="00B81BA3" w:rsidRPr="00743FCB">
        <w:t>across animal groups</w:t>
      </w:r>
      <w:r w:rsidR="00440B65">
        <w:t>,</w:t>
      </w:r>
      <w:r w:rsidR="00744BAC" w:rsidRPr="00743FCB">
        <w:t xml:space="preserve"> or tissue types</w:t>
      </w:r>
      <w:r w:rsidR="00B20370">
        <w:t xml:space="preserve"> as controlled feeding studies measuring </w:t>
      </w:r>
      <w:r w:rsidR="005A22EA">
        <w:t xml:space="preserve">turnover rates of </w:t>
      </w:r>
      <w:r w:rsidR="00B20370">
        <w:t>individual amino acids are</w:t>
      </w:r>
      <w:r w:rsidR="00E546C5">
        <w:t xml:space="preserve"> currently</w:t>
      </w:r>
      <w:r w:rsidR="00B20370">
        <w:t xml:space="preserve"> limited</w:t>
      </w:r>
      <w:r w:rsidR="00B81BA3" w:rsidRPr="00743FCB">
        <w:t xml:space="preserve">. </w:t>
      </w:r>
      <w:r w:rsidR="00DD6102">
        <w:t xml:space="preserve">There is evidence that turnover time of amino acids may also very with diet quality for some but not all amino </w:t>
      </w:r>
      <w:r w:rsidR="00DD6102">
        <w:lastRenderedPageBreak/>
        <w:t>acids (</w:t>
      </w:r>
      <w:proofErr w:type="spellStart"/>
      <w:r w:rsidR="00DD6102">
        <w:t>Chikaraishi</w:t>
      </w:r>
      <w:proofErr w:type="spellEnd"/>
      <w:r w:rsidR="00DD6102">
        <w:t xml:space="preserve"> et al. 2015). </w:t>
      </w:r>
      <w:r w:rsidR="00B81BA3" w:rsidRPr="00743FCB">
        <w:t xml:space="preserve">Furthermore, the same study found both faster and slower turnover rates for other trophic </w:t>
      </w:r>
      <w:r w:rsidR="00DC72D8">
        <w:t xml:space="preserve">(aspartic acid, proline) </w:t>
      </w:r>
      <w:r w:rsidR="00B81BA3" w:rsidRPr="00743FCB">
        <w:t xml:space="preserve">and source </w:t>
      </w:r>
      <w:r w:rsidR="007356BC">
        <w:t>amino acids</w:t>
      </w:r>
      <w:r w:rsidR="00B81BA3" w:rsidRPr="00743FCB">
        <w:t xml:space="preserve"> (</w:t>
      </w:r>
      <w:r w:rsidR="00B20370">
        <w:t>lysine</w:t>
      </w:r>
      <w:r w:rsidR="00DC72D8">
        <w:t>, methionine</w:t>
      </w:r>
      <w:r w:rsidR="00B81BA3" w:rsidRPr="00743FCB">
        <w:t xml:space="preserve">), motivating an analysis of how temporal isotope integration in </w:t>
      </w:r>
      <w:r w:rsidR="007356BC">
        <w:t>amino acids</w:t>
      </w:r>
      <w:r w:rsidR="00B81BA3" w:rsidRPr="00743FCB">
        <w:t xml:space="preserve"> influence the accuracy of </w:t>
      </w:r>
      <w:r w:rsidR="00203884" w:rsidRPr="00743FCB">
        <w:t>trophic position</w:t>
      </w:r>
      <w:r w:rsidR="00B81BA3" w:rsidRPr="00743FCB">
        <w:t xml:space="preserve"> estimates. </w:t>
      </w:r>
      <w:r w:rsidR="0024144C" w:rsidRPr="00743FCB">
        <w:t xml:space="preserve"> </w:t>
      </w:r>
    </w:p>
    <w:p w14:paraId="7BE872E2" w14:textId="69F8F40A" w:rsidR="006D3C87" w:rsidRPr="00743FCB" w:rsidRDefault="00743FCB" w:rsidP="00743FCB">
      <w:pPr>
        <w:spacing w:line="480" w:lineRule="auto"/>
        <w:contextualSpacing/>
      </w:pPr>
      <w:r>
        <w:tab/>
      </w:r>
      <w:r w:rsidR="006D3C87" w:rsidRPr="00743FCB">
        <w:t xml:space="preserve">Here we </w:t>
      </w:r>
      <w:r w:rsidR="0028666B" w:rsidRPr="00743FCB">
        <w:t xml:space="preserve">construct a </w:t>
      </w:r>
      <w:r w:rsidR="00F45ED4" w:rsidRPr="00743FCB">
        <w:t xml:space="preserve">framework </w:t>
      </w:r>
      <w:r w:rsidR="006D3C87" w:rsidRPr="00743FCB">
        <w:t xml:space="preserve">to explore </w:t>
      </w:r>
      <w:r w:rsidR="005E51FE" w:rsidRPr="00743FCB">
        <w:t xml:space="preserve">consumer </w:t>
      </w:r>
      <w:r w:rsidR="006D3C87" w:rsidRPr="00743FCB">
        <w:t xml:space="preserve">isotope incorporation </w:t>
      </w:r>
      <w:r w:rsidR="00C958F0" w:rsidRPr="00743FCB">
        <w:t>rates and their effect on trophic position calculations</w:t>
      </w:r>
      <w:r w:rsidR="00F45ED4" w:rsidRPr="00743FCB">
        <w:t xml:space="preserve"> by </w:t>
      </w:r>
      <w:r w:rsidR="007D7524" w:rsidRPr="00743FCB">
        <w:t>conducting</w:t>
      </w:r>
      <w:r w:rsidR="00F45ED4" w:rsidRPr="00743FCB">
        <w:t xml:space="preserve"> compartment model </w:t>
      </w:r>
      <w:r w:rsidR="007D7524" w:rsidRPr="00743FCB">
        <w:t>simulations using</w:t>
      </w:r>
      <w:r w:rsidR="00204641" w:rsidRPr="00743FCB">
        <w:t xml:space="preserve"> stable isotope data from previous experimental and observational studies.</w:t>
      </w:r>
      <w:r w:rsidR="007D7524" w:rsidRPr="00743FCB">
        <w:t xml:space="preserve"> The objectives of this work are to:</w:t>
      </w:r>
    </w:p>
    <w:p w14:paraId="1AAB8483" w14:textId="38EF444F" w:rsidR="00E573FA" w:rsidRPr="00743FCB" w:rsidRDefault="007D7524" w:rsidP="00743FCB">
      <w:pPr>
        <w:pStyle w:val="ListParagraph"/>
        <w:numPr>
          <w:ilvl w:val="0"/>
          <w:numId w:val="1"/>
        </w:numPr>
        <w:spacing w:line="480" w:lineRule="auto"/>
        <w:rPr>
          <w:rFonts w:ascii="Times New Roman" w:hAnsi="Times New Roman" w:cs="Times New Roman"/>
          <w:sz w:val="24"/>
          <w:szCs w:val="24"/>
          <w:lang w:val="en-US"/>
        </w:rPr>
      </w:pPr>
      <w:r w:rsidRPr="00743FCB">
        <w:rPr>
          <w:rFonts w:ascii="Times New Roman" w:hAnsi="Times New Roman" w:cs="Times New Roman"/>
          <w:sz w:val="24"/>
          <w:szCs w:val="24"/>
          <w:lang w:val="en-US"/>
        </w:rPr>
        <w:t>Explore</w:t>
      </w:r>
      <w:r w:rsidR="00C958F0" w:rsidRPr="00743FCB">
        <w:rPr>
          <w:rFonts w:ascii="Times New Roman" w:hAnsi="Times New Roman" w:cs="Times New Roman"/>
          <w:sz w:val="24"/>
          <w:szCs w:val="24"/>
          <w:lang w:val="en-US"/>
        </w:rPr>
        <w:t xml:space="preserve"> how potential mismatches</w:t>
      </w:r>
      <w:r w:rsidR="00203884" w:rsidRPr="00743FCB">
        <w:rPr>
          <w:rFonts w:ascii="Times New Roman" w:hAnsi="Times New Roman" w:cs="Times New Roman"/>
          <w:sz w:val="24"/>
          <w:szCs w:val="24"/>
          <w:lang w:val="en-US"/>
        </w:rPr>
        <w:t xml:space="preserve"> in</w:t>
      </w:r>
      <w:r w:rsidR="00C958F0" w:rsidRPr="00743FCB">
        <w:rPr>
          <w:rFonts w:ascii="Times New Roman" w:hAnsi="Times New Roman" w:cs="Times New Roman"/>
          <w:sz w:val="24"/>
          <w:szCs w:val="24"/>
          <w:lang w:val="en-US"/>
        </w:rPr>
        <w:t xml:space="preserve"> isotope turnover rates </w:t>
      </w:r>
      <w:r w:rsidR="00203884" w:rsidRPr="00743FCB">
        <w:rPr>
          <w:rFonts w:ascii="Times New Roman" w:hAnsi="Times New Roman" w:cs="Times New Roman"/>
          <w:sz w:val="24"/>
          <w:szCs w:val="24"/>
          <w:lang w:val="en-US"/>
        </w:rPr>
        <w:t xml:space="preserve">between </w:t>
      </w:r>
      <w:r w:rsidR="00A71E94">
        <w:rPr>
          <w:rFonts w:ascii="Times New Roman" w:hAnsi="Times New Roman" w:cs="Times New Roman"/>
          <w:sz w:val="24"/>
          <w:szCs w:val="24"/>
          <w:lang w:val="en-US"/>
        </w:rPr>
        <w:t>food web baseline</w:t>
      </w:r>
      <w:r w:rsidR="00203884" w:rsidRPr="00743FCB">
        <w:rPr>
          <w:rFonts w:ascii="Times New Roman" w:hAnsi="Times New Roman" w:cs="Times New Roman"/>
          <w:sz w:val="24"/>
          <w:szCs w:val="24"/>
          <w:lang w:val="en-US"/>
        </w:rPr>
        <w:t xml:space="preserve"> and consumers </w:t>
      </w:r>
      <w:r w:rsidR="00C958F0" w:rsidRPr="00743FCB">
        <w:rPr>
          <w:rFonts w:ascii="Times New Roman" w:hAnsi="Times New Roman" w:cs="Times New Roman"/>
          <w:sz w:val="24"/>
          <w:szCs w:val="24"/>
          <w:lang w:val="en-US"/>
        </w:rPr>
        <w:t xml:space="preserve">can influence </w:t>
      </w:r>
      <w:r w:rsidR="00203884" w:rsidRPr="00743FCB">
        <w:rPr>
          <w:rFonts w:ascii="Times New Roman" w:hAnsi="Times New Roman" w:cs="Times New Roman"/>
          <w:sz w:val="24"/>
          <w:szCs w:val="24"/>
          <w:lang w:val="en-US"/>
        </w:rPr>
        <w:t>trophic position</w:t>
      </w:r>
      <w:r w:rsidR="00C958F0" w:rsidRPr="00743FCB">
        <w:rPr>
          <w:rFonts w:ascii="Times New Roman" w:hAnsi="Times New Roman" w:cs="Times New Roman"/>
          <w:sz w:val="24"/>
          <w:szCs w:val="24"/>
          <w:lang w:val="en-US"/>
        </w:rPr>
        <w:t xml:space="preserve"> calculations from </w:t>
      </w:r>
      <w:r w:rsidR="00E573FA" w:rsidRPr="00743FCB">
        <w:rPr>
          <w:rFonts w:ascii="Times New Roman" w:hAnsi="Times New Roman" w:cs="Times New Roman"/>
          <w:sz w:val="24"/>
          <w:szCs w:val="24"/>
          <w:lang w:val="en-US"/>
        </w:rPr>
        <w:t xml:space="preserve">bulk </w:t>
      </w:r>
      <w:r w:rsidR="00C958F0" w:rsidRPr="00743FCB">
        <w:rPr>
          <w:rFonts w:ascii="Times New Roman" w:hAnsi="Times New Roman" w:cs="Times New Roman"/>
          <w:sz w:val="24"/>
          <w:szCs w:val="24"/>
          <w:lang w:val="en-US"/>
        </w:rPr>
        <w:t>δ</w:t>
      </w:r>
      <w:r w:rsidR="00C958F0" w:rsidRPr="00743FCB">
        <w:rPr>
          <w:rFonts w:ascii="Times New Roman" w:hAnsi="Times New Roman" w:cs="Times New Roman"/>
          <w:sz w:val="24"/>
          <w:szCs w:val="24"/>
          <w:vertAlign w:val="superscript"/>
          <w:lang w:val="en-US"/>
        </w:rPr>
        <w:t>15</w:t>
      </w:r>
      <w:r w:rsidR="00C958F0" w:rsidRPr="00743FCB">
        <w:rPr>
          <w:rFonts w:ascii="Times New Roman" w:hAnsi="Times New Roman" w:cs="Times New Roman"/>
          <w:sz w:val="24"/>
          <w:szCs w:val="24"/>
          <w:lang w:val="en-US"/>
        </w:rPr>
        <w:t>N values</w:t>
      </w:r>
      <w:r w:rsidR="002D2E8B" w:rsidRPr="00743FCB">
        <w:rPr>
          <w:rFonts w:ascii="Times New Roman" w:hAnsi="Times New Roman" w:cs="Times New Roman"/>
          <w:sz w:val="24"/>
          <w:szCs w:val="24"/>
          <w:lang w:val="en-US"/>
        </w:rPr>
        <w:t xml:space="preserve"> among various </w:t>
      </w:r>
      <w:r w:rsidR="00A71E94">
        <w:rPr>
          <w:rFonts w:ascii="Times New Roman" w:hAnsi="Times New Roman" w:cs="Times New Roman"/>
          <w:sz w:val="24"/>
          <w:szCs w:val="24"/>
          <w:lang w:val="en-US"/>
        </w:rPr>
        <w:t xml:space="preserve">trophic levels, </w:t>
      </w:r>
      <w:r w:rsidR="002D2E8B" w:rsidRPr="00743FCB">
        <w:rPr>
          <w:rFonts w:ascii="Times New Roman" w:hAnsi="Times New Roman" w:cs="Times New Roman"/>
          <w:sz w:val="24"/>
          <w:szCs w:val="24"/>
          <w:lang w:val="en-US"/>
        </w:rPr>
        <w:t>tissue types</w:t>
      </w:r>
      <w:r w:rsidR="00B00AE7" w:rsidRPr="00743FCB">
        <w:rPr>
          <w:rFonts w:ascii="Times New Roman" w:hAnsi="Times New Roman" w:cs="Times New Roman"/>
          <w:sz w:val="24"/>
          <w:szCs w:val="24"/>
          <w:lang w:val="en-US"/>
        </w:rPr>
        <w:t xml:space="preserve">, and </w:t>
      </w:r>
      <w:r w:rsidR="00203884" w:rsidRPr="00743FCB">
        <w:rPr>
          <w:rFonts w:ascii="Times New Roman" w:hAnsi="Times New Roman" w:cs="Times New Roman"/>
          <w:sz w:val="24"/>
          <w:szCs w:val="24"/>
          <w:lang w:val="en-US"/>
        </w:rPr>
        <w:t xml:space="preserve">aquatic </w:t>
      </w:r>
      <w:r w:rsidR="00B00AE7" w:rsidRPr="00743FCB">
        <w:rPr>
          <w:rFonts w:ascii="Times New Roman" w:hAnsi="Times New Roman" w:cs="Times New Roman"/>
          <w:sz w:val="24"/>
          <w:szCs w:val="24"/>
          <w:lang w:val="en-US"/>
        </w:rPr>
        <w:t>systems</w:t>
      </w:r>
      <w:r w:rsidR="00C958F0" w:rsidRPr="00743FCB">
        <w:rPr>
          <w:rFonts w:ascii="Times New Roman" w:hAnsi="Times New Roman" w:cs="Times New Roman"/>
          <w:sz w:val="24"/>
          <w:szCs w:val="24"/>
          <w:lang w:val="en-US"/>
        </w:rPr>
        <w:t>.</w:t>
      </w:r>
    </w:p>
    <w:p w14:paraId="687ACFFF" w14:textId="5DFBA81A" w:rsidR="00E573FA" w:rsidRPr="00743FCB" w:rsidRDefault="007D7524" w:rsidP="00743FCB">
      <w:pPr>
        <w:pStyle w:val="ListParagraph"/>
        <w:numPr>
          <w:ilvl w:val="0"/>
          <w:numId w:val="1"/>
        </w:numPr>
        <w:spacing w:line="480" w:lineRule="auto"/>
        <w:rPr>
          <w:rFonts w:ascii="Times New Roman" w:hAnsi="Times New Roman" w:cs="Times New Roman"/>
          <w:sz w:val="24"/>
          <w:szCs w:val="24"/>
          <w:lang w:val="en-US"/>
        </w:rPr>
      </w:pPr>
      <w:r w:rsidRPr="00743FCB">
        <w:rPr>
          <w:rFonts w:ascii="Times New Roman" w:hAnsi="Times New Roman" w:cs="Times New Roman"/>
          <w:sz w:val="24"/>
          <w:szCs w:val="24"/>
          <w:lang w:val="en-US"/>
        </w:rPr>
        <w:t>Examine</w:t>
      </w:r>
      <w:r w:rsidR="002D2E8B" w:rsidRPr="00743FCB">
        <w:rPr>
          <w:rFonts w:ascii="Times New Roman" w:hAnsi="Times New Roman" w:cs="Times New Roman"/>
          <w:sz w:val="24"/>
          <w:szCs w:val="24"/>
          <w:lang w:val="en-US"/>
        </w:rPr>
        <w:t xml:space="preserve"> how v</w:t>
      </w:r>
      <w:r w:rsidR="00E573FA" w:rsidRPr="00743FCB">
        <w:rPr>
          <w:rFonts w:ascii="Times New Roman" w:hAnsi="Times New Roman" w:cs="Times New Roman"/>
          <w:sz w:val="24"/>
          <w:szCs w:val="24"/>
          <w:lang w:val="en-US"/>
        </w:rPr>
        <w:t xml:space="preserve">ariability of source amino acid </w:t>
      </w:r>
      <w:r w:rsidR="00A71E94">
        <w:rPr>
          <w:rFonts w:ascii="Times New Roman" w:hAnsi="Times New Roman" w:cs="Times New Roman"/>
          <w:sz w:val="24"/>
          <w:szCs w:val="24"/>
          <w:lang w:val="en-US"/>
        </w:rPr>
        <w:t>and</w:t>
      </w:r>
      <w:r w:rsidR="00E573FA" w:rsidRPr="00743FCB">
        <w:rPr>
          <w:rFonts w:ascii="Times New Roman" w:hAnsi="Times New Roman" w:cs="Times New Roman"/>
          <w:sz w:val="24"/>
          <w:szCs w:val="24"/>
          <w:lang w:val="en-US"/>
        </w:rPr>
        <w:t xml:space="preserve"> trophic amino acid turnover rates can influence </w:t>
      </w:r>
      <w:r w:rsidR="00203884" w:rsidRPr="00743FCB">
        <w:rPr>
          <w:rFonts w:ascii="Times New Roman" w:hAnsi="Times New Roman" w:cs="Times New Roman"/>
          <w:sz w:val="24"/>
          <w:szCs w:val="24"/>
          <w:lang w:val="en-US"/>
        </w:rPr>
        <w:t>trophic position</w:t>
      </w:r>
      <w:r w:rsidR="00E573FA" w:rsidRPr="00743FCB">
        <w:rPr>
          <w:rFonts w:ascii="Times New Roman" w:hAnsi="Times New Roman" w:cs="Times New Roman"/>
          <w:sz w:val="24"/>
          <w:szCs w:val="24"/>
          <w:lang w:val="en-US"/>
        </w:rPr>
        <w:t xml:space="preserve"> calculations.</w:t>
      </w:r>
    </w:p>
    <w:p w14:paraId="6C1EB08F" w14:textId="600F2116" w:rsidR="00E573FA" w:rsidRPr="00743FCB" w:rsidRDefault="00623367" w:rsidP="00743FCB">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Consider</w:t>
      </w:r>
      <w:r w:rsidR="00E330AA" w:rsidRPr="00743FCB">
        <w:rPr>
          <w:rFonts w:ascii="Times New Roman" w:hAnsi="Times New Roman" w:cs="Times New Roman"/>
          <w:sz w:val="24"/>
          <w:szCs w:val="24"/>
          <w:lang w:val="en-US"/>
        </w:rPr>
        <w:t xml:space="preserve"> how</w:t>
      </w:r>
      <w:r w:rsidR="00482070">
        <w:rPr>
          <w:rFonts w:ascii="Times New Roman" w:hAnsi="Times New Roman" w:cs="Times New Roman"/>
          <w:sz w:val="24"/>
          <w:szCs w:val="24"/>
          <w:lang w:val="en-US"/>
        </w:rPr>
        <w:t xml:space="preserve"> different </w:t>
      </w:r>
      <w:r w:rsidR="00780F01">
        <w:rPr>
          <w:rFonts w:ascii="Times New Roman" w:hAnsi="Times New Roman" w:cs="Times New Roman"/>
          <w:sz w:val="24"/>
          <w:szCs w:val="24"/>
          <w:lang w:val="en-US"/>
        </w:rPr>
        <w:t xml:space="preserve">trophic position calculations and </w:t>
      </w:r>
      <w:r w:rsidR="00482070">
        <w:rPr>
          <w:rFonts w:ascii="Times New Roman" w:hAnsi="Times New Roman" w:cs="Times New Roman"/>
          <w:sz w:val="24"/>
          <w:szCs w:val="24"/>
          <w:lang w:val="en-US"/>
        </w:rPr>
        <w:t>isotope baseline sampling strategies</w:t>
      </w:r>
      <w:r w:rsidR="009C19B0" w:rsidRPr="00743FCB">
        <w:rPr>
          <w:rFonts w:ascii="Times New Roman" w:hAnsi="Times New Roman" w:cs="Times New Roman"/>
          <w:sz w:val="24"/>
          <w:szCs w:val="24"/>
          <w:lang w:val="en-US"/>
        </w:rPr>
        <w:t xml:space="preserve"> </w:t>
      </w:r>
      <w:r w:rsidR="00780F01">
        <w:rPr>
          <w:rFonts w:ascii="Times New Roman" w:hAnsi="Times New Roman" w:cs="Times New Roman"/>
          <w:sz w:val="24"/>
          <w:szCs w:val="24"/>
          <w:lang w:val="en-US"/>
        </w:rPr>
        <w:t xml:space="preserve">for both </w:t>
      </w:r>
      <w:r w:rsidR="00440B65">
        <w:rPr>
          <w:rFonts w:ascii="Times New Roman" w:hAnsi="Times New Roman" w:cs="Times New Roman"/>
          <w:sz w:val="24"/>
          <w:szCs w:val="24"/>
          <w:lang w:val="en-US"/>
        </w:rPr>
        <w:t>BSIA</w:t>
      </w:r>
      <w:r w:rsidR="00780F01">
        <w:rPr>
          <w:rFonts w:ascii="Times New Roman" w:hAnsi="Times New Roman" w:cs="Times New Roman"/>
          <w:sz w:val="24"/>
          <w:szCs w:val="24"/>
          <w:lang w:val="en-US"/>
        </w:rPr>
        <w:t xml:space="preserve"> and CSIA </w:t>
      </w:r>
      <w:r w:rsidR="009C19B0" w:rsidRPr="00743FCB">
        <w:rPr>
          <w:rFonts w:ascii="Times New Roman" w:hAnsi="Times New Roman" w:cs="Times New Roman"/>
          <w:sz w:val="24"/>
          <w:szCs w:val="24"/>
          <w:lang w:val="en-US"/>
        </w:rPr>
        <w:t xml:space="preserve">can </w:t>
      </w:r>
      <w:r w:rsidR="008954D0">
        <w:rPr>
          <w:rFonts w:ascii="Times New Roman" w:hAnsi="Times New Roman" w:cs="Times New Roman"/>
          <w:sz w:val="24"/>
          <w:szCs w:val="24"/>
          <w:lang w:val="en-US"/>
        </w:rPr>
        <w:t>improve accuracy in</w:t>
      </w:r>
      <w:r w:rsidR="00E330AA" w:rsidRPr="00743FCB">
        <w:rPr>
          <w:rFonts w:ascii="Times New Roman" w:hAnsi="Times New Roman" w:cs="Times New Roman"/>
          <w:sz w:val="24"/>
          <w:szCs w:val="24"/>
          <w:lang w:val="en-US"/>
        </w:rPr>
        <w:t xml:space="preserve"> trophic position estimations that are the result of tissue turnover mismatches </w:t>
      </w:r>
      <w:r w:rsidR="009C19B0" w:rsidRPr="00743FCB">
        <w:rPr>
          <w:rFonts w:ascii="Times New Roman" w:hAnsi="Times New Roman" w:cs="Times New Roman"/>
          <w:sz w:val="24"/>
          <w:szCs w:val="24"/>
          <w:lang w:val="en-US"/>
        </w:rPr>
        <w:t xml:space="preserve">between </w:t>
      </w:r>
      <w:r w:rsidR="00780F01">
        <w:rPr>
          <w:rFonts w:ascii="Times New Roman" w:hAnsi="Times New Roman" w:cs="Times New Roman"/>
          <w:sz w:val="24"/>
          <w:szCs w:val="24"/>
          <w:lang w:val="en-US"/>
        </w:rPr>
        <w:t>the isotope baseline and consumers.</w:t>
      </w:r>
    </w:p>
    <w:p w14:paraId="50897742" w14:textId="77777777" w:rsidR="00144E4F" w:rsidRDefault="00144E4F">
      <w:pPr>
        <w:rPr>
          <w:b/>
        </w:rPr>
      </w:pPr>
      <w:r>
        <w:rPr>
          <w:b/>
        </w:rPr>
        <w:br w:type="page"/>
      </w:r>
    </w:p>
    <w:p w14:paraId="46FB8D83" w14:textId="37F86D64" w:rsidR="00A61694" w:rsidRPr="00743FCB" w:rsidRDefault="00A25EB6" w:rsidP="00743FCB">
      <w:pPr>
        <w:spacing w:line="480" w:lineRule="auto"/>
        <w:contextualSpacing/>
        <w:rPr>
          <w:b/>
        </w:rPr>
      </w:pPr>
      <w:r>
        <w:rPr>
          <w:b/>
        </w:rPr>
        <w:lastRenderedPageBreak/>
        <w:t xml:space="preserve">3. </w:t>
      </w:r>
      <w:r w:rsidR="001A28FF">
        <w:rPr>
          <w:b/>
        </w:rPr>
        <w:t>Methods</w:t>
      </w:r>
    </w:p>
    <w:p w14:paraId="41CA1E7B" w14:textId="43F6CFB3" w:rsidR="00730507" w:rsidRPr="00743FCB" w:rsidRDefault="00A25EB6" w:rsidP="00743FCB">
      <w:pPr>
        <w:spacing w:line="480" w:lineRule="auto"/>
        <w:contextualSpacing/>
        <w:rPr>
          <w:i/>
          <w:u w:val="single"/>
        </w:rPr>
      </w:pPr>
      <w:r>
        <w:rPr>
          <w:i/>
          <w:u w:val="single"/>
        </w:rPr>
        <w:t xml:space="preserve">3.1 </w:t>
      </w:r>
      <w:r w:rsidR="00730507" w:rsidRPr="00743FCB">
        <w:rPr>
          <w:i/>
          <w:u w:val="single"/>
        </w:rPr>
        <w:t>Data compilation</w:t>
      </w:r>
    </w:p>
    <w:p w14:paraId="2BF6EBA1" w14:textId="74D01D9F" w:rsidR="00684654" w:rsidRPr="00743FCB" w:rsidRDefault="00743FCB" w:rsidP="00743FCB">
      <w:pPr>
        <w:spacing w:line="480" w:lineRule="auto"/>
        <w:contextualSpacing/>
      </w:pPr>
      <w:r>
        <w:tab/>
      </w:r>
      <w:r w:rsidR="00513BDB" w:rsidRPr="00743FCB">
        <w:t xml:space="preserve">Data </w:t>
      </w:r>
      <w:r w:rsidR="006856A5" w:rsidRPr="00743FCB">
        <w:t xml:space="preserve">used for case studies </w:t>
      </w:r>
      <w:r w:rsidR="00513BDB" w:rsidRPr="00743FCB">
        <w:t xml:space="preserve">was compiled from </w:t>
      </w:r>
      <w:r w:rsidR="00BB7D55" w:rsidRPr="00743FCB">
        <w:t xml:space="preserve">previous </w:t>
      </w:r>
      <w:r w:rsidR="006856A5" w:rsidRPr="00743FCB">
        <w:t>research</w:t>
      </w:r>
      <w:r w:rsidR="00513BDB" w:rsidRPr="00743FCB">
        <w:t xml:space="preserve"> measuring the stable isotope </w:t>
      </w:r>
      <w:r w:rsidR="00440B65">
        <w:t xml:space="preserve">signature </w:t>
      </w:r>
      <w:r w:rsidR="00BB7D55" w:rsidRPr="00743FCB">
        <w:t xml:space="preserve">of nitrogen </w:t>
      </w:r>
      <w:r w:rsidR="00513BDB" w:rsidRPr="00743FCB">
        <w:t xml:space="preserve">in </w:t>
      </w:r>
      <w:r w:rsidR="00BB7D55" w:rsidRPr="00743FCB">
        <w:t>particulate organic matter (POM) in both marine and freshwater systems</w:t>
      </w:r>
      <w:r w:rsidR="003461D7">
        <w:t xml:space="preserve"> and laboratory experiments </w:t>
      </w:r>
      <w:r w:rsidR="00AB1DA0">
        <w:t>measuring</w:t>
      </w:r>
      <w:r w:rsidR="003461D7">
        <w:t xml:space="preserve"> </w:t>
      </w:r>
      <w:r w:rsidR="00AB1DA0">
        <w:t xml:space="preserve">nitrogen stable isotope </w:t>
      </w:r>
      <w:r w:rsidR="00440B65">
        <w:t>turnover rates</w:t>
      </w:r>
      <w:r w:rsidR="00AB1DA0">
        <w:t xml:space="preserve"> in different taxa, tissues, and amino acids</w:t>
      </w:r>
      <w:r w:rsidR="00BB7D55" w:rsidRPr="00743FCB">
        <w:t>. These studies were used to obtain realistic estimates of the natural variation of δ</w:t>
      </w:r>
      <w:r w:rsidR="00BB7D55" w:rsidRPr="00743FCB">
        <w:rPr>
          <w:vertAlign w:val="superscript"/>
        </w:rPr>
        <w:t>15</w:t>
      </w:r>
      <w:r w:rsidR="00BB7D55" w:rsidRPr="00743FCB">
        <w:t>N</w:t>
      </w:r>
      <w:r w:rsidR="00146FD8" w:rsidRPr="00743FCB">
        <w:t xml:space="preserve"> at the base of the food</w:t>
      </w:r>
      <w:r w:rsidR="00BE1CD6" w:rsidRPr="00743FCB">
        <w:t xml:space="preserve"> </w:t>
      </w:r>
      <w:r w:rsidR="00146FD8" w:rsidRPr="00743FCB">
        <w:t xml:space="preserve">web over the course of a year. </w:t>
      </w:r>
      <w:r w:rsidR="007D4D92" w:rsidRPr="00743FCB">
        <w:t xml:space="preserve">We prioritized studies that </w:t>
      </w:r>
      <w:r w:rsidR="00BE1CD6" w:rsidRPr="00743FCB">
        <w:t xml:space="preserve">1) collected data at least monthly and 2) represented a range of aquatic systems (Table 1). </w:t>
      </w:r>
      <w:r w:rsidR="00F213C4" w:rsidRPr="00743FCB">
        <w:t xml:space="preserve">Four </w:t>
      </w:r>
      <w:r w:rsidR="00AB1DA0">
        <w:t xml:space="preserve">diverse ecosystem </w:t>
      </w:r>
      <w:r w:rsidR="00F213C4" w:rsidRPr="00743FCB">
        <w:t>studies were identified</w:t>
      </w:r>
      <w:r w:rsidR="00AB1DA0">
        <w:t>;</w:t>
      </w:r>
      <w:r w:rsidR="00F213C4" w:rsidRPr="00743FCB">
        <w:t xml:space="preserve"> a moderately eutrophic urban lake (</w:t>
      </w:r>
      <w:proofErr w:type="spellStart"/>
      <w:r w:rsidR="00F213C4" w:rsidRPr="00743FCB">
        <w:t>Syväranta</w:t>
      </w:r>
      <w:proofErr w:type="spellEnd"/>
      <w:r w:rsidR="00F213C4" w:rsidRPr="00743FCB">
        <w:t xml:space="preserve"> et al. 2008), </w:t>
      </w:r>
      <w:r w:rsidR="00707A18" w:rsidRPr="00743FCB">
        <w:t xml:space="preserve">a shallow subarctic lake in interior Alaska (Gu et al. 1994), a pristine oligotrophic lake (Mathews and </w:t>
      </w:r>
      <w:proofErr w:type="spellStart"/>
      <w:r w:rsidR="00707A18" w:rsidRPr="00743FCB">
        <w:t>Mazumder</w:t>
      </w:r>
      <w:proofErr w:type="spellEnd"/>
      <w:r w:rsidR="00707A18" w:rsidRPr="00743FCB">
        <w:t xml:space="preserve"> 2007) and a marine upwelling </w:t>
      </w:r>
      <w:r w:rsidR="00AB1DA0">
        <w:t>site</w:t>
      </w:r>
      <w:r w:rsidR="00707A18" w:rsidRPr="00743FCB">
        <w:t xml:space="preserve"> near Vancouver Island (Wu et al 1999). </w:t>
      </w:r>
    </w:p>
    <w:p w14:paraId="7CF932E3" w14:textId="6B85CF7B" w:rsidR="002F5B21" w:rsidRDefault="00743FCB" w:rsidP="00743FCB">
      <w:pPr>
        <w:spacing w:line="480" w:lineRule="auto"/>
        <w:contextualSpacing/>
      </w:pPr>
      <w:r>
        <w:tab/>
      </w:r>
      <w:r w:rsidR="00684654" w:rsidRPr="00743FCB">
        <w:t xml:space="preserve">Experimental isotopic diet studies have </w:t>
      </w:r>
      <w:r w:rsidR="006856A5" w:rsidRPr="00743FCB">
        <w:t>been conducted</w:t>
      </w:r>
      <w:r w:rsidR="00684654" w:rsidRPr="00743FCB">
        <w:t xml:space="preserve"> to quantify animal tissue isotopic turnover rates, λ (% · day-1) which are frequently expressed </w:t>
      </w:r>
      <w:r w:rsidR="000C09AC" w:rsidRPr="00743FCB">
        <w:t xml:space="preserve">as the isotopic </w:t>
      </w:r>
      <w:r w:rsidR="00AB1DA0" w:rsidRPr="00743FCB">
        <w:t>half-life</w:t>
      </w:r>
      <w:r w:rsidR="000C09AC" w:rsidRPr="00743FCB">
        <w:t xml:space="preserve"> (</w:t>
      </w:r>
      <w:proofErr w:type="gramStart"/>
      <w:r w:rsidR="000C09AC" w:rsidRPr="00743FCB">
        <w:t>ln(</w:t>
      </w:r>
      <w:proofErr w:type="gramEnd"/>
      <w:r w:rsidR="000C09AC" w:rsidRPr="00743FCB">
        <w:t xml:space="preserve">2)/ λ, days). Data for bulk nitrogen stable isotope turnover rates are available for a variety of taxa and tissues (i.e., Vander </w:t>
      </w:r>
      <w:proofErr w:type="spellStart"/>
      <w:r w:rsidR="000C09AC" w:rsidRPr="00743FCB">
        <w:t>Zanden</w:t>
      </w:r>
      <w:proofErr w:type="spellEnd"/>
      <w:r w:rsidR="000C09AC" w:rsidRPr="00743FCB">
        <w:t xml:space="preserve"> et al. 2015)</w:t>
      </w:r>
      <w:r w:rsidR="00F02772" w:rsidRPr="00743FCB">
        <w:t>.</w:t>
      </w:r>
      <w:r w:rsidR="00894A93" w:rsidRPr="00743FCB">
        <w:t xml:space="preserve"> For</w:t>
      </w:r>
      <w:r w:rsidR="00F02772" w:rsidRPr="00743FCB">
        <w:t xml:space="preserve"> </w:t>
      </w:r>
      <w:r w:rsidR="00894A93" w:rsidRPr="00743FCB">
        <w:t>b</w:t>
      </w:r>
      <w:r w:rsidR="00F02772" w:rsidRPr="00743FCB">
        <w:t xml:space="preserve">ulk tissue stable isotope </w:t>
      </w:r>
      <w:r w:rsidR="00894A93" w:rsidRPr="00743FCB">
        <w:t xml:space="preserve">model simulations, </w:t>
      </w:r>
      <w:r w:rsidR="00F02772" w:rsidRPr="00743FCB">
        <w:t xml:space="preserve">turnover rates were identified </w:t>
      </w:r>
      <w:r w:rsidR="001959A4" w:rsidRPr="00743FCB">
        <w:t>to construct</w:t>
      </w:r>
      <w:r w:rsidR="00F02772" w:rsidRPr="00743FCB">
        <w:t xml:space="preserve"> six theoretical </w:t>
      </w:r>
      <w:r w:rsidR="007F6517">
        <w:t xml:space="preserve">isotope scenarios for </w:t>
      </w:r>
      <w:r w:rsidR="00F02772" w:rsidRPr="00743FCB">
        <w:t xml:space="preserve">aquatic food webs </w:t>
      </w:r>
      <w:r w:rsidR="001959A4" w:rsidRPr="00743FCB">
        <w:t xml:space="preserve">that contain primary, secondary, and tertiary consumers and </w:t>
      </w:r>
      <w:r w:rsidR="00F02772" w:rsidRPr="00743FCB">
        <w:t xml:space="preserve">that could be associated with the baseline values for </w:t>
      </w:r>
      <w:r w:rsidR="001959A4" w:rsidRPr="00743FCB">
        <w:t xml:space="preserve">each of </w:t>
      </w:r>
      <w:r w:rsidR="00F02772" w:rsidRPr="00743FCB">
        <w:t xml:space="preserve">the </w:t>
      </w:r>
      <w:r w:rsidR="001959A4" w:rsidRPr="00743FCB">
        <w:t xml:space="preserve">four </w:t>
      </w:r>
      <w:r w:rsidR="00F02772" w:rsidRPr="00743FCB">
        <w:t xml:space="preserve">case studies (Table </w:t>
      </w:r>
      <w:r w:rsidR="00F45976">
        <w:t>1</w:t>
      </w:r>
      <w:r w:rsidR="00CC3860">
        <w:t xml:space="preserve"> &amp; Figure 1</w:t>
      </w:r>
      <w:r w:rsidR="00F02772" w:rsidRPr="00743FCB">
        <w:t>).</w:t>
      </w:r>
    </w:p>
    <w:p w14:paraId="0218B106" w14:textId="387F4B71" w:rsidR="002712B5" w:rsidRDefault="002712B5" w:rsidP="00743FCB">
      <w:pPr>
        <w:spacing w:line="480" w:lineRule="auto"/>
        <w:contextualSpacing/>
      </w:pPr>
      <w:r>
        <w:tab/>
        <w:t>For the bulk nitrogen stable isotope models, half-life data and baseline data were combined to create six theoretical food webs by matching consumer</w:t>
      </w:r>
      <w:r w:rsidR="0003246E">
        <w:t>s and their</w:t>
      </w:r>
      <w:r>
        <w:t xml:space="preserve"> half-life values with isotope baseline data from </w:t>
      </w:r>
      <w:r w:rsidR="0003246E">
        <w:t>an ecosystem in which they could reasonably forage. A marine food web was constructed from half-life values from amphipod, herring and great skua and freshwater food web was constructed from half-life values water strider, steelhead</w:t>
      </w:r>
      <w:r w:rsidR="00523E5B">
        <w:t xml:space="preserve"> or </w:t>
      </w:r>
      <w:r w:rsidR="0003246E">
        <w:t xml:space="preserve">small mouth bass, and black bear (Figure 1). These scenarios were used to make specific </w:t>
      </w:r>
      <w:r w:rsidR="0003246E">
        <w:lastRenderedPageBreak/>
        <w:t>comparisons regarding stable isotope baseline</w:t>
      </w:r>
      <w:r w:rsidR="005A0F02">
        <w:t xml:space="preserve"> and the half-life values of the consumers</w:t>
      </w:r>
      <w:r w:rsidR="00523E5B">
        <w:t xml:space="preserve">. </w:t>
      </w:r>
      <w:proofErr w:type="gramStart"/>
      <w:r w:rsidR="00523E5B">
        <w:t xml:space="preserve">The </w:t>
      </w:r>
      <w:r w:rsidR="005A0F02">
        <w:t xml:space="preserve"> half</w:t>
      </w:r>
      <w:proofErr w:type="gramEnd"/>
      <w:r w:rsidR="005A0F02">
        <w:t>-life value of the secondary consumer was increased between scenario a and b to represent different tissues (liver versus muscle), an increase in temperatures, or an increase of size</w:t>
      </w:r>
      <w:r w:rsidR="0043216C">
        <w:t>, all of which can alter isotope incorporation rates</w:t>
      </w:r>
      <w:r w:rsidR="005A0F02">
        <w:t xml:space="preserve">. Comparison 2 </w:t>
      </w:r>
      <w:r w:rsidR="00B67501">
        <w:t>decreased</w:t>
      </w:r>
      <w:r w:rsidR="00465F05">
        <w:t xml:space="preserve"> the </w:t>
      </w:r>
      <w:r w:rsidR="00B67501">
        <w:t xml:space="preserve">half-life of the </w:t>
      </w:r>
      <w:r w:rsidR="00465F05">
        <w:t xml:space="preserve">secondary consumer </w:t>
      </w:r>
      <w:r w:rsidR="00B67501">
        <w:t xml:space="preserve">and increased the half-life of the tertiary consumer between scenario c and d (Figure 1). The objective of this comparison was to identify </w:t>
      </w:r>
      <w:r w:rsidR="00465F05">
        <w:t>how dietary differences of the tertiary consumer can impact its stable isotope composition</w:t>
      </w:r>
      <w:r w:rsidR="00B67501">
        <w:t xml:space="preserve"> and how sampling different tissues of the tertiary consumer can impact </w:t>
      </w:r>
      <w:r w:rsidR="00F45976">
        <w:t xml:space="preserve">trophic position estimates. Finally, comparison 3 examined how two isotope basslines with distinct shapes can impact </w:t>
      </w:r>
      <w:r w:rsidR="0043216C">
        <w:t xml:space="preserve">trophic position estimates of </w:t>
      </w:r>
      <w:r w:rsidR="00F45976">
        <w:t xml:space="preserve">the rest of the food web (Figure 1, Table 1). </w:t>
      </w:r>
    </w:p>
    <w:p w14:paraId="5E52F261" w14:textId="43038112" w:rsidR="000750A7" w:rsidRPr="00743FCB" w:rsidRDefault="002F5B21" w:rsidP="00743FCB">
      <w:pPr>
        <w:spacing w:line="480" w:lineRule="auto"/>
        <w:contextualSpacing/>
      </w:pPr>
      <w:r>
        <w:tab/>
      </w:r>
      <w:r w:rsidR="00F02772" w:rsidRPr="00743FCB">
        <w:t xml:space="preserve"> </w:t>
      </w:r>
      <w:r w:rsidR="00894A93" w:rsidRPr="00743FCB">
        <w:t xml:space="preserve">For CSIA of </w:t>
      </w:r>
      <w:r w:rsidR="008A72AD">
        <w:t>amino acid nitrogen</w:t>
      </w:r>
      <w:r w:rsidR="00F23193">
        <w:t xml:space="preserve"> models</w:t>
      </w:r>
      <w:r w:rsidR="00894A93" w:rsidRPr="00743FCB">
        <w:t xml:space="preserve">, </w:t>
      </w:r>
      <w:r w:rsidR="00F23193">
        <w:t>half-life data from two aquatic</w:t>
      </w:r>
      <w:r w:rsidR="00894A93" w:rsidRPr="00743FCB">
        <w:t xml:space="preserve"> consumers (shrimp and tuna) were used </w:t>
      </w:r>
      <w:r w:rsidR="00F23193">
        <w:t>to construct a single food web</w:t>
      </w:r>
      <w:r w:rsidR="007D02A5">
        <w:t xml:space="preserve"> with four trophic amino acids and one source amino acid modelled for each consumer </w:t>
      </w:r>
      <w:r w:rsidR="007D02A5" w:rsidRPr="00743FCB">
        <w:t>(</w:t>
      </w:r>
      <w:r w:rsidR="007D02A5">
        <w:t>Figure 2</w:t>
      </w:r>
      <w:r w:rsidR="007D02A5" w:rsidRPr="00743FCB">
        <w:t>)</w:t>
      </w:r>
      <w:r w:rsidR="00894A93" w:rsidRPr="00743FCB">
        <w:t>.</w:t>
      </w:r>
      <w:r w:rsidR="00F23193">
        <w:t xml:space="preserve"> </w:t>
      </w:r>
      <w:r w:rsidR="007D02A5">
        <w:t xml:space="preserve">The stable isotope values for each amino acid for both consumers were modelled for all four of the stable isotope baselines derived from particulate organic matter (Table 1). The stable isotope values for each amino acid were then compared for each baseline and both consumers to assess the performance </w:t>
      </w:r>
      <w:r w:rsidR="000B27AF">
        <w:t xml:space="preserve">of trophic amino acids in trophic position estimations. </w:t>
      </w:r>
    </w:p>
    <w:p w14:paraId="41D78FF6" w14:textId="52A40120" w:rsidR="00743FCB" w:rsidRPr="00743FCB" w:rsidRDefault="00A25EB6" w:rsidP="00743FCB">
      <w:pPr>
        <w:spacing w:line="480" w:lineRule="auto"/>
        <w:contextualSpacing/>
        <w:rPr>
          <w:iCs/>
        </w:rPr>
      </w:pPr>
      <w:r>
        <w:rPr>
          <w:i/>
          <w:u w:val="single"/>
        </w:rPr>
        <w:t xml:space="preserve">3.2 </w:t>
      </w:r>
      <w:r w:rsidR="00997F37" w:rsidRPr="00743FCB">
        <w:rPr>
          <w:i/>
          <w:u w:val="single"/>
        </w:rPr>
        <w:t>Tissue Turnover Model</w:t>
      </w:r>
      <w:r w:rsidR="00B8085A">
        <w:rPr>
          <w:i/>
          <w:u w:val="single"/>
        </w:rPr>
        <w:t>ling Structure</w:t>
      </w:r>
      <w:r w:rsidR="00743FCB" w:rsidRPr="00743FCB">
        <w:rPr>
          <w:iCs/>
        </w:rPr>
        <w:t xml:space="preserve"> </w:t>
      </w:r>
    </w:p>
    <w:p w14:paraId="41A13AAF" w14:textId="5A13A8DA" w:rsidR="00743FCB" w:rsidRPr="00743FCB" w:rsidRDefault="00C345FD" w:rsidP="00743FCB">
      <w:pPr>
        <w:spacing w:line="480" w:lineRule="auto"/>
        <w:contextualSpacing/>
        <w:rPr>
          <w:iCs/>
        </w:rPr>
      </w:pPr>
      <w:r>
        <w:rPr>
          <w:iCs/>
        </w:rPr>
        <w:tab/>
      </w:r>
      <w:r w:rsidR="00743FCB" w:rsidRPr="00743FCB">
        <w:rPr>
          <w:iCs/>
        </w:rPr>
        <w:t xml:space="preserve">The isotopic composition of consumers </w:t>
      </w:r>
      <w:r w:rsidR="005A3EF7">
        <w:rPr>
          <w:iCs/>
        </w:rPr>
        <w:t>was</w:t>
      </w:r>
      <w:r w:rsidR="00743FCB" w:rsidRPr="00743FCB">
        <w:rPr>
          <w:iCs/>
        </w:rPr>
        <w:t xml:space="preserve"> modeled using a first order kinetics model as described by </w:t>
      </w:r>
      <w:r w:rsidR="00CB2FEE">
        <w:rPr>
          <w:iCs/>
        </w:rPr>
        <w:t>Martinez del R</w:t>
      </w:r>
      <w:r w:rsidR="00743FCB" w:rsidRPr="00743FCB">
        <w:rPr>
          <w:iCs/>
        </w:rPr>
        <w:t xml:space="preserve">io and Carleton </w:t>
      </w:r>
      <w:r w:rsidR="007A55AA">
        <w:rPr>
          <w:iCs/>
        </w:rPr>
        <w:t>(</w:t>
      </w:r>
      <w:r w:rsidR="00743FCB" w:rsidRPr="00743FCB">
        <w:rPr>
          <w:iCs/>
        </w:rPr>
        <w:t>2012</w:t>
      </w:r>
      <w:r w:rsidR="007A55AA">
        <w:rPr>
          <w:iCs/>
        </w:rPr>
        <w:t>) and</w:t>
      </w:r>
      <w:r w:rsidR="00743FCB" w:rsidRPr="00743FCB">
        <w:rPr>
          <w:iCs/>
        </w:rPr>
        <w:t xml:space="preserve"> modified from </w:t>
      </w:r>
      <w:proofErr w:type="spellStart"/>
      <w:r w:rsidR="00743FCB" w:rsidRPr="00743FCB">
        <w:rPr>
          <w:iCs/>
        </w:rPr>
        <w:t>Cerling</w:t>
      </w:r>
      <w:proofErr w:type="spellEnd"/>
      <w:r w:rsidR="00743FCB" w:rsidRPr="00743FCB">
        <w:rPr>
          <w:iCs/>
        </w:rPr>
        <w:t xml:space="preserve"> et al. </w:t>
      </w:r>
      <w:r w:rsidR="007A55AA">
        <w:rPr>
          <w:iCs/>
        </w:rPr>
        <w:t>(</w:t>
      </w:r>
      <w:r w:rsidR="00743FCB" w:rsidRPr="00743FCB">
        <w:rPr>
          <w:iCs/>
        </w:rPr>
        <w:t>2007</w:t>
      </w:r>
      <w:r w:rsidR="007A55AA">
        <w:rPr>
          <w:iCs/>
        </w:rPr>
        <w:t>)</w:t>
      </w:r>
      <w:r w:rsidR="00743FCB" w:rsidRPr="00743FCB">
        <w:rPr>
          <w:iCs/>
        </w:rPr>
        <w:t xml:space="preserve">. Many controlled feeding studies use an exponential fit model </w:t>
      </w:r>
      <w:r w:rsidR="00790AC5">
        <w:rPr>
          <w:iCs/>
        </w:rPr>
        <w:t xml:space="preserve">to estimate </w:t>
      </w:r>
      <w:r w:rsidR="00246143">
        <w:rPr>
          <w:iCs/>
        </w:rPr>
        <w:t xml:space="preserve">tissue turnover </w:t>
      </w:r>
      <w:r w:rsidR="00743FCB" w:rsidRPr="00743FCB">
        <w:rPr>
          <w:iCs/>
        </w:rPr>
        <w:t>where isotope data is fit to:</w:t>
      </w:r>
    </w:p>
    <w:p w14:paraId="18A63AE9" w14:textId="76E39B7B" w:rsidR="00743FCB" w:rsidRPr="00743FCB" w:rsidRDefault="00743FCB" w:rsidP="00743FCB">
      <w:pPr>
        <w:spacing w:line="480" w:lineRule="auto"/>
        <w:contextualSpacing/>
        <w:rPr>
          <w:iCs/>
        </w:rPr>
      </w:pPr>
      <w:r w:rsidRPr="00743FCB">
        <w:rPr>
          <w:b/>
          <w:iCs/>
        </w:rPr>
        <w:t xml:space="preserve">(4) </w:t>
      </w:r>
      <w:proofErr w:type="spellStart"/>
      <w:r w:rsidRPr="00743FCB">
        <w:rPr>
          <w:iCs/>
        </w:rPr>
        <w:t>δ</w:t>
      </w:r>
      <w:r w:rsidRPr="00743FCB">
        <w:rPr>
          <w:iCs/>
          <w:vertAlign w:val="superscript"/>
        </w:rPr>
        <w:t>t</w:t>
      </w:r>
      <w:proofErr w:type="spellEnd"/>
      <w:r w:rsidRPr="00743FCB">
        <w:rPr>
          <w:iCs/>
        </w:rPr>
        <w:t xml:space="preserve"> = αe</w:t>
      </w:r>
      <w:r w:rsidRPr="00743FCB">
        <w:rPr>
          <w:iCs/>
          <w:vertAlign w:val="superscript"/>
        </w:rPr>
        <w:t>-</w:t>
      </w:r>
      <w:proofErr w:type="spellStart"/>
      <w:r w:rsidRPr="00743FCB">
        <w:rPr>
          <w:iCs/>
          <w:vertAlign w:val="superscript"/>
        </w:rPr>
        <w:t>λt</w:t>
      </w:r>
      <w:proofErr w:type="spellEnd"/>
      <w:r w:rsidRPr="00743FCB">
        <w:rPr>
          <w:iCs/>
        </w:rPr>
        <w:t xml:space="preserve"> + </w:t>
      </w:r>
      <w:r w:rsidRPr="00743FCB">
        <w:rPr>
          <w:i/>
          <w:iCs/>
        </w:rPr>
        <w:t>c</w:t>
      </w:r>
    </w:p>
    <w:p w14:paraId="665B249B" w14:textId="7E7CFA71" w:rsidR="00743FCB" w:rsidRPr="00743FCB" w:rsidRDefault="00380872" w:rsidP="00743FCB">
      <w:pPr>
        <w:spacing w:line="480" w:lineRule="auto"/>
        <w:contextualSpacing/>
      </w:pPr>
      <w:r w:rsidRPr="00743FCB">
        <w:rPr>
          <w:iCs/>
        </w:rPr>
        <w:t xml:space="preserve">where </w:t>
      </w:r>
      <w:r w:rsidRPr="00380872">
        <w:rPr>
          <w:i/>
          <w:iCs/>
        </w:rPr>
        <w:t>δ</w:t>
      </w:r>
      <w:r w:rsidRPr="00743FCB">
        <w:rPr>
          <w:iCs/>
        </w:rPr>
        <w:t xml:space="preserve"> </w:t>
      </w:r>
      <w:r>
        <w:rPr>
          <w:iCs/>
        </w:rPr>
        <w:t>is the nitrogen stable isotope value of a consumer</w:t>
      </w:r>
      <w:r w:rsidR="00CC3860">
        <w:rPr>
          <w:iCs/>
        </w:rPr>
        <w:t>’s</w:t>
      </w:r>
      <w:r>
        <w:rPr>
          <w:iCs/>
        </w:rPr>
        <w:t xml:space="preserve"> tissues that </w:t>
      </w:r>
      <w:r w:rsidRPr="00743FCB">
        <w:rPr>
          <w:iCs/>
        </w:rPr>
        <w:t xml:space="preserve">has been measured at different values of </w:t>
      </w:r>
      <w:r>
        <w:rPr>
          <w:iCs/>
        </w:rPr>
        <w:t xml:space="preserve">time </w:t>
      </w:r>
      <w:r w:rsidRPr="00380872">
        <w:rPr>
          <w:i/>
          <w:iCs/>
        </w:rPr>
        <w:t>t</w:t>
      </w:r>
      <w:r w:rsidRPr="00743FCB">
        <w:rPr>
          <w:iCs/>
        </w:rPr>
        <w:t xml:space="preserve"> </w:t>
      </w:r>
      <w:r>
        <w:rPr>
          <w:iCs/>
        </w:rPr>
        <w:t xml:space="preserve">before and </w:t>
      </w:r>
      <w:r w:rsidRPr="00743FCB">
        <w:rPr>
          <w:iCs/>
        </w:rPr>
        <w:t xml:space="preserve">after </w:t>
      </w:r>
      <w:r>
        <w:rPr>
          <w:iCs/>
        </w:rPr>
        <w:t xml:space="preserve">the consumer has been switched to an isotopically </w:t>
      </w:r>
      <w:r>
        <w:rPr>
          <w:iCs/>
        </w:rPr>
        <w:lastRenderedPageBreak/>
        <w:t>distinct diet</w:t>
      </w:r>
      <w:r w:rsidR="00743FCB" w:rsidRPr="00743FCB">
        <w:rPr>
          <w:iCs/>
        </w:rPr>
        <w:t xml:space="preserve">. The parameters </w:t>
      </w:r>
      <w:r w:rsidR="00743FCB" w:rsidRPr="007A55AA">
        <w:rPr>
          <w:i/>
          <w:iCs/>
        </w:rPr>
        <w:t>α</w:t>
      </w:r>
      <w:r w:rsidR="00743FCB" w:rsidRPr="00743FCB">
        <w:rPr>
          <w:iCs/>
        </w:rPr>
        <w:t xml:space="preserve">, </w:t>
      </w:r>
      <w:r w:rsidR="00743FCB" w:rsidRPr="007A55AA">
        <w:rPr>
          <w:i/>
          <w:iCs/>
        </w:rPr>
        <w:t>λ</w:t>
      </w:r>
      <w:r w:rsidR="00743FCB" w:rsidRPr="00743FCB">
        <w:rPr>
          <w:iCs/>
        </w:rPr>
        <w:t xml:space="preserve">, and </w:t>
      </w:r>
      <w:r w:rsidR="00743FCB" w:rsidRPr="007A55AA">
        <w:rPr>
          <w:i/>
          <w:iCs/>
        </w:rPr>
        <w:t>c</w:t>
      </w:r>
      <w:r w:rsidR="00743FCB" w:rsidRPr="00743FCB">
        <w:rPr>
          <w:iCs/>
        </w:rPr>
        <w:t xml:space="preserve"> are each estimated empirically from a best fit of data</w:t>
      </w:r>
      <w:r>
        <w:rPr>
          <w:iCs/>
        </w:rPr>
        <w:t>, where</w:t>
      </w:r>
      <w:r w:rsidR="00743FCB" w:rsidRPr="00743FCB">
        <w:rPr>
          <w:i/>
          <w:iCs/>
        </w:rPr>
        <w:t xml:space="preserve"> c</w:t>
      </w:r>
      <w:r w:rsidR="00743FCB" w:rsidRPr="00743FCB">
        <w:rPr>
          <w:iCs/>
        </w:rPr>
        <w:t xml:space="preserve"> is the asymptotic value of the isotope composition of tissue after the diet switch once tissues have reached steady state</w:t>
      </w:r>
      <w:r>
        <w:rPr>
          <w:iCs/>
        </w:rPr>
        <w:t>.</w:t>
      </w:r>
      <w:r w:rsidR="00743FCB" w:rsidRPr="00743FCB">
        <w:rPr>
          <w:iCs/>
        </w:rPr>
        <w:t xml:space="preserve"> </w:t>
      </w:r>
      <w:r w:rsidR="00743FCB" w:rsidRPr="00380872">
        <w:rPr>
          <w:i/>
          <w:iCs/>
        </w:rPr>
        <w:t>α</w:t>
      </w:r>
      <w:r w:rsidR="00743FCB" w:rsidRPr="00743FCB">
        <w:rPr>
          <w:iCs/>
        </w:rPr>
        <w:t xml:space="preserve"> represents the magnitude of isotopic change in tissues or the difference between the initial </w:t>
      </w:r>
      <w:r w:rsidR="00246143">
        <w:rPr>
          <w:iCs/>
        </w:rPr>
        <w:t xml:space="preserve">isotopic </w:t>
      </w:r>
      <w:r w:rsidR="00743FCB" w:rsidRPr="00743FCB">
        <w:rPr>
          <w:iCs/>
        </w:rPr>
        <w:t xml:space="preserve">steady state before the diet switch and the final </w:t>
      </w:r>
      <w:r w:rsidR="00246143">
        <w:rPr>
          <w:iCs/>
        </w:rPr>
        <w:t xml:space="preserve">isotopic </w:t>
      </w:r>
      <w:r w:rsidR="00743FCB" w:rsidRPr="00743FCB">
        <w:rPr>
          <w:iCs/>
        </w:rPr>
        <w:t xml:space="preserve">steady state after the diet switch. </w:t>
      </w:r>
      <w:r w:rsidR="00743FCB" w:rsidRPr="00BC41C1">
        <w:rPr>
          <w:i/>
          <w:iCs/>
        </w:rPr>
        <w:t>λ</w:t>
      </w:r>
      <w:r w:rsidR="00743FCB" w:rsidRPr="00743FCB">
        <w:rPr>
          <w:iCs/>
        </w:rPr>
        <w:t xml:space="preserve"> is a first order data-derived rate constant</w:t>
      </w:r>
      <w:r w:rsidR="00BC41C1">
        <w:rPr>
          <w:iCs/>
        </w:rPr>
        <w:t xml:space="preserve"> referred to as the turnover rate</w:t>
      </w:r>
      <w:r w:rsidR="00743FCB" w:rsidRPr="00743FCB">
        <w:rPr>
          <w:iCs/>
        </w:rPr>
        <w:t xml:space="preserve">, which can be used to </w:t>
      </w:r>
      <w:r w:rsidR="00BC41C1">
        <w:rPr>
          <w:iCs/>
        </w:rPr>
        <w:t xml:space="preserve">calculate </w:t>
      </w:r>
      <w:r w:rsidR="00743FCB" w:rsidRPr="00743FCB">
        <w:rPr>
          <w:iCs/>
        </w:rPr>
        <w:t xml:space="preserve">the isotopic half-life: </w:t>
      </w:r>
    </w:p>
    <w:p w14:paraId="0C707B82" w14:textId="4CB4CA05" w:rsidR="009E6532" w:rsidRDefault="00743FCB" w:rsidP="00743FCB">
      <w:pPr>
        <w:spacing w:line="480" w:lineRule="auto"/>
        <w:contextualSpacing/>
        <w:rPr>
          <w:b/>
          <w:iCs/>
        </w:rPr>
      </w:pPr>
      <w:r w:rsidRPr="00743FCB">
        <w:rPr>
          <w:b/>
          <w:iCs/>
        </w:rPr>
        <w:t xml:space="preserve">(5) </w:t>
      </w:r>
      <w:r w:rsidR="009E6532" w:rsidRPr="00743FCB">
        <w:rPr>
          <w:iCs/>
        </w:rPr>
        <w:t>t</w:t>
      </w:r>
      <w:r w:rsidR="009E6532" w:rsidRPr="00743FCB">
        <w:rPr>
          <w:iCs/>
          <w:vertAlign w:val="subscript"/>
        </w:rPr>
        <w:t>α</w:t>
      </w:r>
      <w:r w:rsidR="009E6532" w:rsidRPr="00743FCB">
        <w:rPr>
          <w:iCs/>
        </w:rPr>
        <w:t>= ln(1-α)/λ</w:t>
      </w:r>
    </w:p>
    <w:p w14:paraId="092E7A06" w14:textId="1EC52872" w:rsidR="00743FCB" w:rsidRPr="00743FCB" w:rsidRDefault="009E6532" w:rsidP="00743FCB">
      <w:pPr>
        <w:spacing w:line="480" w:lineRule="auto"/>
        <w:contextualSpacing/>
        <w:rPr>
          <w:iCs/>
        </w:rPr>
      </w:pPr>
      <w:r>
        <w:rPr>
          <w:iCs/>
        </w:rPr>
        <w:t>w</w:t>
      </w:r>
      <w:r w:rsidR="00720574">
        <w:rPr>
          <w:iCs/>
        </w:rPr>
        <w:t xml:space="preserve">here </w:t>
      </w:r>
      <w:r w:rsidR="00720574" w:rsidRPr="00380872">
        <w:rPr>
          <w:i/>
          <w:iCs/>
        </w:rPr>
        <w:t>α</w:t>
      </w:r>
      <w:r w:rsidR="00720574">
        <w:rPr>
          <w:i/>
          <w:iCs/>
        </w:rPr>
        <w:t xml:space="preserve"> </w:t>
      </w:r>
      <w:r w:rsidR="00720574">
        <w:rPr>
          <w:iCs/>
        </w:rPr>
        <w:t xml:space="preserve">is 0.5. </w:t>
      </w:r>
      <w:r w:rsidR="005A3EF7" w:rsidRPr="005A3EF7">
        <w:rPr>
          <w:i/>
          <w:iCs/>
        </w:rPr>
        <w:t>t</w:t>
      </w:r>
      <w:r w:rsidR="005A3EF7" w:rsidRPr="005A3EF7">
        <w:rPr>
          <w:i/>
          <w:iCs/>
          <w:vertAlign w:val="subscript"/>
        </w:rPr>
        <w:t>0.5</w:t>
      </w:r>
      <w:r w:rsidR="005A3EF7">
        <w:rPr>
          <w:iCs/>
        </w:rPr>
        <w:t xml:space="preserve"> </w:t>
      </w:r>
      <w:r w:rsidR="00743FCB" w:rsidRPr="00743FCB">
        <w:rPr>
          <w:iCs/>
        </w:rPr>
        <w:t>values are commonly reported in experimental studies and represent the amount of time (in days</w:t>
      </w:r>
      <w:r w:rsidR="00CC3860">
        <w:rPr>
          <w:iCs/>
        </w:rPr>
        <w:t xml:space="preserve"> or hours</w:t>
      </w:r>
      <w:r w:rsidR="00743FCB" w:rsidRPr="00743FCB">
        <w:rPr>
          <w:iCs/>
        </w:rPr>
        <w:t xml:space="preserve">) required for 50% equilibration with a new diet source, and thus were used to </w:t>
      </w:r>
      <w:r w:rsidR="00246143">
        <w:rPr>
          <w:iCs/>
        </w:rPr>
        <w:t>calculate</w:t>
      </w:r>
      <w:r w:rsidR="00743FCB" w:rsidRPr="00743FCB">
        <w:rPr>
          <w:iCs/>
        </w:rPr>
        <w:t xml:space="preserve"> λ in </w:t>
      </w:r>
      <w:r w:rsidR="00246143">
        <w:rPr>
          <w:iCs/>
        </w:rPr>
        <w:t>our</w:t>
      </w:r>
      <w:r w:rsidR="00743FCB" w:rsidRPr="00743FCB">
        <w:rPr>
          <w:iCs/>
        </w:rPr>
        <w:t xml:space="preserve"> model (Vander </w:t>
      </w:r>
      <w:proofErr w:type="spellStart"/>
      <w:r w:rsidR="00743FCB" w:rsidRPr="00743FCB">
        <w:rPr>
          <w:iCs/>
        </w:rPr>
        <w:t>Zanden</w:t>
      </w:r>
      <w:proofErr w:type="spellEnd"/>
      <w:r w:rsidR="00743FCB" w:rsidRPr="00743FCB">
        <w:rPr>
          <w:iCs/>
        </w:rPr>
        <w:t xml:space="preserve"> et al. 2015).</w:t>
      </w:r>
      <w:r w:rsidR="005A3EF7">
        <w:rPr>
          <w:iCs/>
        </w:rPr>
        <w:t xml:space="preserve"> </w:t>
      </w:r>
      <w:r w:rsidR="005A3EF7" w:rsidRPr="005A3EF7">
        <w:rPr>
          <w:i/>
          <w:iCs/>
        </w:rPr>
        <w:t>t</w:t>
      </w:r>
      <w:r w:rsidR="005A3EF7" w:rsidRPr="005A3EF7">
        <w:rPr>
          <w:i/>
          <w:iCs/>
          <w:vertAlign w:val="subscript"/>
        </w:rPr>
        <w:t>0.</w:t>
      </w:r>
      <w:r w:rsidR="005A3EF7">
        <w:rPr>
          <w:i/>
          <w:iCs/>
          <w:vertAlign w:val="subscript"/>
        </w:rPr>
        <w:t>9</w:t>
      </w:r>
      <w:r w:rsidR="005A3EF7" w:rsidRPr="005A3EF7">
        <w:rPr>
          <w:i/>
          <w:iCs/>
          <w:vertAlign w:val="subscript"/>
        </w:rPr>
        <w:t>5</w:t>
      </w:r>
      <w:r w:rsidR="005A3EF7">
        <w:rPr>
          <w:iCs/>
        </w:rPr>
        <w:t xml:space="preserve"> values are also frequently reported and denote 95% equilibrium and are commonly accepted as the amount of time to reach </w:t>
      </w:r>
      <w:r w:rsidR="00246143">
        <w:rPr>
          <w:iCs/>
        </w:rPr>
        <w:t xml:space="preserve">isotopic </w:t>
      </w:r>
      <w:r w:rsidR="005A3EF7">
        <w:rPr>
          <w:iCs/>
        </w:rPr>
        <w:t xml:space="preserve">steady state. </w:t>
      </w:r>
      <w:r w:rsidR="00E315B6">
        <w:rPr>
          <w:iCs/>
        </w:rPr>
        <w:t>Chemically, the</w:t>
      </w:r>
      <w:r w:rsidR="00743FCB" w:rsidRPr="00743FCB">
        <w:rPr>
          <w:iCs/>
        </w:rPr>
        <w:t xml:space="preserve"> first order rate constant </w:t>
      </w:r>
      <w:r w:rsidR="00E315B6">
        <w:rPr>
          <w:iCs/>
        </w:rPr>
        <w:t>is represented as</w:t>
      </w:r>
      <w:r w:rsidR="00743FCB" w:rsidRPr="00743FCB">
        <w:rPr>
          <w:iCs/>
        </w:rPr>
        <w:t>:</w:t>
      </w:r>
    </w:p>
    <w:p w14:paraId="7FB85990" w14:textId="46334DC2" w:rsidR="00743FCB" w:rsidRPr="00743FCB" w:rsidRDefault="00743FCB" w:rsidP="00743FCB">
      <w:pPr>
        <w:spacing w:line="480" w:lineRule="auto"/>
        <w:contextualSpacing/>
        <w:rPr>
          <w:iCs/>
        </w:rPr>
      </w:pPr>
      <w:r w:rsidRPr="00743FCB">
        <w:rPr>
          <w:b/>
          <w:iCs/>
        </w:rPr>
        <w:t xml:space="preserve">(6) </w:t>
      </w:r>
      <w:proofErr w:type="spellStart"/>
      <w:r w:rsidRPr="00743FCB">
        <w:rPr>
          <w:iCs/>
        </w:rPr>
        <w:t>dN</w:t>
      </w:r>
      <w:proofErr w:type="spellEnd"/>
      <w:r w:rsidRPr="00743FCB">
        <w:rPr>
          <w:iCs/>
        </w:rPr>
        <w:t>/</w:t>
      </w:r>
      <w:proofErr w:type="spellStart"/>
      <w:r w:rsidRPr="00743FCB">
        <w:rPr>
          <w:iCs/>
        </w:rPr>
        <w:t>dt</w:t>
      </w:r>
      <w:proofErr w:type="spellEnd"/>
      <w:r w:rsidRPr="00743FCB">
        <w:rPr>
          <w:iCs/>
        </w:rPr>
        <w:t xml:space="preserve"> = - </w:t>
      </w:r>
      <w:proofErr w:type="spellStart"/>
      <w:r w:rsidRPr="00743FCB">
        <w:rPr>
          <w:iCs/>
        </w:rPr>
        <w:t>λN</w:t>
      </w:r>
      <w:proofErr w:type="spellEnd"/>
    </w:p>
    <w:p w14:paraId="5E861C71" w14:textId="63B4B075" w:rsidR="00743FCB" w:rsidRPr="00743FCB" w:rsidRDefault="00743FCB" w:rsidP="00743FCB">
      <w:pPr>
        <w:spacing w:line="480" w:lineRule="auto"/>
        <w:contextualSpacing/>
        <w:rPr>
          <w:iCs/>
        </w:rPr>
      </w:pPr>
      <w:r w:rsidRPr="00743FCB">
        <w:rPr>
          <w:iCs/>
        </w:rPr>
        <w:t xml:space="preserve">Where </w:t>
      </w:r>
      <w:r w:rsidRPr="00E315B6">
        <w:rPr>
          <w:i/>
          <w:iCs/>
        </w:rPr>
        <w:t>N</w:t>
      </w:r>
      <w:r w:rsidRPr="00743FCB">
        <w:rPr>
          <w:iCs/>
        </w:rPr>
        <w:t xml:space="preserve"> is the number of atoms or molecules in the system, </w:t>
      </w:r>
      <w:proofErr w:type="spellStart"/>
      <w:r w:rsidRPr="00E315B6">
        <w:rPr>
          <w:i/>
          <w:iCs/>
        </w:rPr>
        <w:t>t</w:t>
      </w:r>
      <w:proofErr w:type="spellEnd"/>
      <w:r w:rsidRPr="00743FCB">
        <w:rPr>
          <w:iCs/>
        </w:rPr>
        <w:t xml:space="preserve"> is time (s) and </w:t>
      </w:r>
      <w:r w:rsidRPr="00E315B6">
        <w:rPr>
          <w:i/>
          <w:iCs/>
        </w:rPr>
        <w:t>λ</w:t>
      </w:r>
      <w:r w:rsidRPr="00743FCB">
        <w:rPr>
          <w:iCs/>
        </w:rPr>
        <w:t xml:space="preserve"> is the rate constant (s</w:t>
      </w:r>
      <w:r w:rsidRPr="00743FCB">
        <w:rPr>
          <w:iCs/>
          <w:vertAlign w:val="superscript"/>
        </w:rPr>
        <w:t>-1</w:t>
      </w:r>
      <w:r w:rsidRPr="00743FCB">
        <w:rPr>
          <w:iCs/>
        </w:rPr>
        <w:t xml:space="preserve">). This assumes isotopic equilibration is a first order reaction given for a trace isotope where the concentration of the rare isotope </w:t>
      </w:r>
      <w:r w:rsidR="00E315B6">
        <w:rPr>
          <w:iCs/>
        </w:rPr>
        <w:t>(</w:t>
      </w:r>
      <w:r w:rsidR="00E315B6">
        <w:rPr>
          <w:iCs/>
          <w:vertAlign w:val="superscript"/>
        </w:rPr>
        <w:t>15</w:t>
      </w:r>
      <w:r w:rsidR="00E315B6">
        <w:rPr>
          <w:iCs/>
        </w:rPr>
        <w:t xml:space="preserve">N) </w:t>
      </w:r>
      <w:r w:rsidRPr="00743FCB">
        <w:rPr>
          <w:iCs/>
        </w:rPr>
        <w:t>is significantly less than that of the abundant</w:t>
      </w:r>
      <w:r w:rsidR="00E315B6">
        <w:rPr>
          <w:iCs/>
        </w:rPr>
        <w:t xml:space="preserve"> (</w:t>
      </w:r>
      <w:r w:rsidR="00E315B6">
        <w:rPr>
          <w:iCs/>
          <w:vertAlign w:val="superscript"/>
        </w:rPr>
        <w:t>14</w:t>
      </w:r>
      <w:r w:rsidR="00E315B6">
        <w:rPr>
          <w:iCs/>
        </w:rPr>
        <w:t>N)</w:t>
      </w:r>
      <w:r w:rsidR="009E6532">
        <w:rPr>
          <w:iCs/>
        </w:rPr>
        <w:t>. T</w:t>
      </w:r>
      <w:r w:rsidRPr="00743FCB">
        <w:rPr>
          <w:iCs/>
        </w:rPr>
        <w:t>h</w:t>
      </w:r>
      <w:r w:rsidR="00E315B6">
        <w:rPr>
          <w:iCs/>
        </w:rPr>
        <w:t>us</w:t>
      </w:r>
      <w:r w:rsidR="009E6532">
        <w:rPr>
          <w:iCs/>
        </w:rPr>
        <w:t>,</w:t>
      </w:r>
      <w:r w:rsidR="00E315B6">
        <w:rPr>
          <w:iCs/>
        </w:rPr>
        <w:t xml:space="preserve"> the</w:t>
      </w:r>
      <w:r w:rsidRPr="00743FCB">
        <w:rPr>
          <w:iCs/>
        </w:rPr>
        <w:t xml:space="preserve"> system can be closely approximated by changes in only the rare isotope</w:t>
      </w:r>
      <w:r w:rsidR="00E315B6">
        <w:rPr>
          <w:iCs/>
        </w:rPr>
        <w:t>.</w:t>
      </w:r>
      <w:r w:rsidRPr="00743FCB">
        <w:rPr>
          <w:iCs/>
        </w:rPr>
        <w:t xml:space="preserve"> </w:t>
      </w:r>
      <w:r w:rsidR="00E315B6">
        <w:rPr>
          <w:iCs/>
        </w:rPr>
        <w:t>I</w:t>
      </w:r>
      <w:r w:rsidRPr="00743FCB">
        <w:rPr>
          <w:iCs/>
        </w:rPr>
        <w:t>n the case of controlled feeding experiments the food source is treated as a reservoir where the isotopic value of the food supply is unaffected by consumption (</w:t>
      </w:r>
      <w:proofErr w:type="spellStart"/>
      <w:r w:rsidRPr="00743FCB">
        <w:rPr>
          <w:iCs/>
        </w:rPr>
        <w:t>Criss</w:t>
      </w:r>
      <w:proofErr w:type="spellEnd"/>
      <w:r w:rsidRPr="00743FCB">
        <w:rPr>
          <w:iCs/>
        </w:rPr>
        <w:t xml:space="preserve"> 1999). Equation 6 can</w:t>
      </w:r>
      <w:r w:rsidR="009E6532">
        <w:rPr>
          <w:iCs/>
        </w:rPr>
        <w:t xml:space="preserve"> then</w:t>
      </w:r>
      <w:r w:rsidRPr="00743FCB">
        <w:rPr>
          <w:iCs/>
        </w:rPr>
        <w:t xml:space="preserve"> be integrated to yield:</w:t>
      </w:r>
    </w:p>
    <w:p w14:paraId="03B34670" w14:textId="5A452187" w:rsidR="00743FCB" w:rsidRPr="00743FCB" w:rsidRDefault="00743FCB" w:rsidP="00743FCB">
      <w:pPr>
        <w:spacing w:line="480" w:lineRule="auto"/>
        <w:contextualSpacing/>
        <w:rPr>
          <w:iCs/>
        </w:rPr>
      </w:pPr>
      <w:r w:rsidRPr="00743FCB">
        <w:rPr>
          <w:b/>
          <w:iCs/>
        </w:rPr>
        <w:t xml:space="preserve">(7) </w:t>
      </w:r>
      <w:r w:rsidRPr="00743FCB">
        <w:rPr>
          <w:iCs/>
        </w:rPr>
        <w:t>N= N</w:t>
      </w:r>
      <w:r w:rsidRPr="00743FCB">
        <w:rPr>
          <w:iCs/>
          <w:vertAlign w:val="subscript"/>
        </w:rPr>
        <w:t>0</w:t>
      </w:r>
      <w:r w:rsidRPr="00743FCB">
        <w:rPr>
          <w:iCs/>
        </w:rPr>
        <w:t xml:space="preserve"> e</w:t>
      </w:r>
      <w:r w:rsidRPr="00743FCB">
        <w:rPr>
          <w:iCs/>
          <w:vertAlign w:val="superscript"/>
        </w:rPr>
        <w:t>-</w:t>
      </w:r>
      <w:proofErr w:type="spellStart"/>
      <w:r w:rsidRPr="00743FCB">
        <w:rPr>
          <w:iCs/>
          <w:vertAlign w:val="superscript"/>
        </w:rPr>
        <w:t>λt</w:t>
      </w:r>
      <w:proofErr w:type="spellEnd"/>
    </w:p>
    <w:p w14:paraId="5039CF18" w14:textId="2CE62AF5" w:rsidR="00743FCB" w:rsidRPr="00743FCB" w:rsidRDefault="00743FCB" w:rsidP="00743FCB">
      <w:pPr>
        <w:spacing w:line="480" w:lineRule="auto"/>
        <w:contextualSpacing/>
        <w:rPr>
          <w:iCs/>
        </w:rPr>
      </w:pPr>
      <w:r w:rsidRPr="00743FCB">
        <w:rPr>
          <w:iCs/>
        </w:rPr>
        <w:t>and can be linearized by:</w:t>
      </w:r>
    </w:p>
    <w:p w14:paraId="7FA27512" w14:textId="6D89808D" w:rsidR="00743FCB" w:rsidRPr="00743FCB" w:rsidRDefault="00743FCB" w:rsidP="00743FCB">
      <w:pPr>
        <w:spacing w:line="480" w:lineRule="auto"/>
        <w:contextualSpacing/>
        <w:rPr>
          <w:iCs/>
        </w:rPr>
      </w:pPr>
      <w:r w:rsidRPr="00743FCB">
        <w:rPr>
          <w:b/>
          <w:iCs/>
        </w:rPr>
        <w:t xml:space="preserve">(8) </w:t>
      </w:r>
      <w:r w:rsidRPr="00743FCB">
        <w:rPr>
          <w:iCs/>
        </w:rPr>
        <w:t>ln(N/N</w:t>
      </w:r>
      <w:r w:rsidRPr="00743FCB">
        <w:rPr>
          <w:iCs/>
          <w:vertAlign w:val="subscript"/>
        </w:rPr>
        <w:t>0</w:t>
      </w:r>
      <w:r w:rsidRPr="00743FCB">
        <w:rPr>
          <w:iCs/>
        </w:rPr>
        <w:t xml:space="preserve">) = - </w:t>
      </w:r>
      <w:proofErr w:type="spellStart"/>
      <w:r w:rsidRPr="00743FCB">
        <w:rPr>
          <w:iCs/>
        </w:rPr>
        <w:t>λt</w:t>
      </w:r>
      <w:proofErr w:type="spellEnd"/>
    </w:p>
    <w:p w14:paraId="36D5EABC" w14:textId="0265AD9D" w:rsidR="00743FCB" w:rsidRPr="00743FCB" w:rsidRDefault="00743FCB" w:rsidP="00743FCB">
      <w:pPr>
        <w:spacing w:line="480" w:lineRule="auto"/>
        <w:contextualSpacing/>
        <w:rPr>
          <w:iCs/>
        </w:rPr>
      </w:pPr>
      <w:r w:rsidRPr="00743FCB">
        <w:rPr>
          <w:iCs/>
        </w:rPr>
        <w:lastRenderedPageBreak/>
        <w:t xml:space="preserve">For this model, we apply </w:t>
      </w:r>
      <w:r w:rsidR="009E6532">
        <w:rPr>
          <w:iCs/>
        </w:rPr>
        <w:t xml:space="preserve">this approach but with </w:t>
      </w:r>
      <w:r w:rsidRPr="00743FCB">
        <w:rPr>
          <w:iCs/>
        </w:rPr>
        <w:t xml:space="preserve">a modified representation of equation 4 as presented in </w:t>
      </w:r>
      <w:r w:rsidR="00B9314F">
        <w:rPr>
          <w:iCs/>
        </w:rPr>
        <w:t xml:space="preserve">Martinez del </w:t>
      </w:r>
      <w:r w:rsidRPr="00743FCB">
        <w:rPr>
          <w:iCs/>
        </w:rPr>
        <w:t xml:space="preserve">Rio and Carleton </w:t>
      </w:r>
      <w:r w:rsidR="00246143">
        <w:rPr>
          <w:iCs/>
        </w:rPr>
        <w:t>(</w:t>
      </w:r>
      <w:r w:rsidRPr="00743FCB">
        <w:rPr>
          <w:iCs/>
        </w:rPr>
        <w:t>2012</w:t>
      </w:r>
      <w:r w:rsidR="00246143">
        <w:rPr>
          <w:iCs/>
        </w:rPr>
        <w:t xml:space="preserve">) </w:t>
      </w:r>
      <w:r w:rsidRPr="00743FCB">
        <w:rPr>
          <w:iCs/>
        </w:rPr>
        <w:t xml:space="preserve">with more biologically meaningful set of parameters: </w:t>
      </w:r>
    </w:p>
    <w:p w14:paraId="1E60BD3F" w14:textId="4FB6A864" w:rsidR="00743FCB" w:rsidRPr="00743FCB" w:rsidRDefault="00743FCB" w:rsidP="00743FCB">
      <w:pPr>
        <w:spacing w:line="480" w:lineRule="auto"/>
        <w:contextualSpacing/>
        <w:rPr>
          <w:iCs/>
        </w:rPr>
      </w:pPr>
      <w:r w:rsidRPr="00743FCB">
        <w:rPr>
          <w:b/>
          <w:iCs/>
        </w:rPr>
        <w:t xml:space="preserve">(9) </w:t>
      </w:r>
      <w:proofErr w:type="spellStart"/>
      <w:r w:rsidRPr="00743FCB">
        <w:rPr>
          <w:iCs/>
        </w:rPr>
        <w:t>δ</w:t>
      </w:r>
      <w:r w:rsidRPr="00743FCB">
        <w:rPr>
          <w:iCs/>
          <w:vertAlign w:val="subscript"/>
        </w:rPr>
        <w:t>x</w:t>
      </w:r>
      <w:r w:rsidRPr="00743FCB">
        <w:rPr>
          <w:iCs/>
          <w:vertAlign w:val="superscript"/>
        </w:rPr>
        <w:t>t</w:t>
      </w:r>
      <w:proofErr w:type="spellEnd"/>
      <w:r w:rsidRPr="00743FCB">
        <w:rPr>
          <w:iCs/>
        </w:rPr>
        <w:t xml:space="preserve"> = </w:t>
      </w:r>
      <w:proofErr w:type="spellStart"/>
      <w:r w:rsidRPr="00743FCB">
        <w:rPr>
          <w:iCs/>
        </w:rPr>
        <w:t>δ</w:t>
      </w:r>
      <w:r w:rsidRPr="00743FCB">
        <w:rPr>
          <w:iCs/>
          <w:vertAlign w:val="subscript"/>
        </w:rPr>
        <w:t>x</w:t>
      </w:r>
      <w:proofErr w:type="spellEnd"/>
      <w:r w:rsidRPr="00743FCB">
        <w:rPr>
          <w:i/>
          <w:iCs/>
          <w:vertAlign w:val="superscript"/>
        </w:rPr>
        <w:t xml:space="preserve">∞ </w:t>
      </w:r>
      <w:r w:rsidRPr="00743FCB">
        <w:rPr>
          <w:iCs/>
        </w:rPr>
        <w:t>- (</w:t>
      </w:r>
      <w:proofErr w:type="spellStart"/>
      <w:r w:rsidRPr="00743FCB">
        <w:rPr>
          <w:iCs/>
        </w:rPr>
        <w:t>δ</w:t>
      </w:r>
      <w:r w:rsidRPr="00743FCB">
        <w:rPr>
          <w:iCs/>
          <w:vertAlign w:val="subscript"/>
        </w:rPr>
        <w:t>x</w:t>
      </w:r>
      <w:proofErr w:type="spellEnd"/>
      <w:r w:rsidRPr="00743FCB">
        <w:rPr>
          <w:i/>
          <w:iCs/>
          <w:vertAlign w:val="superscript"/>
        </w:rPr>
        <w:t>∞</w:t>
      </w:r>
      <w:r w:rsidRPr="00743FCB">
        <w:rPr>
          <w:iCs/>
        </w:rPr>
        <w:t xml:space="preserve"> - δ</w:t>
      </w:r>
      <w:r w:rsidRPr="00743FCB">
        <w:rPr>
          <w:iCs/>
          <w:vertAlign w:val="subscript"/>
        </w:rPr>
        <w:t>x</w:t>
      </w:r>
      <w:proofErr w:type="gramStart"/>
      <w:r w:rsidRPr="00743FCB">
        <w:rPr>
          <w:i/>
          <w:iCs/>
          <w:vertAlign w:val="superscript"/>
        </w:rPr>
        <w:t>0</w:t>
      </w:r>
      <w:r w:rsidRPr="00743FCB">
        <w:rPr>
          <w:iCs/>
        </w:rPr>
        <w:t>)e</w:t>
      </w:r>
      <w:proofErr w:type="gramEnd"/>
      <w:r w:rsidRPr="00743FCB">
        <w:rPr>
          <w:iCs/>
          <w:vertAlign w:val="superscript"/>
        </w:rPr>
        <w:t>-</w:t>
      </w:r>
      <w:proofErr w:type="spellStart"/>
      <w:r w:rsidRPr="00743FCB">
        <w:rPr>
          <w:iCs/>
          <w:vertAlign w:val="superscript"/>
        </w:rPr>
        <w:t>λt</w:t>
      </w:r>
      <w:proofErr w:type="spellEnd"/>
    </w:p>
    <w:p w14:paraId="2E919054" w14:textId="463D5FBC" w:rsidR="00743FCB" w:rsidRDefault="00743FCB" w:rsidP="00743FCB">
      <w:pPr>
        <w:spacing w:line="480" w:lineRule="auto"/>
        <w:contextualSpacing/>
        <w:rPr>
          <w:iCs/>
        </w:rPr>
      </w:pPr>
      <w:r w:rsidRPr="00743FCB">
        <w:rPr>
          <w:iCs/>
        </w:rPr>
        <w:t xml:space="preserve">Where </w:t>
      </w:r>
      <w:r w:rsidRPr="007041E6">
        <w:rPr>
          <w:i/>
          <w:iCs/>
        </w:rPr>
        <w:t>x</w:t>
      </w:r>
      <w:r w:rsidRPr="00743FCB">
        <w:rPr>
          <w:iCs/>
        </w:rPr>
        <w:t xml:space="preserve"> represents a particular element (in this case nitrogen), </w:t>
      </w:r>
      <w:proofErr w:type="spellStart"/>
      <w:r w:rsidRPr="007041E6">
        <w:rPr>
          <w:i/>
          <w:iCs/>
        </w:rPr>
        <w:t>δ</w:t>
      </w:r>
      <w:r w:rsidRPr="007041E6">
        <w:rPr>
          <w:i/>
          <w:iCs/>
          <w:vertAlign w:val="subscript"/>
        </w:rPr>
        <w:t>x</w:t>
      </w:r>
      <w:proofErr w:type="spellEnd"/>
      <w:r w:rsidRPr="007041E6">
        <w:rPr>
          <w:i/>
          <w:iCs/>
          <w:vertAlign w:val="superscript"/>
        </w:rPr>
        <w:t>∞</w:t>
      </w:r>
      <w:r w:rsidRPr="00743FCB">
        <w:rPr>
          <w:iCs/>
        </w:rPr>
        <w:t xml:space="preserve"> is the asymptotic value </w:t>
      </w:r>
      <w:r w:rsidR="007041E6">
        <w:rPr>
          <w:iCs/>
        </w:rPr>
        <w:t>representing</w:t>
      </w:r>
      <w:r w:rsidRPr="00743FCB">
        <w:rPr>
          <w:iCs/>
        </w:rPr>
        <w:t xml:space="preserve"> steady state is reached with a new diet, </w:t>
      </w:r>
      <w:r w:rsidRPr="007041E6">
        <w:rPr>
          <w:i/>
          <w:iCs/>
        </w:rPr>
        <w:t>δ</w:t>
      </w:r>
      <w:r w:rsidRPr="007041E6">
        <w:rPr>
          <w:i/>
          <w:iCs/>
          <w:vertAlign w:val="subscript"/>
        </w:rPr>
        <w:t>x</w:t>
      </w:r>
      <w:r w:rsidRPr="007041E6">
        <w:rPr>
          <w:i/>
          <w:iCs/>
          <w:vertAlign w:val="superscript"/>
        </w:rPr>
        <w:t>0</w:t>
      </w:r>
      <w:r w:rsidRPr="00743FCB">
        <w:rPr>
          <w:iCs/>
        </w:rPr>
        <w:t xml:space="preserve"> is the initial value of the tissue, and </w:t>
      </w:r>
      <w:r w:rsidRPr="007041E6">
        <w:rPr>
          <w:i/>
          <w:iCs/>
        </w:rPr>
        <w:t xml:space="preserve">λ </w:t>
      </w:r>
      <w:r w:rsidRPr="00743FCB">
        <w:rPr>
          <w:iCs/>
        </w:rPr>
        <w:t xml:space="preserve">is the empirically derived rate constant as described above. </w:t>
      </w:r>
    </w:p>
    <w:p w14:paraId="299CC351" w14:textId="5DFB6555" w:rsidR="00004EEC" w:rsidRPr="00004EEC" w:rsidRDefault="00A25EB6" w:rsidP="00743FCB">
      <w:pPr>
        <w:spacing w:line="480" w:lineRule="auto"/>
        <w:contextualSpacing/>
        <w:rPr>
          <w:i/>
          <w:u w:val="single"/>
        </w:rPr>
      </w:pPr>
      <w:r>
        <w:rPr>
          <w:i/>
          <w:u w:val="single"/>
        </w:rPr>
        <w:t xml:space="preserve">3.3 </w:t>
      </w:r>
      <w:r w:rsidR="00004EEC" w:rsidRPr="00743FCB">
        <w:rPr>
          <w:i/>
          <w:u w:val="single"/>
        </w:rPr>
        <w:t xml:space="preserve">Bulk Stable Isotope </w:t>
      </w:r>
      <w:r w:rsidR="00B8085A">
        <w:rPr>
          <w:i/>
          <w:u w:val="single"/>
        </w:rPr>
        <w:t>Model</w:t>
      </w:r>
    </w:p>
    <w:p w14:paraId="2F141171" w14:textId="6050A2B2" w:rsidR="00743FCB" w:rsidRPr="00743FCB" w:rsidRDefault="00DE5304" w:rsidP="00743FCB">
      <w:pPr>
        <w:spacing w:line="480" w:lineRule="auto"/>
        <w:ind w:firstLine="720"/>
        <w:contextualSpacing/>
        <w:rPr>
          <w:iCs/>
        </w:rPr>
      </w:pPr>
      <w:r>
        <w:rPr>
          <w:iCs/>
        </w:rPr>
        <w:t xml:space="preserve">The objective of our work was to identify the degree to which tissue turnover and variability in stable isotope composition at the base of the food web resulted in </w:t>
      </w:r>
      <w:r w:rsidR="00AB54E1">
        <w:rPr>
          <w:iCs/>
        </w:rPr>
        <w:t>deviations from the true trophic position (Figure 3)</w:t>
      </w:r>
      <w:r w:rsidR="00720574">
        <w:rPr>
          <w:iCs/>
        </w:rPr>
        <w:t xml:space="preserve"> if the </w:t>
      </w:r>
      <w:r w:rsidR="00A028C4">
        <w:rPr>
          <w:iCs/>
        </w:rPr>
        <w:t>consumers and the isotope baseline were sampled</w:t>
      </w:r>
      <w:r w:rsidR="00720574">
        <w:rPr>
          <w:iCs/>
        </w:rPr>
        <w:t xml:space="preserve"> simultaneously and consumers were assumed to be in equilibrium</w:t>
      </w:r>
      <w:r>
        <w:rPr>
          <w:iCs/>
        </w:rPr>
        <w:t>.</w:t>
      </w:r>
      <w:r w:rsidR="00C61FA8">
        <w:rPr>
          <w:iCs/>
        </w:rPr>
        <w:t xml:space="preserve"> The number of trophic transfers </w:t>
      </w:r>
      <w:proofErr w:type="gramStart"/>
      <w:r w:rsidR="00C61FA8">
        <w:rPr>
          <w:iCs/>
        </w:rPr>
        <w:t>are</w:t>
      </w:r>
      <w:proofErr w:type="gramEnd"/>
      <w:r w:rsidR="00C61FA8">
        <w:rPr>
          <w:iCs/>
        </w:rPr>
        <w:t xml:space="preserve"> a known component of the model structure and for all models simulations the true trophic level was </w:t>
      </w:r>
      <w:r w:rsidR="00000956">
        <w:rPr>
          <w:iCs/>
        </w:rPr>
        <w:t>2</w:t>
      </w:r>
      <w:r w:rsidR="00C61FA8">
        <w:rPr>
          <w:iCs/>
        </w:rPr>
        <w:t xml:space="preserve"> for the primary consumer, </w:t>
      </w:r>
      <w:r w:rsidR="00000956">
        <w:rPr>
          <w:iCs/>
        </w:rPr>
        <w:t>3</w:t>
      </w:r>
      <w:r w:rsidR="00C61FA8">
        <w:rPr>
          <w:iCs/>
        </w:rPr>
        <w:t xml:space="preserve"> for the secondary consumer, and </w:t>
      </w:r>
      <w:r w:rsidR="00000956">
        <w:rPr>
          <w:iCs/>
        </w:rPr>
        <w:t>4</w:t>
      </w:r>
      <w:r w:rsidR="00C61FA8">
        <w:rPr>
          <w:iCs/>
        </w:rPr>
        <w:t xml:space="preserve"> for the tertiary consumer.</w:t>
      </w:r>
      <w:r>
        <w:rPr>
          <w:iCs/>
        </w:rPr>
        <w:t xml:space="preserve"> From observed stable isotope baseline data derived from particulate organic matter (POM) </w:t>
      </w:r>
      <w:r w:rsidR="00F81A7C">
        <w:rPr>
          <w:iCs/>
        </w:rPr>
        <w:t xml:space="preserve">(Table 1) </w:t>
      </w:r>
      <w:r>
        <w:rPr>
          <w:iCs/>
        </w:rPr>
        <w:t xml:space="preserve">we modelled the stable isotope </w:t>
      </w:r>
      <w:r w:rsidR="00F81A7C">
        <w:rPr>
          <w:iCs/>
        </w:rPr>
        <w:t>composition</w:t>
      </w:r>
      <w:r>
        <w:rPr>
          <w:iCs/>
        </w:rPr>
        <w:t xml:space="preserve"> of primary, secondary and tertiary consumer</w:t>
      </w:r>
      <w:r w:rsidR="00F81A7C">
        <w:rPr>
          <w:iCs/>
        </w:rPr>
        <w:t xml:space="preserve">s associated with a particular </w:t>
      </w:r>
      <w:r w:rsidR="00C61FA8">
        <w:rPr>
          <w:iCs/>
        </w:rPr>
        <w:t>food web</w:t>
      </w:r>
      <w:r w:rsidR="00F81A7C">
        <w:rPr>
          <w:iCs/>
        </w:rPr>
        <w:t xml:space="preserve"> scenario (Figure 1). </w:t>
      </w:r>
      <w:r w:rsidR="00743FCB" w:rsidRPr="00743FCB">
        <w:rPr>
          <w:iCs/>
        </w:rPr>
        <w:t>δ</w:t>
      </w:r>
      <w:r w:rsidR="00743FCB" w:rsidRPr="00743FCB">
        <w:rPr>
          <w:iCs/>
          <w:vertAlign w:val="superscript"/>
        </w:rPr>
        <w:t>15</w:t>
      </w:r>
      <w:r w:rsidR="00743FCB" w:rsidRPr="00743FCB">
        <w:rPr>
          <w:iCs/>
        </w:rPr>
        <w:t xml:space="preserve">N of </w:t>
      </w:r>
      <w:r w:rsidR="002945E3">
        <w:rPr>
          <w:iCs/>
        </w:rPr>
        <w:t xml:space="preserve">primary </w:t>
      </w:r>
      <w:r w:rsidR="00743FCB" w:rsidRPr="00743FCB">
        <w:rPr>
          <w:iCs/>
        </w:rPr>
        <w:t xml:space="preserve">consumers was estimated using first order mixing of a </w:t>
      </w:r>
      <w:r w:rsidR="0037501C" w:rsidRPr="00743FCB">
        <w:rPr>
          <w:iCs/>
        </w:rPr>
        <w:t>well-mixed</w:t>
      </w:r>
      <w:r w:rsidR="00743FCB" w:rsidRPr="00743FCB">
        <w:rPr>
          <w:iCs/>
        </w:rPr>
        <w:t xml:space="preserve"> pool where: </w:t>
      </w:r>
    </w:p>
    <w:p w14:paraId="560D885D" w14:textId="64BC752B" w:rsidR="00743FCB" w:rsidRPr="00743FCB" w:rsidRDefault="00743FCB" w:rsidP="00743FCB">
      <w:pPr>
        <w:spacing w:line="480" w:lineRule="auto"/>
        <w:contextualSpacing/>
        <w:rPr>
          <w:iCs/>
        </w:rPr>
      </w:pPr>
      <w:r w:rsidRPr="00743FCB">
        <w:rPr>
          <w:b/>
          <w:iCs/>
        </w:rPr>
        <w:t xml:space="preserve">(11) </w:t>
      </w:r>
      <w:r w:rsidRPr="00743FCB">
        <w:rPr>
          <w:iCs/>
        </w:rPr>
        <w:t>δ</w:t>
      </w:r>
      <w:r w:rsidRPr="00743FCB">
        <w:rPr>
          <w:iCs/>
          <w:vertAlign w:val="superscript"/>
        </w:rPr>
        <w:t>15</w:t>
      </w:r>
      <w:r w:rsidRPr="00743FCB">
        <w:rPr>
          <w:iCs/>
        </w:rPr>
        <w:t>N</w:t>
      </w:r>
      <w:r w:rsidR="00B8085A">
        <w:rPr>
          <w:iCs/>
          <w:vertAlign w:val="subscript"/>
        </w:rPr>
        <w:t>TL</w:t>
      </w:r>
      <w:r w:rsidRPr="00743FCB">
        <w:rPr>
          <w:iCs/>
          <w:vertAlign w:val="subscript"/>
        </w:rPr>
        <w:t xml:space="preserve">, t=0 </w:t>
      </w:r>
      <w:r w:rsidRPr="00743FCB">
        <w:rPr>
          <w:iCs/>
        </w:rPr>
        <w:t>= δ</w:t>
      </w:r>
      <w:r w:rsidRPr="00743FCB">
        <w:rPr>
          <w:iCs/>
          <w:vertAlign w:val="superscript"/>
        </w:rPr>
        <w:t>15</w:t>
      </w:r>
      <w:r w:rsidRPr="00743FCB">
        <w:rPr>
          <w:iCs/>
        </w:rPr>
        <w:t>N</w:t>
      </w:r>
      <w:r w:rsidR="00B8085A">
        <w:rPr>
          <w:iCs/>
          <w:vertAlign w:val="subscript"/>
        </w:rPr>
        <w:t>TL-1</w:t>
      </w:r>
      <w:r w:rsidRPr="00743FCB">
        <w:rPr>
          <w:iCs/>
          <w:vertAlign w:val="subscript"/>
        </w:rPr>
        <w:t xml:space="preserve">, t=1 </w:t>
      </w:r>
      <w:r w:rsidRPr="00743FCB">
        <w:rPr>
          <w:iCs/>
        </w:rPr>
        <w:t>+ TEF</w:t>
      </w:r>
    </w:p>
    <w:p w14:paraId="73CED805" w14:textId="7E597C80" w:rsidR="00743FCB" w:rsidRPr="00743FCB" w:rsidRDefault="00743FCB" w:rsidP="00743FCB">
      <w:pPr>
        <w:spacing w:line="480" w:lineRule="auto"/>
        <w:contextualSpacing/>
        <w:rPr>
          <w:iCs/>
        </w:rPr>
      </w:pPr>
      <w:r w:rsidRPr="00743FCB">
        <w:rPr>
          <w:iCs/>
        </w:rPr>
        <w:t>And</w:t>
      </w:r>
    </w:p>
    <w:p w14:paraId="3E811E68" w14:textId="759DF692" w:rsidR="00743FCB" w:rsidRDefault="00743FCB" w:rsidP="00743FCB">
      <w:pPr>
        <w:spacing w:line="480" w:lineRule="auto"/>
        <w:contextualSpacing/>
        <w:rPr>
          <w:iCs/>
        </w:rPr>
      </w:pPr>
      <w:r w:rsidRPr="00743FCB">
        <w:rPr>
          <w:b/>
          <w:iCs/>
        </w:rPr>
        <w:t xml:space="preserve">(12) </w:t>
      </w:r>
      <w:r w:rsidRPr="00743FCB">
        <w:rPr>
          <w:iCs/>
        </w:rPr>
        <w:t xml:space="preserve"> δ</w:t>
      </w:r>
      <w:r w:rsidRPr="00743FCB">
        <w:rPr>
          <w:iCs/>
          <w:vertAlign w:val="superscript"/>
        </w:rPr>
        <w:t>15</w:t>
      </w:r>
      <w:r w:rsidRPr="00743FCB">
        <w:rPr>
          <w:iCs/>
        </w:rPr>
        <w:t>N</w:t>
      </w:r>
      <w:r w:rsidR="00B8085A">
        <w:rPr>
          <w:iCs/>
          <w:vertAlign w:val="subscript"/>
        </w:rPr>
        <w:t>TL</w:t>
      </w:r>
      <w:r w:rsidRPr="00743FCB">
        <w:rPr>
          <w:iCs/>
          <w:vertAlign w:val="subscript"/>
        </w:rPr>
        <w:t>, t</w:t>
      </w:r>
      <w:r w:rsidRPr="00743FCB">
        <w:rPr>
          <w:iCs/>
        </w:rPr>
        <w:t xml:space="preserve"> </w:t>
      </w:r>
      <w:proofErr w:type="gramStart"/>
      <w:r w:rsidRPr="00743FCB">
        <w:rPr>
          <w:iCs/>
        </w:rPr>
        <w:t>=  (</w:t>
      </w:r>
      <w:proofErr w:type="gramEnd"/>
      <w:r w:rsidRPr="00743FCB">
        <w:rPr>
          <w:iCs/>
        </w:rPr>
        <w:t>δ</w:t>
      </w:r>
      <w:r w:rsidRPr="00743FCB">
        <w:rPr>
          <w:iCs/>
          <w:vertAlign w:val="superscript"/>
        </w:rPr>
        <w:t>15</w:t>
      </w:r>
      <w:r w:rsidRPr="00743FCB">
        <w:rPr>
          <w:iCs/>
        </w:rPr>
        <w:t>N</w:t>
      </w:r>
      <w:r w:rsidR="00B8085A">
        <w:rPr>
          <w:iCs/>
          <w:vertAlign w:val="subscript"/>
        </w:rPr>
        <w:t>TL-1</w:t>
      </w:r>
      <w:r w:rsidRPr="00743FCB">
        <w:rPr>
          <w:iCs/>
          <w:vertAlign w:val="subscript"/>
        </w:rPr>
        <w:t>, t-1</w:t>
      </w:r>
      <w:r w:rsidRPr="00743FCB">
        <w:rPr>
          <w:iCs/>
        </w:rPr>
        <w:t xml:space="preserve"> + TEF) * 1 – </w:t>
      </w:r>
      <w:proofErr w:type="spellStart"/>
      <w:r w:rsidRPr="00743FCB">
        <w:rPr>
          <w:iCs/>
        </w:rPr>
        <w:t>exp</w:t>
      </w:r>
      <w:proofErr w:type="spellEnd"/>
      <w:r w:rsidRPr="00743FCB">
        <w:rPr>
          <w:iCs/>
        </w:rPr>
        <w:t>(</w:t>
      </w:r>
      <w:r w:rsidR="00602826" w:rsidRPr="00743FCB">
        <w:rPr>
          <w:iCs/>
        </w:rPr>
        <w:t>λ</w:t>
      </w:r>
      <w:r w:rsidRPr="00743FCB">
        <w:rPr>
          <w:iCs/>
        </w:rPr>
        <w:t>)</w:t>
      </w:r>
    </w:p>
    <w:p w14:paraId="79378537" w14:textId="2A477799" w:rsidR="00F36CC9" w:rsidRDefault="00F36CC9" w:rsidP="00F36CC9">
      <w:pPr>
        <w:spacing w:line="480" w:lineRule="auto"/>
        <w:contextualSpacing/>
        <w:rPr>
          <w:iCs/>
        </w:rPr>
      </w:pPr>
      <w:r>
        <w:rPr>
          <w:iCs/>
        </w:rPr>
        <w:t xml:space="preserve">And trophic position was calculated from estimated </w:t>
      </w:r>
      <w:r w:rsidRPr="00743FCB">
        <w:rPr>
          <w:iCs/>
        </w:rPr>
        <w:t>δ</w:t>
      </w:r>
      <w:r w:rsidRPr="00743FCB">
        <w:rPr>
          <w:iCs/>
          <w:vertAlign w:val="superscript"/>
        </w:rPr>
        <w:t>15</w:t>
      </w:r>
      <w:r w:rsidRPr="00743FCB">
        <w:rPr>
          <w:iCs/>
        </w:rPr>
        <w:t>N</w:t>
      </w:r>
      <w:r>
        <w:rPr>
          <w:iCs/>
        </w:rPr>
        <w:t xml:space="preserve"> as:</w:t>
      </w:r>
    </w:p>
    <w:p w14:paraId="61FE96D3" w14:textId="15457EC3" w:rsidR="00F36CC9" w:rsidRDefault="00F36CC9" w:rsidP="00F36CC9">
      <w:pPr>
        <w:spacing w:line="480" w:lineRule="auto"/>
        <w:contextualSpacing/>
        <w:rPr>
          <w:iCs/>
        </w:rPr>
      </w:pPr>
      <w:r w:rsidRPr="00743FCB">
        <w:rPr>
          <w:b/>
          <w:iCs/>
        </w:rPr>
        <w:t xml:space="preserve">(13) </w:t>
      </w:r>
      <w:r w:rsidRPr="00743FCB">
        <w:rPr>
          <w:iCs/>
        </w:rPr>
        <w:t>TP = δ</w:t>
      </w:r>
      <w:r w:rsidRPr="00743FCB">
        <w:rPr>
          <w:iCs/>
          <w:vertAlign w:val="superscript"/>
        </w:rPr>
        <w:t>15</w:t>
      </w:r>
      <w:r w:rsidRPr="00743FCB">
        <w:rPr>
          <w:iCs/>
        </w:rPr>
        <w:t>N</w:t>
      </w:r>
      <w:r w:rsidR="00B8085A">
        <w:rPr>
          <w:iCs/>
          <w:vertAlign w:val="subscript"/>
        </w:rPr>
        <w:t>TL</w:t>
      </w:r>
      <w:r w:rsidRPr="00743FCB">
        <w:rPr>
          <w:iCs/>
        </w:rPr>
        <w:t>- δ</w:t>
      </w:r>
      <w:r w:rsidRPr="00743FCB">
        <w:rPr>
          <w:iCs/>
          <w:vertAlign w:val="superscript"/>
        </w:rPr>
        <w:t>15</w:t>
      </w:r>
      <w:r w:rsidRPr="00743FCB">
        <w:rPr>
          <w:iCs/>
        </w:rPr>
        <w:t>N</w:t>
      </w:r>
      <w:r w:rsidR="00B8085A">
        <w:rPr>
          <w:iCs/>
          <w:vertAlign w:val="subscript"/>
        </w:rPr>
        <w:t>TL</w:t>
      </w:r>
      <w:r w:rsidR="009A0143">
        <w:rPr>
          <w:iCs/>
          <w:vertAlign w:val="subscript"/>
        </w:rPr>
        <w:t>=</w:t>
      </w:r>
      <w:r w:rsidR="00B8085A">
        <w:rPr>
          <w:iCs/>
          <w:vertAlign w:val="subscript"/>
        </w:rPr>
        <w:t>1</w:t>
      </w:r>
      <w:r w:rsidRPr="00743FCB">
        <w:rPr>
          <w:iCs/>
        </w:rPr>
        <w:t>/TEF+1</w:t>
      </w:r>
    </w:p>
    <w:p w14:paraId="773FB1FF" w14:textId="0D9049BE" w:rsidR="00743FCB" w:rsidRDefault="00DD5050" w:rsidP="00743FCB">
      <w:pPr>
        <w:spacing w:line="480" w:lineRule="auto"/>
        <w:contextualSpacing/>
        <w:rPr>
          <w:iCs/>
        </w:rPr>
      </w:pPr>
      <w:r>
        <w:rPr>
          <w:iCs/>
        </w:rPr>
        <w:lastRenderedPageBreak/>
        <w:t xml:space="preserve">Where </w:t>
      </w:r>
      <w:r w:rsidRPr="00562CFA">
        <w:rPr>
          <w:i/>
          <w:iCs/>
        </w:rPr>
        <w:t>δ</w:t>
      </w:r>
      <w:r w:rsidRPr="00562CFA">
        <w:rPr>
          <w:i/>
          <w:iCs/>
          <w:vertAlign w:val="superscript"/>
        </w:rPr>
        <w:t>15</w:t>
      </w:r>
      <w:r w:rsidRPr="00562CFA">
        <w:rPr>
          <w:i/>
          <w:iCs/>
        </w:rPr>
        <w:t>N</w:t>
      </w:r>
      <w:r>
        <w:rPr>
          <w:i/>
          <w:iCs/>
          <w:vertAlign w:val="subscript"/>
        </w:rPr>
        <w:t>TL</w:t>
      </w:r>
      <w:r w:rsidRPr="00562CFA">
        <w:rPr>
          <w:i/>
          <w:iCs/>
        </w:rPr>
        <w:t xml:space="preserve"> </w:t>
      </w:r>
      <w:r>
        <w:rPr>
          <w:iCs/>
        </w:rPr>
        <w:t xml:space="preserve">is the </w:t>
      </w:r>
      <w:r w:rsidRPr="00DD5050">
        <w:rPr>
          <w:iCs/>
        </w:rPr>
        <w:t>δ</w:t>
      </w:r>
      <w:r w:rsidRPr="00DD5050">
        <w:rPr>
          <w:iCs/>
          <w:vertAlign w:val="superscript"/>
        </w:rPr>
        <w:t>15</w:t>
      </w:r>
      <w:r w:rsidRPr="00DD5050">
        <w:rPr>
          <w:iCs/>
        </w:rPr>
        <w:t>N</w:t>
      </w:r>
      <w:r>
        <w:rPr>
          <w:iCs/>
        </w:rPr>
        <w:t xml:space="preserve"> value for a consumer at trophic level </w:t>
      </w:r>
      <w:r>
        <w:rPr>
          <w:i/>
          <w:iCs/>
        </w:rPr>
        <w:t>TL</w:t>
      </w:r>
      <w:r>
        <w:rPr>
          <w:iCs/>
        </w:rPr>
        <w:t>.</w:t>
      </w:r>
      <w:r>
        <w:rPr>
          <w:i/>
          <w:iCs/>
        </w:rPr>
        <w:t xml:space="preserve"> </w:t>
      </w:r>
      <w:r w:rsidR="00562CFA" w:rsidRPr="00562CFA">
        <w:rPr>
          <w:i/>
          <w:iCs/>
        </w:rPr>
        <w:t>δ</w:t>
      </w:r>
      <w:r w:rsidR="00562CFA" w:rsidRPr="00562CFA">
        <w:rPr>
          <w:i/>
          <w:iCs/>
          <w:vertAlign w:val="superscript"/>
        </w:rPr>
        <w:t>15</w:t>
      </w:r>
      <w:r w:rsidR="00562CFA" w:rsidRPr="00562CFA">
        <w:rPr>
          <w:i/>
          <w:iCs/>
        </w:rPr>
        <w:t>N</w:t>
      </w:r>
      <w:r>
        <w:rPr>
          <w:i/>
          <w:iCs/>
          <w:vertAlign w:val="subscript"/>
        </w:rPr>
        <w:t xml:space="preserve">TL </w:t>
      </w:r>
      <w:r>
        <w:rPr>
          <w:iCs/>
        </w:rPr>
        <w:t xml:space="preserve">where </w:t>
      </w:r>
      <w:r w:rsidRPr="00DD5050">
        <w:rPr>
          <w:i/>
          <w:iCs/>
        </w:rPr>
        <w:t>TL</w:t>
      </w:r>
      <w:r w:rsidRPr="00DD5050">
        <w:rPr>
          <w:iCs/>
        </w:rPr>
        <w:t xml:space="preserve"> is 1 represents the </w:t>
      </w:r>
      <w:r w:rsidRPr="00DD5050">
        <w:rPr>
          <w:i/>
          <w:iCs/>
        </w:rPr>
        <w:t>δ</w:t>
      </w:r>
      <w:r w:rsidRPr="00DD5050">
        <w:rPr>
          <w:i/>
          <w:iCs/>
          <w:vertAlign w:val="superscript"/>
        </w:rPr>
        <w:t>15</w:t>
      </w:r>
      <w:r w:rsidRPr="00DD5050">
        <w:rPr>
          <w:i/>
          <w:iCs/>
        </w:rPr>
        <w:t>N</w:t>
      </w:r>
      <w:r w:rsidRPr="00DD5050">
        <w:rPr>
          <w:i/>
          <w:iCs/>
          <w:vertAlign w:val="subscript"/>
        </w:rPr>
        <w:t xml:space="preserve"> </w:t>
      </w:r>
      <w:r w:rsidRPr="00DD5050">
        <w:rPr>
          <w:iCs/>
        </w:rPr>
        <w:t>of the base of the food</w:t>
      </w:r>
      <w:r>
        <w:rPr>
          <w:iCs/>
        </w:rPr>
        <w:t xml:space="preserve"> </w:t>
      </w:r>
      <w:r w:rsidRPr="00DD5050">
        <w:rPr>
          <w:iCs/>
        </w:rPr>
        <w:t xml:space="preserve">web, which </w:t>
      </w:r>
      <w:r w:rsidR="00562CFA" w:rsidRPr="00DD5050">
        <w:rPr>
          <w:iCs/>
        </w:rPr>
        <w:t xml:space="preserve">was </w:t>
      </w:r>
      <w:r w:rsidR="00562CFA">
        <w:rPr>
          <w:iCs/>
        </w:rPr>
        <w:t>derived from observational studies</w:t>
      </w:r>
      <w:r w:rsidR="00F179B6">
        <w:rPr>
          <w:iCs/>
        </w:rPr>
        <w:t xml:space="preserve">. </w:t>
      </w:r>
      <w:r w:rsidR="00F179B6" w:rsidRPr="00743FCB">
        <w:t xml:space="preserve">The rate of tissue turnover for nitrogen isotopes is typically measured on the time scale of hours or days and thus daily values of the nitrogen isotope baseline is necessary to model isotopic incorporation by consumers. However, studies collect stable isotope data from POM and primary producers </w:t>
      </w:r>
      <w:r w:rsidR="00DB4547">
        <w:t>on weekly and monthly scales</w:t>
      </w:r>
      <w:r w:rsidR="00F179B6" w:rsidRPr="00743FCB">
        <w:t xml:space="preserve">. </w:t>
      </w:r>
      <w:r w:rsidR="00E26C83" w:rsidRPr="00743FCB">
        <w:t>Th</w:t>
      </w:r>
      <w:r w:rsidR="00E26C83">
        <w:t>erefore,</w:t>
      </w:r>
      <w:r w:rsidR="00F179B6" w:rsidRPr="00743FCB">
        <w:t xml:space="preserve"> we linearly interpolated nitrogen stable isotope values between observations in order to approximate daily changes in the isotopic baseline</w:t>
      </w:r>
      <w:r w:rsidR="009A0143">
        <w:rPr>
          <w:iCs/>
        </w:rPr>
        <w:t xml:space="preserve"> (Table 1)</w:t>
      </w:r>
      <w:r w:rsidR="00562CFA">
        <w:rPr>
          <w:iCs/>
        </w:rPr>
        <w:t>.</w:t>
      </w:r>
      <w:r w:rsidR="00562CFA" w:rsidRPr="00562CFA">
        <w:rPr>
          <w:i/>
          <w:iCs/>
        </w:rPr>
        <w:t xml:space="preserve"> </w:t>
      </w:r>
      <w:r w:rsidR="00743FCB" w:rsidRPr="00562CFA">
        <w:rPr>
          <w:i/>
          <w:iCs/>
        </w:rPr>
        <w:t xml:space="preserve">TEF </w:t>
      </w:r>
      <w:r w:rsidR="00743FCB" w:rsidRPr="00743FCB">
        <w:rPr>
          <w:iCs/>
        </w:rPr>
        <w:t xml:space="preserve">was assumed to be </w:t>
      </w:r>
      <w:r w:rsidR="00F36CC9">
        <w:rPr>
          <w:iCs/>
        </w:rPr>
        <w:t xml:space="preserve">known and the canonical value of </w:t>
      </w:r>
      <w:r w:rsidR="00743FCB" w:rsidRPr="00743FCB">
        <w:rPr>
          <w:iCs/>
        </w:rPr>
        <w:t xml:space="preserve">3.4 per </w:t>
      </w:r>
      <w:proofErr w:type="spellStart"/>
      <w:r w:rsidR="00743FCB" w:rsidRPr="00743FCB">
        <w:rPr>
          <w:iCs/>
        </w:rPr>
        <w:t>mil</w:t>
      </w:r>
      <w:r w:rsidR="0037501C">
        <w:rPr>
          <w:iCs/>
        </w:rPr>
        <w:t>le</w:t>
      </w:r>
      <w:proofErr w:type="spellEnd"/>
      <w:r w:rsidR="00F36CC9">
        <w:rPr>
          <w:iCs/>
        </w:rPr>
        <w:t xml:space="preserve"> was applied</w:t>
      </w:r>
      <w:r w:rsidR="00743FCB" w:rsidRPr="00743FCB">
        <w:rPr>
          <w:iCs/>
        </w:rPr>
        <w:t>.</w:t>
      </w:r>
      <w:r w:rsidR="00F36CC9">
        <w:rPr>
          <w:iCs/>
        </w:rPr>
        <w:t xml:space="preserve"> </w:t>
      </w:r>
      <w:r w:rsidR="00743FCB" w:rsidRPr="00743FCB">
        <w:rPr>
          <w:iCs/>
        </w:rPr>
        <w:t>Trophic position was then calculated</w:t>
      </w:r>
      <w:r w:rsidR="00B8085A">
        <w:rPr>
          <w:iCs/>
        </w:rPr>
        <w:t xml:space="preserve"> by applying equation 13. F</w:t>
      </w:r>
      <w:r w:rsidR="00DA34C2">
        <w:rPr>
          <w:iCs/>
        </w:rPr>
        <w:t xml:space="preserve">inally, an </w:t>
      </w:r>
      <w:r w:rsidR="00743FCB" w:rsidRPr="00743FCB">
        <w:rPr>
          <w:iCs/>
        </w:rPr>
        <w:t>effect size was estimated as the magnitude and duration the calculated TP deviated from the true TP</w:t>
      </w:r>
      <w:r w:rsidR="00C24196">
        <w:rPr>
          <w:iCs/>
        </w:rPr>
        <w:t xml:space="preserve"> (Figure 3)</w:t>
      </w:r>
      <w:r w:rsidR="00743FCB" w:rsidRPr="00743FCB">
        <w:rPr>
          <w:iCs/>
        </w:rPr>
        <w:t>:</w:t>
      </w:r>
    </w:p>
    <w:p w14:paraId="73C17FD0" w14:textId="6298E27A" w:rsidR="00DA34C2" w:rsidRPr="00DA34C2" w:rsidRDefault="00DA34C2" w:rsidP="00DA34C2">
      <w:pPr>
        <w:spacing w:line="480" w:lineRule="auto"/>
        <w:contextualSpacing/>
        <w:rPr>
          <w:iCs/>
        </w:rPr>
      </w:pPr>
      <w:r w:rsidRPr="00743FCB">
        <w:rPr>
          <w:b/>
          <w:iCs/>
        </w:rPr>
        <w:t>(1</w:t>
      </w:r>
      <w:r>
        <w:rPr>
          <w:b/>
          <w:iCs/>
        </w:rPr>
        <w:t>4</w:t>
      </w:r>
      <w:r w:rsidRPr="00743FCB">
        <w:rPr>
          <w:b/>
          <w:iCs/>
        </w:rPr>
        <w:t xml:space="preserve">) </w:t>
      </w:r>
      <w:proofErr w:type="spellStart"/>
      <w:r w:rsidRPr="00743FCB">
        <w:rPr>
          <w:iCs/>
        </w:rPr>
        <w:t>TP</w:t>
      </w:r>
      <w:r>
        <w:rPr>
          <w:iCs/>
          <w:vertAlign w:val="subscript"/>
        </w:rPr>
        <w:t>Dev</w:t>
      </w:r>
      <w:proofErr w:type="spellEnd"/>
      <w:r w:rsidR="00F179B6">
        <w:rPr>
          <w:iCs/>
          <w:vertAlign w:val="subscript"/>
        </w:rPr>
        <w:t>, TL</w:t>
      </w:r>
      <w:r w:rsidRPr="00743FCB">
        <w:rPr>
          <w:iCs/>
        </w:rPr>
        <w:t xml:space="preserve"> = </w:t>
      </w:r>
      <w:r>
        <w:rPr>
          <w:iCs/>
        </w:rPr>
        <w:t>TP</w:t>
      </w:r>
      <w:r w:rsidRPr="00743FCB">
        <w:rPr>
          <w:iCs/>
        </w:rPr>
        <w:t xml:space="preserve">- </w:t>
      </w:r>
      <w:r>
        <w:rPr>
          <w:iCs/>
        </w:rPr>
        <w:t>TP</w:t>
      </w:r>
      <w:r>
        <w:rPr>
          <w:iCs/>
          <w:vertAlign w:val="subscript"/>
        </w:rPr>
        <w:t>T</w:t>
      </w:r>
      <w:r w:rsidR="00F179B6">
        <w:rPr>
          <w:iCs/>
          <w:vertAlign w:val="subscript"/>
        </w:rPr>
        <w:t>L</w:t>
      </w:r>
    </w:p>
    <w:p w14:paraId="047927A8" w14:textId="0D33E357" w:rsidR="00DA34C2" w:rsidRPr="00A25EB6" w:rsidRDefault="00DA34C2" w:rsidP="00743FCB">
      <w:pPr>
        <w:spacing w:line="480" w:lineRule="auto"/>
        <w:contextualSpacing/>
        <w:rPr>
          <w:iCs/>
        </w:rPr>
      </w:pPr>
      <w:r>
        <w:rPr>
          <w:iCs/>
        </w:rPr>
        <w:t xml:space="preserve">Where </w:t>
      </w:r>
      <w:r w:rsidRPr="009E3AAF">
        <w:rPr>
          <w:i/>
          <w:iCs/>
        </w:rPr>
        <w:t>TP</w:t>
      </w:r>
      <w:r w:rsidRPr="009E3AAF">
        <w:rPr>
          <w:i/>
          <w:iCs/>
          <w:vertAlign w:val="subscript"/>
        </w:rPr>
        <w:t>T</w:t>
      </w:r>
      <w:r w:rsidR="00F179B6" w:rsidRPr="009E3AAF">
        <w:rPr>
          <w:i/>
          <w:iCs/>
          <w:vertAlign w:val="subscript"/>
        </w:rPr>
        <w:t>L</w:t>
      </w:r>
      <w:r w:rsidR="00F179B6" w:rsidRPr="009E3AAF">
        <w:rPr>
          <w:i/>
          <w:iCs/>
        </w:rPr>
        <w:t xml:space="preserve"> </w:t>
      </w:r>
      <w:r w:rsidR="00F179B6">
        <w:rPr>
          <w:iCs/>
        </w:rPr>
        <w:t>represents the true trophic position (</w:t>
      </w:r>
      <w:r w:rsidR="00F179B6" w:rsidRPr="009E3AAF">
        <w:rPr>
          <w:i/>
          <w:iCs/>
        </w:rPr>
        <w:t>TL</w:t>
      </w:r>
      <w:r w:rsidR="00F179B6">
        <w:rPr>
          <w:iCs/>
        </w:rPr>
        <w:t xml:space="preserve"> = 2:4) of primary, secondary, and tertiary consumers. </w:t>
      </w:r>
      <w:r w:rsidR="009E3AAF">
        <w:rPr>
          <w:iCs/>
        </w:rPr>
        <w:t xml:space="preserve">Duration of deviation was determined by summing the number of days </w:t>
      </w:r>
      <w:proofErr w:type="spellStart"/>
      <w:r w:rsidR="009E3AAF" w:rsidRPr="009E3AAF">
        <w:rPr>
          <w:i/>
          <w:iCs/>
        </w:rPr>
        <w:t>TP</w:t>
      </w:r>
      <w:r w:rsidR="009E3AAF" w:rsidRPr="009E3AAF">
        <w:rPr>
          <w:i/>
          <w:iCs/>
          <w:vertAlign w:val="subscript"/>
        </w:rPr>
        <w:t>Dev</w:t>
      </w:r>
      <w:proofErr w:type="spellEnd"/>
      <w:r w:rsidR="009E3AAF" w:rsidRPr="009E3AAF">
        <w:rPr>
          <w:i/>
          <w:iCs/>
          <w:vertAlign w:val="subscript"/>
        </w:rPr>
        <w:t>, TL</w:t>
      </w:r>
      <w:r w:rsidR="009E3AAF" w:rsidRPr="00743FCB">
        <w:rPr>
          <w:iCs/>
        </w:rPr>
        <w:t xml:space="preserve"> </w:t>
      </w:r>
      <w:r w:rsidR="009E3AAF">
        <w:rPr>
          <w:iCs/>
        </w:rPr>
        <w:t xml:space="preserve">was </w:t>
      </w:r>
      <w:r w:rsidR="00E26C83" w:rsidRPr="000D0D5E">
        <w:t>±</w:t>
      </w:r>
      <w:r w:rsidR="00E26C83">
        <w:t xml:space="preserve"> </w:t>
      </w:r>
      <w:r w:rsidR="009E3AAF">
        <w:rPr>
          <w:iCs/>
        </w:rPr>
        <w:t>0.</w:t>
      </w:r>
      <w:r w:rsidR="00C24196">
        <w:rPr>
          <w:iCs/>
        </w:rPr>
        <w:t>2</w:t>
      </w:r>
      <w:r w:rsidR="009E3AAF">
        <w:rPr>
          <w:iCs/>
        </w:rPr>
        <w:t xml:space="preserve"> for each </w:t>
      </w:r>
      <w:r w:rsidR="009E3AAF" w:rsidRPr="009E3AAF">
        <w:rPr>
          <w:i/>
          <w:iCs/>
        </w:rPr>
        <w:t>TL</w:t>
      </w:r>
      <w:r w:rsidR="00B27232">
        <w:rPr>
          <w:i/>
          <w:iCs/>
        </w:rPr>
        <w:t xml:space="preserve"> </w:t>
      </w:r>
      <w:r w:rsidR="00B27232">
        <w:rPr>
          <w:iCs/>
        </w:rPr>
        <w:t>(Figure 3)</w:t>
      </w:r>
      <w:r w:rsidR="009E3AAF">
        <w:rPr>
          <w:iCs/>
        </w:rPr>
        <w:t xml:space="preserve">. </w:t>
      </w:r>
      <w:r w:rsidR="00F179B6" w:rsidRPr="009E3AAF">
        <w:rPr>
          <w:iCs/>
        </w:rPr>
        <w:t>This</w:t>
      </w:r>
      <w:r w:rsidR="00F179B6">
        <w:rPr>
          <w:iCs/>
        </w:rPr>
        <w:t xml:space="preserve"> model assumed</w:t>
      </w:r>
      <w:r w:rsidR="005400F7">
        <w:rPr>
          <w:iCs/>
        </w:rPr>
        <w:t xml:space="preserve"> </w:t>
      </w:r>
      <w:r w:rsidR="00A25EB6">
        <w:rPr>
          <w:iCs/>
        </w:rPr>
        <w:t>the sta</w:t>
      </w:r>
      <w:r w:rsidR="009E3AAF">
        <w:rPr>
          <w:iCs/>
        </w:rPr>
        <w:t>b</w:t>
      </w:r>
      <w:r w:rsidR="00A25EB6">
        <w:rPr>
          <w:iCs/>
        </w:rPr>
        <w:t xml:space="preserve">le isotope signature of the base of the food web, </w:t>
      </w:r>
      <w:r w:rsidR="00A25EB6" w:rsidRPr="009E3AAF">
        <w:rPr>
          <w:i/>
          <w:iCs/>
        </w:rPr>
        <w:t xml:space="preserve">TEF </w:t>
      </w:r>
      <w:r w:rsidR="00A25EB6">
        <w:rPr>
          <w:iCs/>
        </w:rPr>
        <w:t xml:space="preserve">and </w:t>
      </w:r>
      <w:r w:rsidR="00A25EB6" w:rsidRPr="009E3AAF">
        <w:rPr>
          <w:i/>
          <w:iCs/>
        </w:rPr>
        <w:t>t</w:t>
      </w:r>
      <w:r w:rsidR="00A25EB6" w:rsidRPr="009E3AAF">
        <w:rPr>
          <w:i/>
          <w:iCs/>
          <w:vertAlign w:val="subscript"/>
        </w:rPr>
        <w:t>α</w:t>
      </w:r>
      <w:r w:rsidR="00A25EB6">
        <w:rPr>
          <w:iCs/>
          <w:vertAlign w:val="subscript"/>
        </w:rPr>
        <w:t xml:space="preserve"> </w:t>
      </w:r>
      <w:r w:rsidR="00A25EB6">
        <w:rPr>
          <w:iCs/>
        </w:rPr>
        <w:t xml:space="preserve">where known. </w:t>
      </w:r>
    </w:p>
    <w:p w14:paraId="41C5EED1" w14:textId="27325171" w:rsidR="00997F37" w:rsidRDefault="00A25EB6" w:rsidP="00730507">
      <w:pPr>
        <w:spacing w:line="480" w:lineRule="auto"/>
        <w:rPr>
          <w:i/>
          <w:u w:val="single"/>
        </w:rPr>
      </w:pPr>
      <w:r>
        <w:rPr>
          <w:i/>
          <w:u w:val="single"/>
        </w:rPr>
        <w:t xml:space="preserve">3.4 </w:t>
      </w:r>
      <w:r w:rsidR="00997F37">
        <w:rPr>
          <w:i/>
          <w:u w:val="single"/>
        </w:rPr>
        <w:t xml:space="preserve">Compound Specific Stable Isotope </w:t>
      </w:r>
      <w:r w:rsidR="006476A2">
        <w:rPr>
          <w:i/>
          <w:u w:val="single"/>
        </w:rPr>
        <w:t>Model</w:t>
      </w:r>
    </w:p>
    <w:p w14:paraId="506B2687" w14:textId="4535B9B0" w:rsidR="003E702E" w:rsidRDefault="003E702E" w:rsidP="001C7B0C">
      <w:pPr>
        <w:spacing w:before="240" w:line="480" w:lineRule="auto"/>
      </w:pPr>
      <w:r>
        <w:tab/>
      </w:r>
      <w:r w:rsidR="00B27232">
        <w:t>Diet</w:t>
      </w:r>
      <w:r w:rsidR="001C7B0C">
        <w:t xml:space="preserve"> switching studies </w:t>
      </w:r>
      <w:r w:rsidR="00B27232">
        <w:t>that report the isotope turnover rates for</w:t>
      </w:r>
      <w:r w:rsidR="001C7B0C">
        <w:t xml:space="preserve"> individual amino acids are </w:t>
      </w:r>
      <w:r w:rsidR="007E7816">
        <w:t xml:space="preserve">currently </w:t>
      </w:r>
      <w:r w:rsidR="001C7B0C">
        <w:t>rare in stable isotope literature. For the CSIA model</w:t>
      </w:r>
      <w:r w:rsidR="007E7816">
        <w:t xml:space="preserve"> simulations</w:t>
      </w:r>
      <w:r w:rsidR="001C7B0C">
        <w:t xml:space="preserve"> we applied our modelling framework to two consumers</w:t>
      </w:r>
      <w:r w:rsidR="001E4741">
        <w:t xml:space="preserve"> with known </w:t>
      </w:r>
      <w:r w:rsidR="00B27232">
        <w:t>isotope</w:t>
      </w:r>
      <w:r w:rsidR="001E4741">
        <w:t xml:space="preserve"> turnover </w:t>
      </w:r>
      <w:r w:rsidR="00B27232">
        <w:t>rates</w:t>
      </w:r>
      <w:r w:rsidR="001E4741">
        <w:t xml:space="preserve"> for individual amino acids</w:t>
      </w:r>
      <w:r w:rsidR="001C7B0C">
        <w:t>, bluefin tuna (</w:t>
      </w:r>
      <w:proofErr w:type="spellStart"/>
      <w:r w:rsidR="001C7B0C">
        <w:rPr>
          <w:i/>
        </w:rPr>
        <w:t>Thunnus</w:t>
      </w:r>
      <w:proofErr w:type="spellEnd"/>
      <w:r w:rsidR="001C7B0C">
        <w:rPr>
          <w:i/>
        </w:rPr>
        <w:t xml:space="preserve"> </w:t>
      </w:r>
      <w:proofErr w:type="spellStart"/>
      <w:r w:rsidR="001C7B0C">
        <w:rPr>
          <w:i/>
        </w:rPr>
        <w:t>orientalis</w:t>
      </w:r>
      <w:proofErr w:type="spellEnd"/>
      <w:r w:rsidR="001C7B0C">
        <w:t>; Bradley et al. 2014) and Pacific white shrimp (</w:t>
      </w:r>
      <w:proofErr w:type="spellStart"/>
      <w:r w:rsidR="001C7B0C">
        <w:rPr>
          <w:i/>
        </w:rPr>
        <w:t>Lito</w:t>
      </w:r>
      <w:r w:rsidR="001E4741">
        <w:rPr>
          <w:i/>
        </w:rPr>
        <w:t>penaeus</w:t>
      </w:r>
      <w:proofErr w:type="spellEnd"/>
      <w:r w:rsidR="001E4741">
        <w:rPr>
          <w:i/>
        </w:rPr>
        <w:t xml:space="preserve"> </w:t>
      </w:r>
      <w:proofErr w:type="spellStart"/>
      <w:r w:rsidR="001E4741">
        <w:rPr>
          <w:i/>
        </w:rPr>
        <w:t>vannamei</w:t>
      </w:r>
      <w:proofErr w:type="spellEnd"/>
      <w:r w:rsidR="001E4741">
        <w:t xml:space="preserve">; Downs et al. 2014). For each consumer, </w:t>
      </w:r>
      <w:r w:rsidR="004964EB">
        <w:t>four trophic amino acids (glutamic acid, alanine, proline, valine) and a single source amino were modelled</w:t>
      </w:r>
      <w:r w:rsidR="00B27232">
        <w:t xml:space="preserve"> (Figure 11)</w:t>
      </w:r>
      <w:r w:rsidR="004964EB">
        <w:t>. The canonical source amino acid for trophic position calculations, phenylalanine, was modelled for shrimp</w:t>
      </w:r>
      <w:r w:rsidR="00C07A78">
        <w:t xml:space="preserve"> however a p</w:t>
      </w:r>
      <w:r w:rsidR="004964EB">
        <w:t>henylalanine half-life value w</w:t>
      </w:r>
      <w:r w:rsidR="00C07A78">
        <w:t>as</w:t>
      </w:r>
      <w:r w:rsidR="004964EB">
        <w:t xml:space="preserve"> not reported in Bradley et </w:t>
      </w:r>
      <w:r w:rsidR="004964EB">
        <w:lastRenderedPageBreak/>
        <w:t xml:space="preserve">al. (2014) and lysine was used as </w:t>
      </w:r>
      <w:r w:rsidR="00B27232">
        <w:t>the</w:t>
      </w:r>
      <w:r w:rsidR="004964EB">
        <w:t xml:space="preserve"> source amino acid for tuna. Tuna and shrimp were modelled as </w:t>
      </w:r>
      <w:r w:rsidR="00720639">
        <w:t>a single food web</w:t>
      </w:r>
      <w:r w:rsidR="008B4ED6">
        <w:t xml:space="preserve"> </w:t>
      </w:r>
      <w:r w:rsidR="004964EB">
        <w:t xml:space="preserve">(Figure 2) </w:t>
      </w:r>
      <w:r w:rsidR="008B4ED6">
        <w:t xml:space="preserve">for each of the four baseline case studies (Table 1) </w:t>
      </w:r>
      <w:r w:rsidR="004964EB">
        <w:t xml:space="preserve">where shrimp was the secondary consumer and tuna was the tertiary consumer. </w:t>
      </w:r>
      <w:r w:rsidR="008B4ED6">
        <w:t>Equation 12 was modified to model each of the 5 amino acids for each consumer:</w:t>
      </w:r>
    </w:p>
    <w:p w14:paraId="4574C238" w14:textId="0AD99B3F" w:rsidR="008B4ED6" w:rsidRDefault="008B4ED6" w:rsidP="008B4ED6">
      <w:pPr>
        <w:spacing w:line="480" w:lineRule="auto"/>
        <w:contextualSpacing/>
        <w:rPr>
          <w:iCs/>
        </w:rPr>
      </w:pPr>
      <w:r w:rsidRPr="00743FCB">
        <w:rPr>
          <w:b/>
          <w:iCs/>
        </w:rPr>
        <w:t>(1</w:t>
      </w:r>
      <w:r w:rsidR="00484093">
        <w:rPr>
          <w:b/>
          <w:iCs/>
        </w:rPr>
        <w:t>5</w:t>
      </w:r>
      <w:r w:rsidRPr="00743FCB">
        <w:rPr>
          <w:b/>
          <w:iCs/>
        </w:rPr>
        <w:t xml:space="preserve">) </w:t>
      </w:r>
      <w:r w:rsidRPr="00743FCB">
        <w:rPr>
          <w:iCs/>
        </w:rPr>
        <w:t xml:space="preserve"> δ</w:t>
      </w:r>
      <w:r w:rsidRPr="00743FCB">
        <w:rPr>
          <w:iCs/>
          <w:vertAlign w:val="superscript"/>
        </w:rPr>
        <w:t>15</w:t>
      </w:r>
      <w:r w:rsidRPr="00743FCB">
        <w:rPr>
          <w:iCs/>
        </w:rPr>
        <w:t>N</w:t>
      </w:r>
      <w:r>
        <w:rPr>
          <w:iCs/>
          <w:vertAlign w:val="subscript"/>
        </w:rPr>
        <w:t>TL</w:t>
      </w:r>
      <w:r w:rsidRPr="00743FCB">
        <w:rPr>
          <w:iCs/>
          <w:vertAlign w:val="subscript"/>
        </w:rPr>
        <w:t>, t</w:t>
      </w:r>
      <w:r>
        <w:rPr>
          <w:iCs/>
          <w:vertAlign w:val="subscript"/>
        </w:rPr>
        <w:t>, a</w:t>
      </w:r>
      <w:r w:rsidRPr="00743FCB">
        <w:rPr>
          <w:iCs/>
        </w:rPr>
        <w:t xml:space="preserve"> </w:t>
      </w:r>
      <w:proofErr w:type="gramStart"/>
      <w:r w:rsidRPr="00743FCB">
        <w:rPr>
          <w:iCs/>
        </w:rPr>
        <w:t>=  (</w:t>
      </w:r>
      <w:proofErr w:type="gramEnd"/>
      <w:r w:rsidRPr="00743FCB">
        <w:rPr>
          <w:iCs/>
        </w:rPr>
        <w:t>δ</w:t>
      </w:r>
      <w:r w:rsidRPr="00743FCB">
        <w:rPr>
          <w:iCs/>
          <w:vertAlign w:val="superscript"/>
        </w:rPr>
        <w:t>15</w:t>
      </w:r>
      <w:r w:rsidRPr="00743FCB">
        <w:rPr>
          <w:iCs/>
        </w:rPr>
        <w:t>N</w:t>
      </w:r>
      <w:r>
        <w:rPr>
          <w:iCs/>
          <w:vertAlign w:val="subscript"/>
        </w:rPr>
        <w:t>TL-1</w:t>
      </w:r>
      <w:r w:rsidRPr="00743FCB">
        <w:rPr>
          <w:iCs/>
          <w:vertAlign w:val="subscript"/>
        </w:rPr>
        <w:t>, t-1</w:t>
      </w:r>
      <w:r>
        <w:rPr>
          <w:iCs/>
          <w:vertAlign w:val="subscript"/>
        </w:rPr>
        <w:t>, a</w:t>
      </w:r>
      <w:r w:rsidRPr="00743FCB">
        <w:rPr>
          <w:iCs/>
        </w:rPr>
        <w:t xml:space="preserve"> + TEF) * 1 – </w:t>
      </w:r>
      <w:proofErr w:type="spellStart"/>
      <w:r w:rsidRPr="00743FCB">
        <w:rPr>
          <w:iCs/>
        </w:rPr>
        <w:t>exp</w:t>
      </w:r>
      <w:proofErr w:type="spellEnd"/>
      <w:r w:rsidRPr="00743FCB">
        <w:rPr>
          <w:iCs/>
        </w:rPr>
        <w:t>(</w:t>
      </w:r>
      <w:r w:rsidR="007E7816" w:rsidRPr="00743FCB">
        <w:rPr>
          <w:iCs/>
        </w:rPr>
        <w:t>λ</w:t>
      </w:r>
      <w:r>
        <w:rPr>
          <w:iCs/>
          <w:vertAlign w:val="subscript"/>
        </w:rPr>
        <w:t>, a</w:t>
      </w:r>
      <w:r w:rsidRPr="00743FCB">
        <w:rPr>
          <w:iCs/>
        </w:rPr>
        <w:t>)</w:t>
      </w:r>
    </w:p>
    <w:p w14:paraId="32E78BA8" w14:textId="6DD5686A" w:rsidR="00E86454" w:rsidRPr="00C07A78" w:rsidRDefault="008B4ED6" w:rsidP="009C5393">
      <w:pPr>
        <w:spacing w:before="240" w:line="480" w:lineRule="auto"/>
      </w:pPr>
      <w:r>
        <w:t>as such, a different</w:t>
      </w:r>
      <w:r w:rsidR="00484093">
        <w:t xml:space="preserve"> </w:t>
      </w:r>
      <w:r w:rsidR="007E7816" w:rsidRPr="007E7816">
        <w:rPr>
          <w:i/>
          <w:iCs/>
        </w:rPr>
        <w:t>λ</w:t>
      </w:r>
      <w:r w:rsidR="00484093">
        <w:t xml:space="preserve"> was distinct for each amino acid, </w:t>
      </w:r>
      <w:r w:rsidR="00484093">
        <w:rPr>
          <w:i/>
        </w:rPr>
        <w:t>a</w:t>
      </w:r>
      <w:r w:rsidR="007E7816">
        <w:rPr>
          <w:i/>
        </w:rPr>
        <w:t xml:space="preserve"> </w:t>
      </w:r>
      <w:r w:rsidR="00484093">
        <w:t>including the source amino acid. The trophic position equation was also modified to calculate the trophic position of shrimp and tuna from amino acids, with source amino acids instead of the measured baseline:</w:t>
      </w:r>
      <m:oMath>
        <m:r>
          <m:rPr>
            <m:sty m:val="p"/>
          </m:rPr>
          <w:rPr>
            <w:rFonts w:ascii="Cambria Math" w:hAnsi="Cambria Math"/>
            <w:color w:val="222222"/>
          </w:rPr>
          <w:br/>
        </m:r>
      </m:oMath>
      <m:oMathPara>
        <m:oMathParaPr>
          <m:jc m:val="left"/>
        </m:oMathParaPr>
        <m:oMath>
          <m:r>
            <m:rPr>
              <m:sty m:val="bi"/>
            </m:rPr>
            <w:rPr>
              <w:rFonts w:ascii="Cambria Math" w:hAnsi="Cambria Math"/>
              <w:color w:val="222222"/>
            </w:rPr>
            <m:t xml:space="preserve">(16) </m:t>
          </m:r>
          <m:r>
            <w:rPr>
              <w:rFonts w:ascii="Cambria Math" w:hAnsi="Cambria Math"/>
              <w:color w:val="222222"/>
            </w:rPr>
            <m:t xml:space="preserve"> </m:t>
          </m:r>
          <m:r>
            <w:rPr>
              <w:rFonts w:ascii="Cambria Math" w:hAnsi="Cambria Math"/>
              <w:color w:val="222222"/>
              <w:vertAlign w:val="subscript"/>
            </w:rPr>
            <m:t xml:space="preserve"> TP=</m:t>
          </m:r>
          <m:d>
            <m:dPr>
              <m:ctrlPr>
                <w:rPr>
                  <w:rFonts w:ascii="Cambria Math" w:hAnsi="Cambria Math"/>
                  <w:bCs/>
                  <w:i/>
                  <w:color w:val="222222"/>
                  <w:vertAlign w:val="subscript"/>
                </w:rPr>
              </m:ctrlPr>
            </m:dPr>
            <m:e>
              <m:f>
                <m:fPr>
                  <m:ctrlPr>
                    <w:rPr>
                      <w:rFonts w:ascii="Cambria Math" w:hAnsi="Cambria Math"/>
                      <w:bCs/>
                      <w:i/>
                      <w:color w:val="222222"/>
                      <w:vertAlign w:val="subscript"/>
                    </w:rPr>
                  </m:ctrlPr>
                </m:fPr>
                <m:num>
                  <m:sSup>
                    <m:sSupPr>
                      <m:ctrlPr>
                        <w:rPr>
                          <w:rFonts w:ascii="Cambria Math" w:hAnsi="Cambria Math"/>
                          <w:bCs/>
                          <w:i/>
                          <w:iCs/>
                          <w:color w:val="222222"/>
                        </w:rPr>
                      </m:ctrlPr>
                    </m:sSupPr>
                    <m:e>
                      <m:r>
                        <w:rPr>
                          <w:rFonts w:ascii="Cambria Math" w:hAnsi="Cambria Math"/>
                          <w:color w:val="222222"/>
                        </w:rPr>
                        <m:t xml:space="preserve"> δ</m:t>
                      </m:r>
                    </m:e>
                    <m:sup>
                      <m:r>
                        <w:rPr>
                          <w:rFonts w:ascii="Cambria Math" w:hAnsi="Cambria Math"/>
                          <w:color w:val="222222"/>
                        </w:rPr>
                        <m:t>15</m:t>
                      </m:r>
                    </m:sup>
                  </m:sSup>
                  <m:sSub>
                    <m:sSubPr>
                      <m:ctrlPr>
                        <w:rPr>
                          <w:rFonts w:ascii="Cambria Math" w:hAnsi="Cambria Math"/>
                          <w:i/>
                          <w:color w:val="222222"/>
                        </w:rPr>
                      </m:ctrlPr>
                    </m:sSubPr>
                    <m:e>
                      <m:r>
                        <w:rPr>
                          <w:rFonts w:ascii="Cambria Math" w:hAnsi="Cambria Math"/>
                          <w:color w:val="222222"/>
                        </w:rPr>
                        <m:t>N</m:t>
                      </m:r>
                    </m:e>
                    <m:sub>
                      <m:r>
                        <w:rPr>
                          <w:rFonts w:ascii="Cambria Math" w:hAnsi="Cambria Math"/>
                          <w:color w:val="222222"/>
                        </w:rPr>
                        <m:t>TL, (i-o)</m:t>
                      </m:r>
                    </m:sub>
                  </m:sSub>
                  <m:r>
                    <w:rPr>
                      <w:rFonts w:ascii="Cambria Math" w:hAnsi="Cambria Math"/>
                      <w:color w:val="222222"/>
                    </w:rPr>
                    <m:t xml:space="preserve"> -</m:t>
                  </m:r>
                  <m:sSub>
                    <m:sSubPr>
                      <m:ctrlPr>
                        <w:rPr>
                          <w:rFonts w:ascii="Cambria Math" w:hAnsi="Cambria Math"/>
                          <w:i/>
                        </w:rPr>
                      </m:ctrlPr>
                    </m:sSubPr>
                    <m:e>
                      <m:r>
                        <w:rPr>
                          <w:rFonts w:ascii="Cambria Math" w:hAnsi="Cambria Math"/>
                          <w:lang w:val="el-GR"/>
                        </w:rPr>
                        <m:t>β</m:t>
                      </m:r>
                    </m:e>
                    <m:sub>
                      <m:d>
                        <m:dPr>
                          <m:ctrlPr>
                            <w:rPr>
                              <w:rFonts w:ascii="Cambria Math" w:hAnsi="Cambria Math"/>
                              <w:i/>
                            </w:rPr>
                          </m:ctrlPr>
                        </m:dPr>
                        <m:e>
                          <m:r>
                            <w:rPr>
                              <w:rFonts w:ascii="Cambria Math" w:hAnsi="Cambria Math"/>
                            </w:rPr>
                            <m:t>i-o</m:t>
                          </m:r>
                        </m:e>
                      </m:d>
                    </m:sub>
                  </m:sSub>
                </m:num>
                <m:den>
                  <m:sSub>
                    <m:sSubPr>
                      <m:ctrlPr>
                        <w:rPr>
                          <w:rFonts w:ascii="Cambria Math" w:hAnsi="Cambria Math"/>
                          <w:bCs/>
                          <w:i/>
                          <w:iCs/>
                          <w:color w:val="222222"/>
                          <w:vertAlign w:val="subscript"/>
                        </w:rPr>
                      </m:ctrlPr>
                    </m:sSubPr>
                    <m:e>
                      <m:acc>
                        <m:accPr>
                          <m:chr m:val="̅"/>
                          <m:ctrlPr>
                            <w:rPr>
                              <w:rFonts w:ascii="Cambria Math" w:hAnsi="Cambria Math"/>
                              <w:i/>
                              <w:color w:val="222222"/>
                              <w:vertAlign w:val="subscript"/>
                            </w:rPr>
                          </m:ctrlPr>
                        </m:accPr>
                        <m:e>
                          <m:r>
                            <w:rPr>
                              <w:rFonts w:ascii="Cambria Math" w:hAnsi="Cambria Math"/>
                              <w:color w:val="222222"/>
                              <w:vertAlign w:val="subscript"/>
                            </w:rPr>
                            <m:t>TEF</m:t>
                          </m:r>
                        </m:e>
                      </m:acc>
                    </m:e>
                    <m:sub>
                      <m:d>
                        <m:dPr>
                          <m:ctrlPr>
                            <w:rPr>
                              <w:rFonts w:ascii="Cambria Math" w:hAnsi="Cambria Math"/>
                              <w:i/>
                              <w:color w:val="222222"/>
                              <w:vertAlign w:val="subscript"/>
                            </w:rPr>
                          </m:ctrlPr>
                        </m:dPr>
                        <m:e>
                          <m:r>
                            <w:rPr>
                              <w:rFonts w:ascii="Cambria Math" w:hAnsi="Cambria Math"/>
                              <w:color w:val="222222"/>
                              <w:vertAlign w:val="subscript"/>
                            </w:rPr>
                            <m:t>i-o</m:t>
                          </m:r>
                        </m:e>
                      </m:d>
                    </m:sub>
                  </m:sSub>
                </m:den>
              </m:f>
            </m:e>
          </m:d>
          <m:r>
            <w:rPr>
              <w:rFonts w:ascii="Cambria Math" w:hAnsi="Cambria Math"/>
              <w:color w:val="222222"/>
              <w:vertAlign w:val="subscript"/>
            </w:rPr>
            <m:t>+1</m:t>
          </m:r>
        </m:oMath>
      </m:oMathPara>
    </w:p>
    <w:p w14:paraId="5DC0533A" w14:textId="2354C0B4" w:rsidR="008B4ED6" w:rsidRPr="00C07A78" w:rsidRDefault="00E86454" w:rsidP="007501AF">
      <w:pPr>
        <w:spacing w:before="240" w:line="480" w:lineRule="auto"/>
      </w:pPr>
      <w:r w:rsidRPr="00C07A78">
        <w:t>where,</w:t>
      </w:r>
      <w:r w:rsidRPr="00C07A78">
        <w:rPr>
          <w:bCs/>
          <w:iCs/>
          <w:color w:val="222222"/>
        </w:rPr>
        <w:t xml:space="preserve"> </w:t>
      </w:r>
      <w:r w:rsidRPr="00C07A78">
        <w:rPr>
          <w:bCs/>
          <w:i/>
          <w:iCs/>
          <w:color w:val="222222"/>
        </w:rPr>
        <w:t>δ</w:t>
      </w:r>
      <w:r w:rsidRPr="00C07A78">
        <w:rPr>
          <w:bCs/>
          <w:i/>
          <w:color w:val="222222"/>
          <w:vertAlign w:val="superscript"/>
        </w:rPr>
        <w:t>15</w:t>
      </w:r>
      <w:r w:rsidRPr="00C07A78">
        <w:rPr>
          <w:bCs/>
          <w:i/>
          <w:color w:val="222222"/>
        </w:rPr>
        <w:t>N</w:t>
      </w:r>
      <w:r w:rsidRPr="00C07A78">
        <w:rPr>
          <w:i/>
          <w:vertAlign w:val="subscript"/>
        </w:rPr>
        <w:t>i</w:t>
      </w:r>
      <w:r w:rsidRPr="00C07A78">
        <w:rPr>
          <w:i/>
        </w:rPr>
        <w:t xml:space="preserve"> </w:t>
      </w:r>
      <w:r w:rsidRPr="00C07A78">
        <w:t xml:space="preserve">is the measured stable isotope </w:t>
      </w:r>
      <w:r w:rsidR="00E205A2">
        <w:t>value</w:t>
      </w:r>
      <w:r w:rsidRPr="00C07A78">
        <w:t xml:space="preserve"> of a trophic amino acid </w:t>
      </w:r>
      <w:proofErr w:type="spellStart"/>
      <w:r w:rsidRPr="00C07A78">
        <w:rPr>
          <w:i/>
        </w:rPr>
        <w:t>i</w:t>
      </w:r>
      <w:proofErr w:type="spellEnd"/>
      <w:r w:rsidRPr="00C07A78">
        <w:rPr>
          <w:i/>
        </w:rPr>
        <w:t xml:space="preserve"> </w:t>
      </w:r>
      <w:r w:rsidRPr="00C07A78">
        <w:t xml:space="preserve">in a sample and </w:t>
      </w:r>
      <w:r w:rsidRPr="00C07A78">
        <w:rPr>
          <w:bCs/>
          <w:i/>
          <w:iCs/>
          <w:color w:val="222222"/>
        </w:rPr>
        <w:t>δ</w:t>
      </w:r>
      <w:r w:rsidRPr="00C07A78">
        <w:rPr>
          <w:bCs/>
          <w:i/>
          <w:color w:val="222222"/>
          <w:vertAlign w:val="superscript"/>
        </w:rPr>
        <w:t>15</w:t>
      </w:r>
      <w:r w:rsidRPr="00C07A78">
        <w:rPr>
          <w:bCs/>
          <w:i/>
          <w:color w:val="222222"/>
        </w:rPr>
        <w:t>N</w:t>
      </w:r>
      <w:r w:rsidRPr="00C07A78">
        <w:rPr>
          <w:i/>
          <w:vertAlign w:val="subscript"/>
        </w:rPr>
        <w:t xml:space="preserve">o </w:t>
      </w:r>
      <w:r w:rsidRPr="00C07A78">
        <w:t xml:space="preserve">is the stable isotope </w:t>
      </w:r>
      <w:r w:rsidR="00E205A2">
        <w:t>value</w:t>
      </w:r>
      <w:r w:rsidRPr="00C07A78">
        <w:t xml:space="preserve"> of a source amino acid </w:t>
      </w:r>
      <w:r w:rsidRPr="00C07A78">
        <w:rPr>
          <w:i/>
        </w:rPr>
        <w:t xml:space="preserve">o </w:t>
      </w:r>
      <w:r w:rsidRPr="00C07A78">
        <w:t xml:space="preserve">in a sample. </w:t>
      </w:r>
      <m:oMath>
        <m:sSup>
          <m:sSupPr>
            <m:ctrlPr>
              <w:rPr>
                <w:rFonts w:ascii="Cambria Math" w:hAnsi="Cambria Math"/>
                <w:bCs/>
                <w:i/>
                <w:iCs/>
                <w:color w:val="222222"/>
              </w:rPr>
            </m:ctrlPr>
          </m:sSupPr>
          <m:e>
            <m:r>
              <w:rPr>
                <w:rFonts w:ascii="Cambria Math" w:hAnsi="Cambria Math"/>
                <w:color w:val="222222"/>
              </w:rPr>
              <m:t xml:space="preserve"> δ</m:t>
            </m:r>
          </m:e>
          <m:sup>
            <m:r>
              <w:rPr>
                <w:rFonts w:ascii="Cambria Math" w:hAnsi="Cambria Math"/>
                <w:color w:val="222222"/>
              </w:rPr>
              <m:t>15</m:t>
            </m:r>
          </m:sup>
        </m:sSup>
        <m:sSub>
          <m:sSubPr>
            <m:ctrlPr>
              <w:rPr>
                <w:rFonts w:ascii="Cambria Math" w:hAnsi="Cambria Math"/>
                <w:i/>
                <w:color w:val="222222"/>
              </w:rPr>
            </m:ctrlPr>
          </m:sSubPr>
          <m:e>
            <m:r>
              <w:rPr>
                <w:rFonts w:ascii="Cambria Math" w:hAnsi="Cambria Math"/>
                <w:color w:val="222222"/>
              </w:rPr>
              <m:t>N</m:t>
            </m:r>
          </m:e>
          <m:sub>
            <m:r>
              <w:rPr>
                <w:rFonts w:ascii="Cambria Math" w:hAnsi="Cambria Math"/>
                <w:color w:val="222222"/>
              </w:rPr>
              <m:t>(i-o)</m:t>
            </m:r>
          </m:sub>
        </m:sSub>
      </m:oMath>
      <w:r w:rsidRPr="00C07A78">
        <w:rPr>
          <w:rFonts w:eastAsiaTheme="minorEastAsia"/>
          <w:color w:val="222222"/>
        </w:rPr>
        <w:t xml:space="preserve"> represents the total trophic enrichment that has occurred throughout the food web measurable from </w:t>
      </w:r>
      <w:r w:rsidR="007501AF" w:rsidRPr="00C07A78">
        <w:rPr>
          <w:rFonts w:eastAsiaTheme="minorEastAsia"/>
          <w:color w:val="222222"/>
        </w:rPr>
        <w:t xml:space="preserve">consumer </w:t>
      </w:r>
      <w:r w:rsidRPr="00C07A78">
        <w:rPr>
          <w:rFonts w:eastAsiaTheme="minorEastAsia"/>
          <w:color w:val="222222"/>
        </w:rPr>
        <w:t>tissues</w:t>
      </w:r>
      <w:r w:rsidR="007501AF" w:rsidRPr="00C07A78">
        <w:rPr>
          <w:rFonts w:eastAsiaTheme="minorEastAsia"/>
          <w:color w:val="222222"/>
        </w:rPr>
        <w:t xml:space="preserve"> at a given trophic level (</w:t>
      </w:r>
      <w:r w:rsidR="007501AF" w:rsidRPr="00C07A78">
        <w:rPr>
          <w:rFonts w:eastAsiaTheme="minorEastAsia"/>
          <w:i/>
          <w:color w:val="222222"/>
        </w:rPr>
        <w:t>TL</w:t>
      </w:r>
      <w:r w:rsidR="007501AF" w:rsidRPr="00C07A78">
        <w:rPr>
          <w:rFonts w:eastAsiaTheme="minorEastAsia"/>
          <w:color w:val="222222"/>
        </w:rPr>
        <w:t>)</w:t>
      </w:r>
      <w:r w:rsidRPr="00C07A78">
        <w:t xml:space="preserve">. </w:t>
      </w:r>
      <w:r w:rsidRPr="00C07A78">
        <w:rPr>
          <w:i/>
        </w:rPr>
        <w:t>β</w:t>
      </w:r>
      <w:r w:rsidRPr="00C07A78">
        <w:rPr>
          <w:i/>
          <w:vertAlign w:val="subscript"/>
        </w:rPr>
        <w:t xml:space="preserve"> (</w:t>
      </w:r>
      <w:proofErr w:type="spellStart"/>
      <w:r w:rsidRPr="00C07A78">
        <w:rPr>
          <w:i/>
          <w:vertAlign w:val="subscript"/>
        </w:rPr>
        <w:t>i</w:t>
      </w:r>
      <w:proofErr w:type="spellEnd"/>
      <w:r w:rsidRPr="00C07A78">
        <w:rPr>
          <w:i/>
          <w:vertAlign w:val="subscript"/>
        </w:rPr>
        <w:t>-o)</w:t>
      </w:r>
      <w:r w:rsidRPr="00C07A78">
        <w:t xml:space="preserve"> is the difference of enrichment between a specific trophic amino acid </w:t>
      </w:r>
      <w:proofErr w:type="spellStart"/>
      <w:r w:rsidRPr="00C07A78">
        <w:rPr>
          <w:i/>
        </w:rPr>
        <w:t>i</w:t>
      </w:r>
      <w:proofErr w:type="spellEnd"/>
      <w:r w:rsidRPr="00C07A78">
        <w:t xml:space="preserve"> and source amino acid </w:t>
      </w:r>
      <w:r w:rsidRPr="00C07A78">
        <w:rPr>
          <w:i/>
        </w:rPr>
        <w:t>o</w:t>
      </w:r>
      <w:r w:rsidRPr="00C07A78">
        <w:t xml:space="preserve"> for primary producers </w:t>
      </w:r>
      <w:r w:rsidR="007501AF" w:rsidRPr="00C07A78">
        <w:t>derived from laboratory experiments</w:t>
      </w:r>
      <w:r w:rsidRPr="00C07A78">
        <w:t xml:space="preserve"> (</w:t>
      </w:r>
      <w:proofErr w:type="spellStart"/>
      <w:r w:rsidR="00C07A78">
        <w:t>Chikaraishi</w:t>
      </w:r>
      <w:proofErr w:type="spellEnd"/>
      <w:r w:rsidR="00B9314F">
        <w:t xml:space="preserve"> et al. 2007</w:t>
      </w:r>
      <w:r w:rsidRPr="00C07A78">
        <w:t xml:space="preserve">; </w:t>
      </w:r>
      <w:r w:rsidRPr="00C07A78">
        <w:rPr>
          <w:iCs/>
        </w:rPr>
        <w:t xml:space="preserve">Appendix S1: </w:t>
      </w:r>
      <w:r w:rsidRPr="00C07A78">
        <w:t xml:space="preserve">Table S2). </w:t>
      </w:r>
      <m:oMath>
        <m:sSub>
          <m:sSubPr>
            <m:ctrlPr>
              <w:rPr>
                <w:rFonts w:ascii="Cambria Math" w:hAnsi="Cambria Math"/>
                <w:bCs/>
                <w:i/>
                <w:iCs/>
                <w:color w:val="222222"/>
                <w:vertAlign w:val="subscript"/>
              </w:rPr>
            </m:ctrlPr>
          </m:sSubPr>
          <m:e>
            <m:acc>
              <m:accPr>
                <m:chr m:val="̅"/>
                <m:ctrlPr>
                  <w:rPr>
                    <w:rFonts w:ascii="Cambria Math" w:hAnsi="Cambria Math"/>
                    <w:i/>
                    <w:color w:val="222222"/>
                    <w:vertAlign w:val="subscript"/>
                  </w:rPr>
                </m:ctrlPr>
              </m:accPr>
              <m:e>
                <m:r>
                  <w:rPr>
                    <w:rFonts w:ascii="Cambria Math" w:hAnsi="Cambria Math"/>
                    <w:color w:val="222222"/>
                    <w:vertAlign w:val="subscript"/>
                  </w:rPr>
                  <m:t>TEF</m:t>
                </m:r>
              </m:e>
            </m:acc>
          </m:e>
          <m:sub>
            <m:d>
              <m:dPr>
                <m:ctrlPr>
                  <w:rPr>
                    <w:rFonts w:ascii="Cambria Math" w:hAnsi="Cambria Math"/>
                    <w:i/>
                    <w:color w:val="222222"/>
                    <w:vertAlign w:val="subscript"/>
                  </w:rPr>
                </m:ctrlPr>
              </m:dPr>
              <m:e>
                <m:r>
                  <w:rPr>
                    <w:rFonts w:ascii="Cambria Math" w:hAnsi="Cambria Math"/>
                    <w:color w:val="222222"/>
                    <w:vertAlign w:val="subscript"/>
                  </w:rPr>
                  <m:t>i-o</m:t>
                </m:r>
              </m:e>
            </m:d>
          </m:sub>
        </m:sSub>
      </m:oMath>
      <w:r w:rsidRPr="00C07A78">
        <w:rPr>
          <w:vertAlign w:val="subscript"/>
        </w:rPr>
        <w:t xml:space="preserve"> </w:t>
      </w:r>
      <w:r w:rsidRPr="00C07A78">
        <w:t xml:space="preserve">represents the mean trophic </w:t>
      </w:r>
      <w:r w:rsidR="009F1998" w:rsidRPr="00C07A78">
        <w:t>enrichment factors for consumers</w:t>
      </w:r>
      <w:r w:rsidRPr="00C07A78">
        <w:t xml:space="preserve">, and is calculated from the mean difference between trophic amino acid </w:t>
      </w:r>
      <w:proofErr w:type="spellStart"/>
      <w:r w:rsidRPr="00C07A78">
        <w:rPr>
          <w:i/>
        </w:rPr>
        <w:t>i</w:t>
      </w:r>
      <w:proofErr w:type="spellEnd"/>
      <w:r w:rsidRPr="00C07A78">
        <w:rPr>
          <w:i/>
        </w:rPr>
        <w:t xml:space="preserve"> </w:t>
      </w:r>
      <w:r w:rsidRPr="00C07A78">
        <w:t xml:space="preserve">and source amino acid </w:t>
      </w:r>
      <w:r w:rsidRPr="00C07A78">
        <w:rPr>
          <w:i/>
        </w:rPr>
        <w:t>o</w:t>
      </w:r>
      <w:r w:rsidRPr="00C07A78">
        <w:t xml:space="preserve"> across all consumers described in Nielsen et al. (2015). </w:t>
      </w:r>
      <w:r w:rsidR="009F1998" w:rsidRPr="00C07A78">
        <w:t>Equation 13 was applied to calculate trophic position deviation with TL=2 for shrimp and TL=3 for tuna.</w:t>
      </w:r>
    </w:p>
    <w:p w14:paraId="6D072B24" w14:textId="3BDD9318" w:rsidR="00DE490F" w:rsidRDefault="003E702E" w:rsidP="00730507">
      <w:pPr>
        <w:spacing w:line="480" w:lineRule="auto"/>
        <w:rPr>
          <w:i/>
          <w:u w:val="single"/>
        </w:rPr>
      </w:pPr>
      <w:r>
        <w:rPr>
          <w:i/>
          <w:u w:val="single"/>
        </w:rPr>
        <w:t>3.5 Sensitivity Analysis</w:t>
      </w:r>
    </w:p>
    <w:p w14:paraId="3E60CA46" w14:textId="552B000C" w:rsidR="0073673E" w:rsidRDefault="0073673E" w:rsidP="00730507">
      <w:pPr>
        <w:spacing w:line="480" w:lineRule="auto"/>
      </w:pPr>
      <w:r w:rsidRPr="0073673E">
        <w:tab/>
      </w:r>
      <w:r w:rsidR="00194E6B">
        <w:t xml:space="preserve">To further explore the degree </w:t>
      </w:r>
      <w:r w:rsidR="00E205A2">
        <w:t>how variability in</w:t>
      </w:r>
      <w:r w:rsidR="00194E6B">
        <w:t xml:space="preserve"> tissue turnover time impact</w:t>
      </w:r>
      <w:r w:rsidR="00E205A2">
        <w:t>s</w:t>
      </w:r>
      <w:r w:rsidR="005C2C02">
        <w:t xml:space="preserve"> </w:t>
      </w:r>
      <w:r w:rsidR="00194E6B">
        <w:t>trophic position estimates using bulk stable isotope analysis and CSIA</w:t>
      </w:r>
      <w:r w:rsidR="00C26FF9">
        <w:t>,</w:t>
      </w:r>
      <w:r w:rsidR="00194E6B">
        <w:t xml:space="preserve"> a sensitivity analysis was performed. </w:t>
      </w:r>
      <w:r w:rsidR="000A3D0B">
        <w:t xml:space="preserve">The food web scenarios described in this study are useful for understanding variation in nitrogen stable isotope data and stable isotope derived trophic position estimates </w:t>
      </w:r>
      <w:r w:rsidR="000A3D0B">
        <w:lastRenderedPageBreak/>
        <w:t>using data observed in the real world. However, tissue turnover times vary dramatically based on size, tissue, and growth rate of the consumer of interest</w:t>
      </w:r>
      <w:r w:rsidR="005C2C02">
        <w:t xml:space="preserve"> (Figure 11)</w:t>
      </w:r>
      <w:r w:rsidR="000A3D0B">
        <w:t xml:space="preserve">. </w:t>
      </w:r>
      <w:r w:rsidR="009D5222">
        <w:t>Similarly</w:t>
      </w:r>
      <w:r w:rsidR="000A3D0B">
        <w:t xml:space="preserve">, the rate of stable isotope change at the base of the food web is highly dependent on the system and is subject to interannual variability </w:t>
      </w:r>
      <w:r w:rsidR="00194E6B">
        <w:t xml:space="preserve">driven by other abiotic factors. </w:t>
      </w:r>
      <w:r w:rsidR="009D5222">
        <w:t xml:space="preserve">The trophic level of the consumer can also impact estimates if lower trophic level species are not in </w:t>
      </w:r>
      <w:r w:rsidR="005C2C02">
        <w:t xml:space="preserve">isotopic </w:t>
      </w:r>
      <w:r w:rsidR="009D5222">
        <w:t>steady state with their resources</w:t>
      </w:r>
    </w:p>
    <w:p w14:paraId="3C51C458" w14:textId="2E9AC91B" w:rsidR="00B925D6" w:rsidRDefault="00B925D6" w:rsidP="00730507">
      <w:pPr>
        <w:spacing w:line="480" w:lineRule="auto"/>
      </w:pPr>
      <w:r>
        <w:tab/>
        <w:t xml:space="preserve">We simulated an isotope baseline that had a rate of isotope change that varied from 0 to 0.15 (per </w:t>
      </w:r>
      <w:proofErr w:type="spellStart"/>
      <w:r>
        <w:t>mille</w:t>
      </w:r>
      <w:proofErr w:type="spellEnd"/>
      <w:r>
        <w:t xml:space="preserve"> per day)</w:t>
      </w:r>
      <w:r w:rsidR="001778CA">
        <w:t xml:space="preserve">, </w:t>
      </w:r>
      <w:r w:rsidR="00651AA2">
        <w:t>represented 123 days</w:t>
      </w:r>
      <w:r w:rsidR="001778CA">
        <w:t xml:space="preserve">, and represented a 1 to 6 per </w:t>
      </w:r>
      <w:proofErr w:type="spellStart"/>
      <w:r w:rsidR="001778CA">
        <w:t>mille</w:t>
      </w:r>
      <w:proofErr w:type="spellEnd"/>
      <w:r w:rsidR="001778CA">
        <w:t xml:space="preserve"> isotope change which was realistic based on previous studies (Table 1, </w:t>
      </w:r>
      <w:r w:rsidR="00E205A2">
        <w:t>Figure 4</w:t>
      </w:r>
      <w:r w:rsidR="001778CA">
        <w:t>)</w:t>
      </w:r>
      <w:r>
        <w:t xml:space="preserve">. </w:t>
      </w:r>
      <w:r w:rsidR="005D2F0B">
        <w:t xml:space="preserve">A primary, secondary, and tertiary consumer were modelled </w:t>
      </w:r>
      <w:r w:rsidR="00DD1C59">
        <w:t xml:space="preserve">for bulk stable isotope analysis (equation </w:t>
      </w:r>
      <w:r w:rsidR="00FF6F00">
        <w:t>11 - 14</w:t>
      </w:r>
      <w:r w:rsidR="00DD1C59">
        <w:t xml:space="preserve">) and CSIA (equations </w:t>
      </w:r>
      <w:r w:rsidR="00FF6F00">
        <w:t>15 - 16</w:t>
      </w:r>
      <w:r w:rsidR="00DD1C59">
        <w:t>)</w:t>
      </w:r>
      <w:r w:rsidR="00905271">
        <w:t xml:space="preserve">. </w:t>
      </w:r>
      <w:r w:rsidR="0087499C">
        <w:t>H</w:t>
      </w:r>
      <w:r w:rsidR="00F50C30">
        <w:t>alf-life values rang</w:t>
      </w:r>
      <w:r w:rsidR="00D82232">
        <w:t>ed</w:t>
      </w:r>
      <w:r w:rsidR="00F50C30">
        <w:t xml:space="preserve"> from 1 to </w:t>
      </w:r>
      <w:r w:rsidR="0087499C">
        <w:t xml:space="preserve">280 </w:t>
      </w:r>
      <w:r w:rsidR="00D554DB">
        <w:t xml:space="preserve">days </w:t>
      </w:r>
      <w:r w:rsidR="00D82232">
        <w:t xml:space="preserve">and the model </w:t>
      </w:r>
      <w:r w:rsidR="00D554DB">
        <w:t xml:space="preserve">was </w:t>
      </w:r>
      <w:r w:rsidR="00D82232">
        <w:t xml:space="preserve">run using the </w:t>
      </w:r>
      <w:r w:rsidR="00BA55BF">
        <w:t xml:space="preserve">same </w:t>
      </w:r>
      <w:r w:rsidR="00D82232">
        <w:t xml:space="preserve">simulated baseline </w:t>
      </w:r>
      <w:r w:rsidR="00D554DB">
        <w:t xml:space="preserve">for </w:t>
      </w:r>
      <w:r w:rsidR="00D82232">
        <w:t>each of the 280 half-life values</w:t>
      </w:r>
      <w:r w:rsidR="00F50C30">
        <w:t>.</w:t>
      </w:r>
      <w:r w:rsidR="00D82232">
        <w:t xml:space="preserve"> </w:t>
      </w:r>
      <w:r w:rsidR="00651AA2">
        <w:t>To assess the sensitivity across half-life values, the mean and standard deviation of trophic position deviation was taken for each model run (equation 14)</w:t>
      </w:r>
      <w:r w:rsidR="00D554DB">
        <w:t xml:space="preserve"> which represented the average </w:t>
      </w:r>
      <w:r w:rsidR="00BA55BF">
        <w:t xml:space="preserve">deviation </w:t>
      </w:r>
      <w:r w:rsidR="00D554DB">
        <w:t xml:space="preserve">across the </w:t>
      </w:r>
      <w:r w:rsidR="00090210">
        <w:t>123-day</w:t>
      </w:r>
      <w:r w:rsidR="00D554DB">
        <w:t xml:space="preserve"> simulation</w:t>
      </w:r>
      <w:r w:rsidR="00651AA2">
        <w:t xml:space="preserve">. </w:t>
      </w:r>
      <w:r w:rsidR="00D554DB">
        <w:t>For the CSIA model,</w:t>
      </w:r>
      <w:r w:rsidR="00BA55BF">
        <w:t xml:space="preserve"> two analyses were run, one with</w:t>
      </w:r>
      <w:r w:rsidR="00D554DB">
        <w:t xml:space="preserve"> a source amino acid half-life value of 130 days (representing the values for lysine in bluefin tuna reported by Bradley et al. 2014) and </w:t>
      </w:r>
      <w:r w:rsidR="00BA55BF">
        <w:t>a second of 33 days (representing the values for phenylalanine in shrimp reported by Downs</w:t>
      </w:r>
      <w:r w:rsidR="00090210">
        <w:t xml:space="preserve"> et al. 2014</w:t>
      </w:r>
      <w:r w:rsidR="00BA55BF">
        <w:t>). The half-life value of the source amino acid was assumed to be known</w:t>
      </w:r>
      <w:r w:rsidR="00090210">
        <w:t xml:space="preserve"> and the half-life value of the trophic amino acid was varied for each simulation</w:t>
      </w:r>
      <w:r w:rsidR="00D554DB">
        <w:t xml:space="preserve">. </w:t>
      </w:r>
      <w:r w:rsidR="00F50C30">
        <w:t>This method was repeated three times</w:t>
      </w:r>
      <w:r w:rsidR="00FD1C57">
        <w:t xml:space="preserve"> each for CSIA and </w:t>
      </w:r>
      <w:r w:rsidR="00090210">
        <w:t>BSIA</w:t>
      </w:r>
      <w:r w:rsidR="00F50C30">
        <w:t>, once only v</w:t>
      </w:r>
      <w:r w:rsidR="009D5222">
        <w:t xml:space="preserve">arying the half-life of the primary consumer, </w:t>
      </w:r>
      <w:r w:rsidR="00DD1C59">
        <w:t xml:space="preserve">a second time </w:t>
      </w:r>
      <w:r w:rsidR="009D5222">
        <w:t xml:space="preserve">varying primary and secondary consumer half-life, and </w:t>
      </w:r>
      <w:r w:rsidR="00DD1C59">
        <w:t xml:space="preserve">finally </w:t>
      </w:r>
      <w:r w:rsidR="009D5222">
        <w:t xml:space="preserve">varying </w:t>
      </w:r>
      <w:r w:rsidR="00DD1C59">
        <w:t xml:space="preserve">the </w:t>
      </w:r>
      <w:r w:rsidR="009D5222">
        <w:t>half-life values</w:t>
      </w:r>
      <w:r w:rsidR="00DD1C59">
        <w:t xml:space="preserve"> of all three trophic level consumers</w:t>
      </w:r>
      <w:r w:rsidR="00C87C81">
        <w:t xml:space="preserve"> simultaneously</w:t>
      </w:r>
      <w:r w:rsidR="009D5222">
        <w:t>.</w:t>
      </w:r>
      <w:r w:rsidR="00651AA2">
        <w:t xml:space="preserve"> </w:t>
      </w:r>
    </w:p>
    <w:p w14:paraId="0368EB5B" w14:textId="5E252077" w:rsidR="007258BA" w:rsidRDefault="007258BA" w:rsidP="007258BA">
      <w:pPr>
        <w:spacing w:line="480" w:lineRule="auto"/>
        <w:rPr>
          <w:i/>
          <w:u w:val="single"/>
        </w:rPr>
      </w:pPr>
      <w:r>
        <w:rPr>
          <w:i/>
          <w:u w:val="single"/>
        </w:rPr>
        <w:t>3.5 Comparison to recommended methodologies</w:t>
      </w:r>
    </w:p>
    <w:p w14:paraId="16EB5BE6" w14:textId="72C56E98" w:rsidR="007258BA" w:rsidRDefault="007235B3" w:rsidP="00730507">
      <w:pPr>
        <w:spacing w:line="480" w:lineRule="auto"/>
      </w:pPr>
      <w:r>
        <w:lastRenderedPageBreak/>
        <w:tab/>
        <w:t xml:space="preserve">Guidance on </w:t>
      </w:r>
      <w:r w:rsidR="00C87C81">
        <w:t xml:space="preserve">BSIA </w:t>
      </w:r>
      <w:r>
        <w:t>baseline sampling using primary consumers as the stable isotope baseline rather than particulate organic matter or primary producers (Post et al. 2002), and sampling consumers of interest and the stable isotope baseline 90 days apart (</w:t>
      </w:r>
      <w:proofErr w:type="spellStart"/>
      <w:r>
        <w:t>Possamai</w:t>
      </w:r>
      <w:proofErr w:type="spellEnd"/>
      <w:r>
        <w:t xml:space="preserve"> et al. 2021). These two approaches can minimize baseline isotope variability or account for disconnect between the baseline and consumer due to tissue turnover. We assessed </w:t>
      </w:r>
      <w:r w:rsidR="00B33F56">
        <w:t>the utility of these approaches to improve trophic position accuracy across a variety of systems by applying them to our simulated food webs. To calculate trophic position using the primary consumer we applied:</w:t>
      </w:r>
    </w:p>
    <w:p w14:paraId="3D65011C" w14:textId="638B5913" w:rsidR="00B33F56" w:rsidRDefault="00B33F56" w:rsidP="00B33F56">
      <w:pPr>
        <w:spacing w:line="480" w:lineRule="auto"/>
        <w:contextualSpacing/>
        <w:rPr>
          <w:iCs/>
        </w:rPr>
      </w:pPr>
      <w:r w:rsidRPr="00743FCB">
        <w:rPr>
          <w:b/>
          <w:iCs/>
        </w:rPr>
        <w:t>(1</w:t>
      </w:r>
      <w:r w:rsidR="00650DF3">
        <w:rPr>
          <w:b/>
          <w:iCs/>
        </w:rPr>
        <w:t>7</w:t>
      </w:r>
      <w:r w:rsidRPr="00743FCB">
        <w:rPr>
          <w:b/>
          <w:iCs/>
        </w:rPr>
        <w:t xml:space="preserve">) </w:t>
      </w:r>
      <w:r w:rsidRPr="00743FCB">
        <w:rPr>
          <w:iCs/>
        </w:rPr>
        <w:t>TP = δ</w:t>
      </w:r>
      <w:r w:rsidRPr="00743FCB">
        <w:rPr>
          <w:iCs/>
          <w:vertAlign w:val="superscript"/>
        </w:rPr>
        <w:t>15</w:t>
      </w:r>
      <w:r w:rsidRPr="00743FCB">
        <w:rPr>
          <w:iCs/>
        </w:rPr>
        <w:t>N</w:t>
      </w:r>
      <w:r>
        <w:rPr>
          <w:iCs/>
          <w:vertAlign w:val="subscript"/>
        </w:rPr>
        <w:t>TL</w:t>
      </w:r>
      <w:r w:rsidRPr="00743FCB">
        <w:rPr>
          <w:iCs/>
        </w:rPr>
        <w:t>- δ</w:t>
      </w:r>
      <w:r w:rsidRPr="00743FCB">
        <w:rPr>
          <w:iCs/>
          <w:vertAlign w:val="superscript"/>
        </w:rPr>
        <w:t>15</w:t>
      </w:r>
      <w:r w:rsidRPr="00743FCB">
        <w:rPr>
          <w:iCs/>
        </w:rPr>
        <w:t>N</w:t>
      </w:r>
      <w:r>
        <w:rPr>
          <w:iCs/>
          <w:vertAlign w:val="subscript"/>
        </w:rPr>
        <w:t>TL=2</w:t>
      </w:r>
      <w:r w:rsidRPr="00743FCB">
        <w:rPr>
          <w:iCs/>
        </w:rPr>
        <w:t>/TEF+</w:t>
      </w:r>
      <w:r>
        <w:rPr>
          <w:iCs/>
        </w:rPr>
        <w:t>2</w:t>
      </w:r>
    </w:p>
    <w:p w14:paraId="3E5B563C" w14:textId="138FDA59" w:rsidR="00B33F56" w:rsidRDefault="00B33F56" w:rsidP="00730507">
      <w:pPr>
        <w:spacing w:line="480" w:lineRule="auto"/>
      </w:pPr>
      <w:r>
        <w:t xml:space="preserve">Using the stable isotope values of the simulated primary consumer, </w:t>
      </w:r>
      <w:r w:rsidRPr="00B33F56">
        <w:rPr>
          <w:i/>
          <w:iCs/>
        </w:rPr>
        <w:t>δ</w:t>
      </w:r>
      <w:r w:rsidRPr="00B33F56">
        <w:rPr>
          <w:i/>
          <w:iCs/>
          <w:vertAlign w:val="superscript"/>
        </w:rPr>
        <w:t>15</w:t>
      </w:r>
      <w:r w:rsidRPr="00B33F56">
        <w:rPr>
          <w:i/>
          <w:iCs/>
        </w:rPr>
        <w:t>N</w:t>
      </w:r>
      <w:r w:rsidRPr="00B33F56">
        <w:rPr>
          <w:i/>
          <w:iCs/>
          <w:vertAlign w:val="subscript"/>
        </w:rPr>
        <w:t>TL=2</w:t>
      </w:r>
      <w:r w:rsidR="00D00B65">
        <w:rPr>
          <w:iCs/>
          <w:vertAlign w:val="subscript"/>
        </w:rPr>
        <w:t xml:space="preserve">. </w:t>
      </w:r>
      <w:r w:rsidR="00D00B65">
        <w:t xml:space="preserve">To calculate the trophic position using a 90 day delay we </w:t>
      </w:r>
    </w:p>
    <w:p w14:paraId="15F1936C" w14:textId="4874EA1C" w:rsidR="00D00B65" w:rsidRDefault="00D00B65" w:rsidP="00D00B65">
      <w:pPr>
        <w:spacing w:line="480" w:lineRule="auto"/>
        <w:contextualSpacing/>
        <w:rPr>
          <w:iCs/>
        </w:rPr>
      </w:pPr>
      <w:r w:rsidRPr="00743FCB">
        <w:rPr>
          <w:b/>
          <w:iCs/>
        </w:rPr>
        <w:t>(1</w:t>
      </w:r>
      <w:r w:rsidR="00650DF3">
        <w:rPr>
          <w:b/>
          <w:iCs/>
        </w:rPr>
        <w:t>8</w:t>
      </w:r>
      <w:r w:rsidRPr="00743FCB">
        <w:rPr>
          <w:b/>
          <w:iCs/>
        </w:rPr>
        <w:t xml:space="preserve">) </w:t>
      </w:r>
      <w:r w:rsidRPr="00743FCB">
        <w:rPr>
          <w:iCs/>
        </w:rPr>
        <w:t>TP = δ</w:t>
      </w:r>
      <w:r w:rsidRPr="00743FCB">
        <w:rPr>
          <w:iCs/>
          <w:vertAlign w:val="superscript"/>
        </w:rPr>
        <w:t>15</w:t>
      </w:r>
      <w:r w:rsidRPr="00743FCB">
        <w:rPr>
          <w:iCs/>
        </w:rPr>
        <w:t>N</w:t>
      </w:r>
      <w:r>
        <w:rPr>
          <w:iCs/>
          <w:vertAlign w:val="subscript"/>
        </w:rPr>
        <w:t xml:space="preserve">TL, y </w:t>
      </w:r>
      <w:r w:rsidRPr="00743FCB">
        <w:rPr>
          <w:iCs/>
        </w:rPr>
        <w:t>- δ</w:t>
      </w:r>
      <w:r w:rsidRPr="00743FCB">
        <w:rPr>
          <w:iCs/>
          <w:vertAlign w:val="superscript"/>
        </w:rPr>
        <w:t>15</w:t>
      </w:r>
      <w:r w:rsidRPr="00743FCB">
        <w:rPr>
          <w:iCs/>
        </w:rPr>
        <w:t>N</w:t>
      </w:r>
      <w:r>
        <w:rPr>
          <w:iCs/>
          <w:vertAlign w:val="subscript"/>
        </w:rPr>
        <w:t xml:space="preserve">TL=1, z </w:t>
      </w:r>
      <w:r w:rsidRPr="00743FCB">
        <w:rPr>
          <w:iCs/>
        </w:rPr>
        <w:t>/TEF+</w:t>
      </w:r>
      <w:r>
        <w:rPr>
          <w:iCs/>
        </w:rPr>
        <w:t>2</w:t>
      </w:r>
    </w:p>
    <w:p w14:paraId="10B8409B" w14:textId="327DE02C" w:rsidR="00D00B65" w:rsidRPr="00650DF3" w:rsidRDefault="00D00B65" w:rsidP="00730507">
      <w:pPr>
        <w:spacing w:line="480" w:lineRule="auto"/>
      </w:pPr>
      <w:r>
        <w:t xml:space="preserve">Where </w:t>
      </w:r>
      <w:r w:rsidRPr="00D00B65">
        <w:rPr>
          <w:i/>
          <w:iCs/>
        </w:rPr>
        <w:t>δ</w:t>
      </w:r>
      <w:r w:rsidRPr="00D00B65">
        <w:rPr>
          <w:i/>
          <w:iCs/>
          <w:vertAlign w:val="superscript"/>
        </w:rPr>
        <w:t>15</w:t>
      </w:r>
      <w:r w:rsidRPr="00D00B65">
        <w:rPr>
          <w:i/>
          <w:iCs/>
        </w:rPr>
        <w:t>N</w:t>
      </w:r>
      <w:r w:rsidRPr="00D00B65">
        <w:rPr>
          <w:i/>
          <w:iCs/>
          <w:vertAlign w:val="subscript"/>
        </w:rPr>
        <w:t xml:space="preserve">TL, </w:t>
      </w:r>
      <w:proofErr w:type="gramStart"/>
      <w:r w:rsidRPr="00D00B65">
        <w:rPr>
          <w:i/>
          <w:iCs/>
          <w:vertAlign w:val="subscript"/>
        </w:rPr>
        <w:t>y</w:t>
      </w:r>
      <w:r>
        <w:rPr>
          <w:iCs/>
          <w:vertAlign w:val="subscript"/>
        </w:rPr>
        <w:t xml:space="preserve"> </w:t>
      </w:r>
      <w:r>
        <w:rPr>
          <w:i/>
        </w:rPr>
        <w:t xml:space="preserve"> </w:t>
      </w:r>
      <w:r>
        <w:t>was</w:t>
      </w:r>
      <w:proofErr w:type="gramEnd"/>
      <w:r>
        <w:t xml:space="preserve"> the isotope signature of consumers at day</w:t>
      </w:r>
      <w:r w:rsidR="00687158">
        <w:t xml:space="preserve">s </w:t>
      </w:r>
      <w:r w:rsidR="00687158">
        <w:rPr>
          <w:i/>
        </w:rPr>
        <w:t xml:space="preserve">y </w:t>
      </w:r>
      <w:r w:rsidR="00687158">
        <w:t xml:space="preserve">90, 270 and 360 and </w:t>
      </w:r>
      <w:r w:rsidR="00687158" w:rsidRPr="00687158">
        <w:rPr>
          <w:i/>
          <w:iCs/>
        </w:rPr>
        <w:t>δ</w:t>
      </w:r>
      <w:r w:rsidR="00687158" w:rsidRPr="00687158">
        <w:rPr>
          <w:i/>
          <w:iCs/>
          <w:vertAlign w:val="superscript"/>
        </w:rPr>
        <w:t>15</w:t>
      </w:r>
      <w:r w:rsidR="00687158" w:rsidRPr="00687158">
        <w:rPr>
          <w:i/>
          <w:iCs/>
        </w:rPr>
        <w:t>N</w:t>
      </w:r>
      <w:r w:rsidR="00687158" w:rsidRPr="00687158">
        <w:rPr>
          <w:i/>
          <w:iCs/>
          <w:vertAlign w:val="subscript"/>
        </w:rPr>
        <w:t xml:space="preserve"> TL=1, z</w:t>
      </w:r>
      <w:r w:rsidR="00687158">
        <w:rPr>
          <w:i/>
          <w:iCs/>
          <w:vertAlign w:val="subscript"/>
        </w:rPr>
        <w:t xml:space="preserve"> </w:t>
      </w:r>
      <w:r w:rsidR="00650DF3">
        <w:rPr>
          <w:iCs/>
        </w:rPr>
        <w:t xml:space="preserve">is the stable isotope value of the baseline at days, </w:t>
      </w:r>
      <w:r w:rsidR="00650DF3">
        <w:rPr>
          <w:i/>
          <w:iCs/>
        </w:rPr>
        <w:t>z</w:t>
      </w:r>
      <w:r w:rsidR="00650DF3">
        <w:rPr>
          <w:iCs/>
        </w:rPr>
        <w:t xml:space="preserve"> which were 1, 90, 270, and 360. A third approach combining both of these methodologies was also applied to the model output and trophic position deviation was calculated using equation 14.</w:t>
      </w:r>
    </w:p>
    <w:p w14:paraId="44BF55DD" w14:textId="77777777" w:rsidR="00C87C81" w:rsidRDefault="00C87C81">
      <w:pPr>
        <w:spacing w:after="200" w:line="276" w:lineRule="auto"/>
        <w:rPr>
          <w:b/>
          <w:u w:val="single"/>
        </w:rPr>
      </w:pPr>
      <w:r>
        <w:rPr>
          <w:b/>
          <w:u w:val="single"/>
        </w:rPr>
        <w:br w:type="page"/>
      </w:r>
    </w:p>
    <w:p w14:paraId="4170DAE0" w14:textId="6A5E751A" w:rsidR="00DE66E5" w:rsidRDefault="00DE66E5">
      <w:r>
        <w:rPr>
          <w:b/>
          <w:u w:val="single"/>
        </w:rPr>
        <w:lastRenderedPageBreak/>
        <w:t xml:space="preserve">4. </w:t>
      </w:r>
      <w:r w:rsidRPr="00DE66E5">
        <w:rPr>
          <w:b/>
          <w:u w:val="single"/>
        </w:rPr>
        <w:t>Results</w:t>
      </w:r>
    </w:p>
    <w:p w14:paraId="20EECA59" w14:textId="09AAB408" w:rsidR="00FE206B" w:rsidRDefault="00FE206B" w:rsidP="00DE66E5">
      <w:pPr>
        <w:spacing w:line="480" w:lineRule="auto"/>
        <w:contextualSpacing/>
        <w:rPr>
          <w:i/>
          <w:u w:val="single"/>
        </w:rPr>
      </w:pPr>
      <w:r>
        <w:tab/>
      </w:r>
      <w:r w:rsidR="006472FE">
        <w:t xml:space="preserve">The shape of the stable isotope baseline impacts the </w:t>
      </w:r>
      <w:r w:rsidR="003949B8">
        <w:t xml:space="preserve">bulk stable isotope </w:t>
      </w:r>
      <w:r w:rsidR="00EA2144">
        <w:t>values</w:t>
      </w:r>
      <w:r w:rsidR="003949B8">
        <w:t xml:space="preserve"> and </w:t>
      </w:r>
      <w:r w:rsidR="006472FE">
        <w:t>trophic position deviation for</w:t>
      </w:r>
      <w:r w:rsidR="00BB6118">
        <w:t xml:space="preserve"> simulated </w:t>
      </w:r>
      <w:r w:rsidR="003949B8">
        <w:t xml:space="preserve">primary, secondary, and tertiary </w:t>
      </w:r>
      <w:r w:rsidR="00BB6118">
        <w:t xml:space="preserve">consumers. </w:t>
      </w:r>
      <w:r>
        <w:t xml:space="preserve">The four stable isotope baselines (Table 1) showed a range of stable isotope variability over the course of a year (Figure </w:t>
      </w:r>
      <w:r w:rsidR="008B2199">
        <w:t>4</w:t>
      </w:r>
      <w:r>
        <w:t xml:space="preserve">). The oligotrophic lake </w:t>
      </w:r>
      <w:r w:rsidR="00DB6353">
        <w:t>(baseline 4</w:t>
      </w:r>
      <w:r w:rsidR="00A139EB">
        <w:t xml:space="preserve">, Figure </w:t>
      </w:r>
      <w:r w:rsidR="008B2199">
        <w:t>4</w:t>
      </w:r>
      <w:r w:rsidR="00A139EB">
        <w:t>F</w:t>
      </w:r>
      <w:r w:rsidR="00DB6353">
        <w:t xml:space="preserve">) </w:t>
      </w:r>
      <w:r>
        <w:t xml:space="preserve">had the greatest variability in </w:t>
      </w:r>
      <w:r w:rsidR="00DB6353">
        <w:t xml:space="preserve">the stable isotope </w:t>
      </w:r>
      <w:r w:rsidR="005A4912">
        <w:t>values</w:t>
      </w:r>
      <w:r w:rsidR="00DB6353">
        <w:t xml:space="preserve"> </w:t>
      </w:r>
      <w:r w:rsidR="00D66ADD">
        <w:t xml:space="preserve">of particulate organic matter that ranged from 0 to over 10 per </w:t>
      </w:r>
      <w:proofErr w:type="spellStart"/>
      <w:r w:rsidR="00D66ADD">
        <w:t>mille</w:t>
      </w:r>
      <w:proofErr w:type="spellEnd"/>
      <w:r w:rsidR="003949B8">
        <w:t xml:space="preserve"> but was relatively stable until day 300</w:t>
      </w:r>
      <w:r w:rsidR="00D66ADD">
        <w:t xml:space="preserve">. </w:t>
      </w:r>
      <w:r w:rsidR="000E1021">
        <w:t>In contrast, the two other freshwater</w:t>
      </w:r>
      <w:r w:rsidR="00D66ADD">
        <w:t xml:space="preserve"> systems exhibited fluctuations </w:t>
      </w:r>
      <w:r w:rsidR="000E1021">
        <w:t xml:space="preserve">within a 5 per </w:t>
      </w:r>
      <w:proofErr w:type="spellStart"/>
      <w:r w:rsidR="000E1021">
        <w:t>mille</w:t>
      </w:r>
      <w:proofErr w:type="spellEnd"/>
      <w:r w:rsidR="000E1021">
        <w:t xml:space="preserve"> range, but oscillated more </w:t>
      </w:r>
      <w:r w:rsidR="002C378F">
        <w:t xml:space="preserve">frequently </w:t>
      </w:r>
      <w:r w:rsidR="000E1021">
        <w:t>between values</w:t>
      </w:r>
      <w:r w:rsidR="00A139EB">
        <w:t xml:space="preserve"> (Figure </w:t>
      </w:r>
      <w:r w:rsidR="008B2199">
        <w:t>4</w:t>
      </w:r>
      <w:r w:rsidR="00A139EB">
        <w:t>C – E)</w:t>
      </w:r>
      <w:r w:rsidR="002C378F">
        <w:t xml:space="preserve"> within that range</w:t>
      </w:r>
      <w:r w:rsidR="000E1021">
        <w:t xml:space="preserve">. </w:t>
      </w:r>
      <w:r w:rsidR="00E1785F">
        <w:t xml:space="preserve">Of the two eutrophic lakes, the heavily polluted lake (baseline 3; Figure </w:t>
      </w:r>
      <w:r w:rsidR="008B2199">
        <w:t>4</w:t>
      </w:r>
      <w:r w:rsidR="00E1785F">
        <w:t xml:space="preserve">E) had the highest variability. </w:t>
      </w:r>
      <w:r w:rsidR="000E1021">
        <w:t>The marine upwelling system showed baseline isotope values characteristic of seasonal nutrient fluctuations</w:t>
      </w:r>
      <w:r w:rsidR="005A4912">
        <w:t xml:space="preserve"> and spring phytoplankton blooms</w:t>
      </w:r>
      <w:r w:rsidR="000E1021">
        <w:t xml:space="preserve">, nitrogen stable isotope values of POM were lowest </w:t>
      </w:r>
      <w:r w:rsidR="00A139EB">
        <w:t xml:space="preserve">in the spring and summer when upwelling is high, and higher in the winter when nutrients are more limiting (Figure </w:t>
      </w:r>
      <w:r w:rsidR="008B2199">
        <w:t>4</w:t>
      </w:r>
      <w:r w:rsidR="00A139EB">
        <w:t>A &amp; B</w:t>
      </w:r>
      <w:r w:rsidR="00E1785F">
        <w:t>)</w:t>
      </w:r>
      <w:r w:rsidR="006472FE">
        <w:t xml:space="preserve">. </w:t>
      </w:r>
    </w:p>
    <w:p w14:paraId="390DD772" w14:textId="085CE49B" w:rsidR="00DE66E5" w:rsidRPr="00004EEC" w:rsidRDefault="00DE66E5" w:rsidP="00DE66E5">
      <w:pPr>
        <w:spacing w:line="480" w:lineRule="auto"/>
        <w:contextualSpacing/>
        <w:rPr>
          <w:i/>
          <w:u w:val="single"/>
        </w:rPr>
      </w:pPr>
      <w:r>
        <w:rPr>
          <w:i/>
          <w:u w:val="single"/>
        </w:rPr>
        <w:t>4.</w:t>
      </w:r>
      <w:r w:rsidR="0085268C">
        <w:rPr>
          <w:i/>
          <w:u w:val="single"/>
        </w:rPr>
        <w:t>2</w:t>
      </w:r>
      <w:r>
        <w:rPr>
          <w:i/>
          <w:u w:val="single"/>
        </w:rPr>
        <w:t xml:space="preserve"> </w:t>
      </w:r>
      <w:r w:rsidRPr="00743FCB">
        <w:rPr>
          <w:i/>
          <w:u w:val="single"/>
        </w:rPr>
        <w:t xml:space="preserve">Bulk Stable Isotope </w:t>
      </w:r>
      <w:r>
        <w:rPr>
          <w:i/>
          <w:u w:val="single"/>
        </w:rPr>
        <w:t>Model</w:t>
      </w:r>
    </w:p>
    <w:p w14:paraId="50081886" w14:textId="2FEB7A90" w:rsidR="007D1062" w:rsidRPr="002767B9" w:rsidRDefault="00D01619" w:rsidP="00622526">
      <w:pPr>
        <w:spacing w:line="480" w:lineRule="auto"/>
      </w:pPr>
      <w:r>
        <w:tab/>
      </w:r>
      <w:r w:rsidRPr="00622526">
        <w:t xml:space="preserve">Our model showed that consumers are rarely in </w:t>
      </w:r>
      <w:r w:rsidR="0041192E">
        <w:t xml:space="preserve">isotopic </w:t>
      </w:r>
      <w:r w:rsidRPr="00622526">
        <w:t xml:space="preserve">steady state with their available </w:t>
      </w:r>
      <w:r w:rsidRPr="002767B9">
        <w:rPr>
          <w:color w:val="000000" w:themeColor="text1"/>
        </w:rPr>
        <w:t>resources and the violation of this assumption resulted in deviations from true trophic position by as much as one trophic level</w:t>
      </w:r>
      <w:r w:rsidR="004C5323" w:rsidRPr="002767B9">
        <w:rPr>
          <w:color w:val="000000" w:themeColor="text1"/>
        </w:rPr>
        <w:t xml:space="preserve"> (</w:t>
      </w:r>
      <w:r w:rsidR="007A7BAD">
        <w:rPr>
          <w:color w:val="000000" w:themeColor="text1"/>
          <w:shd w:val="clear" w:color="auto" w:fill="FFFFFF"/>
        </w:rPr>
        <w:t xml:space="preserve">Table 2; </w:t>
      </w:r>
      <w:r w:rsidR="004C5323" w:rsidRPr="002767B9">
        <w:rPr>
          <w:color w:val="000000" w:themeColor="text1"/>
        </w:rPr>
        <w:t xml:space="preserve">Figure </w:t>
      </w:r>
      <w:r w:rsidR="008B2199">
        <w:rPr>
          <w:color w:val="000000" w:themeColor="text1"/>
        </w:rPr>
        <w:t>5</w:t>
      </w:r>
      <w:r w:rsidR="00622526" w:rsidRPr="002767B9">
        <w:rPr>
          <w:color w:val="000000" w:themeColor="text1"/>
        </w:rPr>
        <w:t xml:space="preserve">C &amp; F). </w:t>
      </w:r>
      <w:r w:rsidR="00607F21">
        <w:rPr>
          <w:color w:val="000000" w:themeColor="text1"/>
        </w:rPr>
        <w:t xml:space="preserve">We define duration </w:t>
      </w:r>
      <w:r w:rsidR="002C378F">
        <w:rPr>
          <w:color w:val="000000" w:themeColor="text1"/>
        </w:rPr>
        <w:t xml:space="preserve">of </w:t>
      </w:r>
      <w:r w:rsidR="00607F21">
        <w:rPr>
          <w:color w:val="000000" w:themeColor="text1"/>
        </w:rPr>
        <w:t xml:space="preserve">deviation as the number of simulated days that a consumer has a trophic position deviation of </w:t>
      </w:r>
      <w:r w:rsidR="00E16EFC">
        <w:rPr>
          <w:color w:val="000000" w:themeColor="text1"/>
        </w:rPr>
        <w:t xml:space="preserve">greater than </w:t>
      </w:r>
      <w:r w:rsidR="00607F21" w:rsidRPr="002767B9">
        <w:rPr>
          <w:color w:val="000000" w:themeColor="text1"/>
          <w:shd w:val="clear" w:color="auto" w:fill="FFFFFF"/>
        </w:rPr>
        <w:t>±</w:t>
      </w:r>
      <w:r w:rsidR="00607F21" w:rsidRPr="002767B9">
        <w:rPr>
          <w:color w:val="000000" w:themeColor="text1"/>
        </w:rPr>
        <w:t xml:space="preserve"> 0.</w:t>
      </w:r>
      <w:r w:rsidR="00212D07">
        <w:rPr>
          <w:color w:val="000000" w:themeColor="text1"/>
        </w:rPr>
        <w:t>2</w:t>
      </w:r>
      <w:r w:rsidR="00607F21" w:rsidRPr="002767B9">
        <w:rPr>
          <w:color w:val="000000" w:themeColor="text1"/>
        </w:rPr>
        <w:t xml:space="preserve"> </w:t>
      </w:r>
      <w:r w:rsidR="00E16EFC">
        <w:rPr>
          <w:color w:val="000000" w:themeColor="text1"/>
        </w:rPr>
        <w:t xml:space="preserve">trophic level </w:t>
      </w:r>
      <w:r w:rsidR="00607F21" w:rsidRPr="002767B9">
        <w:rPr>
          <w:color w:val="000000" w:themeColor="text1"/>
        </w:rPr>
        <w:t xml:space="preserve">(equivalent to </w:t>
      </w:r>
      <w:r w:rsidR="00607F21" w:rsidRPr="002767B9">
        <w:rPr>
          <w:color w:val="000000" w:themeColor="text1"/>
          <w:shd w:val="clear" w:color="auto" w:fill="FFFFFF"/>
        </w:rPr>
        <w:t>± 0.</w:t>
      </w:r>
      <w:r w:rsidR="005A4912">
        <w:rPr>
          <w:color w:val="000000" w:themeColor="text1"/>
          <w:shd w:val="clear" w:color="auto" w:fill="FFFFFF"/>
        </w:rPr>
        <w:t>7</w:t>
      </w:r>
      <w:r w:rsidR="00607F21" w:rsidRPr="002767B9">
        <w:rPr>
          <w:color w:val="000000" w:themeColor="text1"/>
          <w:shd w:val="clear" w:color="auto" w:fill="FFFFFF"/>
        </w:rPr>
        <w:t xml:space="preserve"> per </w:t>
      </w:r>
      <w:proofErr w:type="spellStart"/>
      <w:r w:rsidR="00607F21" w:rsidRPr="002767B9">
        <w:rPr>
          <w:color w:val="000000" w:themeColor="text1"/>
          <w:shd w:val="clear" w:color="auto" w:fill="FFFFFF"/>
        </w:rPr>
        <w:t>mille</w:t>
      </w:r>
      <w:proofErr w:type="spellEnd"/>
      <w:r w:rsidR="00607F21" w:rsidRPr="002767B9">
        <w:rPr>
          <w:color w:val="000000" w:themeColor="text1"/>
          <w:shd w:val="clear" w:color="auto" w:fill="FFFFFF"/>
        </w:rPr>
        <w:t xml:space="preserve"> deviation from steady state with resources).</w:t>
      </w:r>
      <w:r w:rsidR="00607F21">
        <w:rPr>
          <w:color w:val="000000" w:themeColor="text1"/>
          <w:shd w:val="clear" w:color="auto" w:fill="FFFFFF"/>
        </w:rPr>
        <w:t xml:space="preserve"> </w:t>
      </w:r>
      <w:r w:rsidR="00212D07">
        <w:rPr>
          <w:color w:val="000000" w:themeColor="text1"/>
        </w:rPr>
        <w:t>Primary</w:t>
      </w:r>
      <w:r w:rsidR="00622526" w:rsidRPr="002767B9">
        <w:rPr>
          <w:color w:val="000000" w:themeColor="text1"/>
        </w:rPr>
        <w:t xml:space="preserve"> consumers </w:t>
      </w:r>
      <w:r w:rsidR="00607F21">
        <w:rPr>
          <w:color w:val="000000" w:themeColor="text1"/>
        </w:rPr>
        <w:t>had at least</w:t>
      </w:r>
      <w:r w:rsidR="00622526" w:rsidRPr="002767B9">
        <w:rPr>
          <w:color w:val="000000" w:themeColor="text1"/>
        </w:rPr>
        <w:t xml:space="preserve"> </w:t>
      </w:r>
      <w:r w:rsidR="00212D07">
        <w:rPr>
          <w:color w:val="000000" w:themeColor="text1"/>
        </w:rPr>
        <w:t>50</w:t>
      </w:r>
      <w:r w:rsidR="00622526" w:rsidRPr="002767B9">
        <w:rPr>
          <w:color w:val="000000" w:themeColor="text1"/>
        </w:rPr>
        <w:t xml:space="preserve"> days</w:t>
      </w:r>
      <w:r w:rsidR="00607F21">
        <w:rPr>
          <w:color w:val="000000" w:themeColor="text1"/>
        </w:rPr>
        <w:t xml:space="preserve"> duration of </w:t>
      </w:r>
      <w:r w:rsidR="00622526" w:rsidRPr="002767B9">
        <w:rPr>
          <w:color w:val="000000" w:themeColor="text1"/>
        </w:rPr>
        <w:t>deviation</w:t>
      </w:r>
      <w:r w:rsidR="00212D07">
        <w:rPr>
          <w:color w:val="000000" w:themeColor="text1"/>
        </w:rPr>
        <w:t xml:space="preserve"> </w:t>
      </w:r>
      <w:r w:rsidR="00212D07" w:rsidRPr="002767B9">
        <w:rPr>
          <w:color w:val="000000" w:themeColor="text1"/>
          <w:shd w:val="clear" w:color="auto" w:fill="FFFFFF"/>
        </w:rPr>
        <w:t>(</w:t>
      </w:r>
      <w:r w:rsidR="00212D07">
        <w:rPr>
          <w:color w:val="000000" w:themeColor="text1"/>
          <w:shd w:val="clear" w:color="auto" w:fill="FFFFFF"/>
        </w:rPr>
        <w:t>Table 2)</w:t>
      </w:r>
      <w:r w:rsidR="00607F21">
        <w:rPr>
          <w:color w:val="000000" w:themeColor="text1"/>
        </w:rPr>
        <w:t>.</w:t>
      </w:r>
      <w:r w:rsidR="002767B9">
        <w:rPr>
          <w:color w:val="000000" w:themeColor="text1"/>
        </w:rPr>
        <w:t xml:space="preserve"> </w:t>
      </w:r>
      <w:r w:rsidR="00607F21">
        <w:rPr>
          <w:color w:val="000000" w:themeColor="text1"/>
        </w:rPr>
        <w:t>The duration of deviation increased as you moved up the food web. For all scenarios, tertiary consumers had the longest duration of deviation, which was as high as 2</w:t>
      </w:r>
      <w:r w:rsidR="007258BA">
        <w:rPr>
          <w:color w:val="000000" w:themeColor="text1"/>
        </w:rPr>
        <w:t>76</w:t>
      </w:r>
      <w:r w:rsidR="00607F21">
        <w:rPr>
          <w:color w:val="000000" w:themeColor="text1"/>
        </w:rPr>
        <w:t xml:space="preserve"> out</w:t>
      </w:r>
      <w:r w:rsidR="00B41F1B">
        <w:rPr>
          <w:color w:val="000000" w:themeColor="text1"/>
        </w:rPr>
        <w:t xml:space="preserve"> of</w:t>
      </w:r>
      <w:r w:rsidR="00607F21">
        <w:rPr>
          <w:color w:val="000000" w:themeColor="text1"/>
        </w:rPr>
        <w:t xml:space="preserve"> 365 days for scenario 3 (</w:t>
      </w:r>
      <w:r w:rsidR="007A7BAD">
        <w:rPr>
          <w:color w:val="000000" w:themeColor="text1"/>
          <w:shd w:val="clear" w:color="auto" w:fill="FFFFFF"/>
        </w:rPr>
        <w:t xml:space="preserve">Table 2; </w:t>
      </w:r>
      <w:r w:rsidR="00607F21">
        <w:rPr>
          <w:color w:val="000000" w:themeColor="text1"/>
        </w:rPr>
        <w:t xml:space="preserve">Figure </w:t>
      </w:r>
      <w:r w:rsidR="008B2199">
        <w:rPr>
          <w:color w:val="000000" w:themeColor="text1"/>
        </w:rPr>
        <w:t>4</w:t>
      </w:r>
      <w:r w:rsidR="00607F21">
        <w:rPr>
          <w:color w:val="000000" w:themeColor="text1"/>
        </w:rPr>
        <w:t>C).</w:t>
      </w:r>
      <w:r w:rsidR="00E16EFC">
        <w:rPr>
          <w:color w:val="000000" w:themeColor="text1"/>
        </w:rPr>
        <w:t xml:space="preserve"> </w:t>
      </w:r>
      <w:r w:rsidR="007258BA">
        <w:rPr>
          <w:color w:val="000000" w:themeColor="text1"/>
        </w:rPr>
        <w:t>Based on comparison 1, t</w:t>
      </w:r>
      <w:r w:rsidR="002C378F">
        <w:rPr>
          <w:color w:val="000000" w:themeColor="text1"/>
        </w:rPr>
        <w:t xml:space="preserve">he duration of deviation also increased for tertiary consumers when </w:t>
      </w:r>
      <w:r w:rsidR="00836E7B">
        <w:rPr>
          <w:color w:val="000000" w:themeColor="text1"/>
        </w:rPr>
        <w:t xml:space="preserve">half-life of </w:t>
      </w:r>
      <w:r w:rsidR="007258BA">
        <w:rPr>
          <w:color w:val="000000" w:themeColor="text1"/>
        </w:rPr>
        <w:t>secondary</w:t>
      </w:r>
      <w:r w:rsidR="00836E7B">
        <w:rPr>
          <w:color w:val="000000" w:themeColor="text1"/>
        </w:rPr>
        <w:t xml:space="preserve"> consumers increased, despite the same half-life of tertiary consumers and </w:t>
      </w:r>
      <w:r w:rsidR="00B41F1B">
        <w:rPr>
          <w:color w:val="000000" w:themeColor="text1"/>
        </w:rPr>
        <w:t xml:space="preserve">same </w:t>
      </w:r>
      <w:r w:rsidR="00836E7B">
        <w:rPr>
          <w:color w:val="000000" w:themeColor="text1"/>
        </w:rPr>
        <w:t xml:space="preserve">stable isotope baseline </w:t>
      </w:r>
      <w:r w:rsidR="00836E7B">
        <w:rPr>
          <w:color w:val="000000" w:themeColor="text1"/>
        </w:rPr>
        <w:lastRenderedPageBreak/>
        <w:t xml:space="preserve">(Table 2; Figure </w:t>
      </w:r>
      <w:r w:rsidR="008B2199">
        <w:rPr>
          <w:color w:val="000000" w:themeColor="text1"/>
        </w:rPr>
        <w:t>4</w:t>
      </w:r>
      <w:r w:rsidR="00836E7B">
        <w:rPr>
          <w:color w:val="000000" w:themeColor="text1"/>
        </w:rPr>
        <w:t xml:space="preserve">A versus B). </w:t>
      </w:r>
      <w:r w:rsidR="002C378F">
        <w:rPr>
          <w:color w:val="000000" w:themeColor="text1"/>
        </w:rPr>
        <w:t>Therefore, d</w:t>
      </w:r>
      <w:r w:rsidR="00E16EFC">
        <w:rPr>
          <w:color w:val="000000" w:themeColor="text1"/>
        </w:rPr>
        <w:t xml:space="preserve">uration of deviation was determined by the consumers half-life, </w:t>
      </w:r>
      <w:r w:rsidR="0085268C">
        <w:rPr>
          <w:color w:val="000000" w:themeColor="text1"/>
        </w:rPr>
        <w:t>in addition to</w:t>
      </w:r>
      <w:r w:rsidR="00E16EFC">
        <w:rPr>
          <w:color w:val="000000" w:themeColor="text1"/>
        </w:rPr>
        <w:t xml:space="preserve"> the half-life of </w:t>
      </w:r>
      <w:r w:rsidR="00836E7B">
        <w:rPr>
          <w:color w:val="000000" w:themeColor="text1"/>
        </w:rPr>
        <w:t>consumers lower</w:t>
      </w:r>
      <w:r w:rsidR="00E16EFC">
        <w:rPr>
          <w:color w:val="000000" w:themeColor="text1"/>
        </w:rPr>
        <w:t xml:space="preserve"> food web</w:t>
      </w:r>
      <w:r w:rsidR="00836E7B">
        <w:rPr>
          <w:color w:val="000000" w:themeColor="text1"/>
        </w:rPr>
        <w:t xml:space="preserve"> that serve as resources for higher trophic levels</w:t>
      </w:r>
      <w:r w:rsidR="00E16EFC">
        <w:rPr>
          <w:color w:val="000000" w:themeColor="text1"/>
        </w:rPr>
        <w:t xml:space="preserve">. </w:t>
      </w:r>
    </w:p>
    <w:p w14:paraId="5B39D287" w14:textId="03B25893" w:rsidR="00FE206B" w:rsidRDefault="007D1062" w:rsidP="00D01619">
      <w:pPr>
        <w:spacing w:line="480" w:lineRule="auto"/>
      </w:pPr>
      <w:r w:rsidRPr="002767B9">
        <w:tab/>
      </w:r>
      <w:r w:rsidR="0085268C">
        <w:t>Similarly, the magnitude of tr</w:t>
      </w:r>
      <w:r w:rsidR="000E3CE0" w:rsidRPr="002767B9">
        <w:t>ophic position deviations</w:t>
      </w:r>
      <w:r w:rsidR="000E3CE0">
        <w:t xml:space="preserve"> depend</w:t>
      </w:r>
      <w:r w:rsidR="00D35C40">
        <w:t>s on both</w:t>
      </w:r>
      <w:r w:rsidR="000E3CE0">
        <w:t xml:space="preserve"> the half-life of consumer of interest, </w:t>
      </w:r>
      <w:r w:rsidR="00D35C40">
        <w:t>and</w:t>
      </w:r>
      <w:r w:rsidR="000E3CE0">
        <w:t xml:space="preserve"> also the half-life of consumers </w:t>
      </w:r>
      <w:proofErr w:type="gramStart"/>
      <w:r w:rsidR="000E3CE0">
        <w:t>lower</w:t>
      </w:r>
      <w:proofErr w:type="gramEnd"/>
      <w:r w:rsidR="000E3CE0">
        <w:t xml:space="preserve"> in the food web. </w:t>
      </w:r>
      <w:r>
        <w:t xml:space="preserve">When a </w:t>
      </w:r>
      <w:r w:rsidR="00D35C40">
        <w:t>primary or secondary</w:t>
      </w:r>
      <w:r>
        <w:t xml:space="preserve"> consumer is not in steady state with its resources, the resulting trophic position deviation propagates through the food web. </w:t>
      </w:r>
      <w:r w:rsidR="005629A6">
        <w:t xml:space="preserve">In comparison 1, the trophic position deviation for the tertiary consumer was higher when half-life value of the secondary consumer (Figure </w:t>
      </w:r>
      <w:r w:rsidR="002D08B2">
        <w:t>5</w:t>
      </w:r>
      <w:r w:rsidR="005629A6">
        <w:t>A) was higher, despite the half-life value of the tertiary consumer being the same in both scenarios. Sampling a</w:t>
      </w:r>
      <w:r w:rsidR="002D08B2">
        <w:t xml:space="preserve"> </w:t>
      </w:r>
      <w:r w:rsidR="005629A6">
        <w:t xml:space="preserve">tissue of a </w:t>
      </w:r>
      <w:r w:rsidR="00372EAD">
        <w:t xml:space="preserve">tertiary </w:t>
      </w:r>
      <w:r w:rsidR="005629A6">
        <w:t>consumer with extremely rapid turnover time (i.e., blood pla</w:t>
      </w:r>
      <w:r w:rsidR="00372EAD">
        <w:t>s</w:t>
      </w:r>
      <w:r w:rsidR="005629A6">
        <w:t>ma</w:t>
      </w:r>
      <w:r w:rsidR="002D08B2">
        <w:t xml:space="preserve"> Figure 5C</w:t>
      </w:r>
      <w:r w:rsidR="005629A6">
        <w:t>) did not prevent tro</w:t>
      </w:r>
      <w:r w:rsidR="00372EAD">
        <w:t xml:space="preserve">phic position deviation, despite the tertiary consumer being as close to isotopic steady state </w:t>
      </w:r>
      <w:r w:rsidR="00DB792A">
        <w:t xml:space="preserve">with its prey </w:t>
      </w:r>
      <w:r w:rsidR="00372EAD">
        <w:t xml:space="preserve">as possible. </w:t>
      </w:r>
      <w:r w:rsidR="002D08B2">
        <w:t xml:space="preserve">Sampling the blood plasma of a </w:t>
      </w:r>
      <w:r w:rsidR="00F44071">
        <w:t xml:space="preserve">tertiary </w:t>
      </w:r>
      <w:r w:rsidR="002D08B2">
        <w:t>consumer that has prey with slow tissue turnover</w:t>
      </w:r>
      <w:r w:rsidR="00F44071">
        <w:t xml:space="preserve"> (i.e., adult steelhead muscle)</w:t>
      </w:r>
      <w:r w:rsidR="002D08B2">
        <w:t xml:space="preserve">, results in </w:t>
      </w:r>
      <w:r w:rsidR="00F44071">
        <w:t xml:space="preserve">substantial trophic position deviation ranging from </w:t>
      </w:r>
      <w:r w:rsidR="005D560E">
        <w:t>2.9</w:t>
      </w:r>
      <w:r w:rsidR="00F44071">
        <w:t xml:space="preserve"> to </w:t>
      </w:r>
      <w:r w:rsidR="005D560E">
        <w:t>4.8</w:t>
      </w:r>
      <w:r w:rsidR="00F44071">
        <w:t xml:space="preserve"> (</w:t>
      </w:r>
      <w:proofErr w:type="spellStart"/>
      <w:r w:rsidR="005D560E" w:rsidRPr="005D560E">
        <w:rPr>
          <w:i/>
        </w:rPr>
        <w:t>TL</w:t>
      </w:r>
      <w:r w:rsidR="005D560E" w:rsidRPr="005D560E">
        <w:rPr>
          <w:i/>
          <w:vertAlign w:val="subscript"/>
        </w:rPr>
        <w:t>True</w:t>
      </w:r>
      <w:proofErr w:type="spellEnd"/>
      <w:r w:rsidR="005D560E">
        <w:t xml:space="preserve"> = 3, </w:t>
      </w:r>
      <w:r w:rsidR="00F44071">
        <w:t>Figure 5C). This deviation is similar to sampling a tissue with a longer isotopic half-life from a tertiary consumer that eats prey with a faster half-life (i.e., juvenile small mouth bass muscle)</w:t>
      </w:r>
      <w:r w:rsidR="00BD235A">
        <w:t xml:space="preserve"> (Figure 5D) which ranges from </w:t>
      </w:r>
      <w:r w:rsidR="005D560E">
        <w:t>3.1</w:t>
      </w:r>
      <w:r w:rsidR="00BD235A">
        <w:t xml:space="preserve"> to </w:t>
      </w:r>
      <w:r w:rsidR="005D560E">
        <w:t>4.8</w:t>
      </w:r>
      <w:r w:rsidR="00F44071">
        <w:t xml:space="preserve">. </w:t>
      </w:r>
    </w:p>
    <w:p w14:paraId="6BFCA709" w14:textId="768AB8DB" w:rsidR="00980A5D" w:rsidRDefault="00980A5D" w:rsidP="00D01619">
      <w:pPr>
        <w:spacing w:line="480" w:lineRule="auto"/>
      </w:pPr>
      <w:r>
        <w:tab/>
        <w:t xml:space="preserve">In addition to half-life value of the consumers in a food web, the shape of the stable isotope baseline (rate of isotopic change, inflection points, magnitude of change) also impacts the stable isotope values of the consumers, and as a result, the magnitude and duration of trophic position deviation. </w:t>
      </w:r>
      <w:r w:rsidR="00AC3542">
        <w:t>The eutrophic, urban</w:t>
      </w:r>
      <w:r w:rsidR="00B41F1B">
        <w:t xml:space="preserve"> l</w:t>
      </w:r>
      <w:r w:rsidR="00AC3542">
        <w:t>ake (</w:t>
      </w:r>
      <w:proofErr w:type="spellStart"/>
      <w:r w:rsidR="00040AA8" w:rsidRPr="00743FCB">
        <w:t>Syväranta</w:t>
      </w:r>
      <w:proofErr w:type="spellEnd"/>
      <w:r w:rsidR="00040AA8">
        <w:t xml:space="preserve"> </w:t>
      </w:r>
      <w:r w:rsidR="00C56E7E">
        <w:t xml:space="preserve">et al. 2008) had an isotope baseline that demonstrated a slow rate of change that reached a high magnitude (Figure 4E), comparatively, the pristine oligotrophic lake showed frequent, small, rapid, fluctuations followed by a rapid increase of 10 per </w:t>
      </w:r>
      <w:proofErr w:type="spellStart"/>
      <w:r w:rsidR="00C56E7E">
        <w:t>mille</w:t>
      </w:r>
      <w:proofErr w:type="spellEnd"/>
      <w:r w:rsidR="00C56E7E">
        <w:t xml:space="preserve"> (Figure 4D). </w:t>
      </w:r>
      <w:r w:rsidR="0013534E">
        <w:t xml:space="preserve">The eutrophic lake had a much longer duration of deviation for </w:t>
      </w:r>
      <w:r w:rsidR="00D37F4D">
        <w:t>all consumers</w:t>
      </w:r>
      <w:r w:rsidR="0013534E">
        <w:t xml:space="preserve"> (Table 2)</w:t>
      </w:r>
      <w:r w:rsidR="00845256">
        <w:t xml:space="preserve"> compared to the oligotrophic lake </w:t>
      </w:r>
      <w:r w:rsidR="00845256">
        <w:lastRenderedPageBreak/>
        <w:t>(Figure 5E &amp; D). For almost the entire model simulation, the oligotrophic food web was</w:t>
      </w:r>
      <w:r w:rsidR="00EB2FD3">
        <w:t xml:space="preserve"> within</w:t>
      </w:r>
      <w:r w:rsidR="00845256">
        <w:t xml:space="preserve"> </w:t>
      </w:r>
      <w:r w:rsidR="00B41F1B" w:rsidRPr="002767B9">
        <w:rPr>
          <w:color w:val="000000" w:themeColor="text1"/>
          <w:shd w:val="clear" w:color="auto" w:fill="FFFFFF"/>
        </w:rPr>
        <w:t>±</w:t>
      </w:r>
      <w:r w:rsidR="00EB2FD3">
        <w:rPr>
          <w:color w:val="000000" w:themeColor="text1"/>
          <w:shd w:val="clear" w:color="auto" w:fill="FFFFFF"/>
        </w:rPr>
        <w:t xml:space="preserve"> </w:t>
      </w:r>
      <w:r w:rsidR="00845256">
        <w:t xml:space="preserve">0.2 </w:t>
      </w:r>
      <w:r w:rsidR="00EB2FD3">
        <w:t xml:space="preserve">trophic levels </w:t>
      </w:r>
      <w:r w:rsidR="00845256">
        <w:t>until day 300 when all consumers experience a high and rapid deviation from their true value (Figure 5D). In comparison, the consumers in the eutrophic lake were consistently underestimated but experienced a lower magnitude of deviation (Figure 5E).</w:t>
      </w:r>
    </w:p>
    <w:p w14:paraId="63F2EED4" w14:textId="6A6B5D0C" w:rsidR="003A4B6F" w:rsidRPr="00004EEC" w:rsidRDefault="003A4B6F" w:rsidP="003A4B6F">
      <w:pPr>
        <w:spacing w:line="480" w:lineRule="auto"/>
        <w:contextualSpacing/>
        <w:rPr>
          <w:i/>
          <w:u w:val="single"/>
        </w:rPr>
      </w:pPr>
      <w:r>
        <w:rPr>
          <w:i/>
          <w:u w:val="single"/>
        </w:rPr>
        <w:t>4.</w:t>
      </w:r>
      <w:r w:rsidR="007A783F">
        <w:rPr>
          <w:i/>
          <w:u w:val="single"/>
        </w:rPr>
        <w:t>3</w:t>
      </w:r>
      <w:r>
        <w:rPr>
          <w:i/>
          <w:u w:val="single"/>
        </w:rPr>
        <w:t xml:space="preserve"> </w:t>
      </w:r>
      <w:r w:rsidR="0085268C">
        <w:rPr>
          <w:i/>
          <w:u w:val="single"/>
        </w:rPr>
        <w:t>CSIA</w:t>
      </w:r>
      <w:r w:rsidRPr="00743FCB">
        <w:rPr>
          <w:i/>
          <w:u w:val="single"/>
        </w:rPr>
        <w:t xml:space="preserve"> </w:t>
      </w:r>
      <w:r>
        <w:rPr>
          <w:i/>
          <w:u w:val="single"/>
        </w:rPr>
        <w:t>Model</w:t>
      </w:r>
    </w:p>
    <w:p w14:paraId="4C9F150B" w14:textId="60BD55FD" w:rsidR="00D554DB" w:rsidRDefault="003A4B6F" w:rsidP="00D01619">
      <w:pPr>
        <w:spacing w:line="480" w:lineRule="auto"/>
        <w:rPr>
          <w:color w:val="000000" w:themeColor="text1"/>
        </w:rPr>
      </w:pPr>
      <w:r w:rsidRPr="003A4B6F">
        <w:tab/>
      </w:r>
      <w:r w:rsidR="0085268C">
        <w:t>Magnitude of t</w:t>
      </w:r>
      <w:r w:rsidRPr="003A4B6F">
        <w:t>rophic</w:t>
      </w:r>
      <w:r>
        <w:t xml:space="preserve"> position deviation and the duration of deviation was lower using CSIA compared to </w:t>
      </w:r>
      <w:r w:rsidR="00EB2FD3">
        <w:t>BSIA</w:t>
      </w:r>
      <w:r w:rsidR="005F0A18">
        <w:t xml:space="preserve"> and varied across trophic amino acids. </w:t>
      </w:r>
      <w:r w:rsidR="00405482">
        <w:t xml:space="preserve">Baseline 3, the moderately eutrophic urban lake, had the highest </w:t>
      </w:r>
      <w:r w:rsidR="00FC4170">
        <w:t xml:space="preserve">magnitude of </w:t>
      </w:r>
      <w:r w:rsidR="00405482">
        <w:t>trophic position deviation of all stable isotope baselines</w:t>
      </w:r>
      <w:r w:rsidR="00265847">
        <w:t xml:space="preserve"> for the CSIA model</w:t>
      </w:r>
      <w:r w:rsidR="00FC4170">
        <w:t xml:space="preserve"> (Figure </w:t>
      </w:r>
      <w:r w:rsidR="008B2199">
        <w:t>7</w:t>
      </w:r>
      <w:r w:rsidR="00FC4170">
        <w:t>E &amp; F)</w:t>
      </w:r>
      <w:r w:rsidR="00405482">
        <w:t>. Of the tested trophic amino acids, p</w:t>
      </w:r>
      <w:r w:rsidR="005F0A18">
        <w:t xml:space="preserve">roline had the greatest </w:t>
      </w:r>
      <w:r w:rsidR="00FC4170">
        <w:t xml:space="preserve">magnitude of </w:t>
      </w:r>
      <w:r w:rsidR="005F0A18">
        <w:t>trophic position deviation for both shrimp, the primary consumer</w:t>
      </w:r>
      <w:r w:rsidR="00405482">
        <w:t xml:space="preserve"> (maximum deviation = 0.2)</w:t>
      </w:r>
      <w:r w:rsidR="005F0A18">
        <w:t>, and tuna, the secondary consumer</w:t>
      </w:r>
      <w:r w:rsidR="00405482">
        <w:t xml:space="preserve"> (maximum deviation = 0.4; </w:t>
      </w:r>
      <w:r w:rsidR="005F0A18">
        <w:t xml:space="preserve">Figure </w:t>
      </w:r>
      <w:r w:rsidR="008B2199">
        <w:t>7</w:t>
      </w:r>
      <w:r w:rsidR="0015379B">
        <w:t>F</w:t>
      </w:r>
      <w:r w:rsidR="005F0A18">
        <w:t xml:space="preserve">). </w:t>
      </w:r>
      <w:r w:rsidR="0015379B">
        <w:t>In comparison, the canonically used trophic amino acid for CSIA trophic position calculations, glutamic acid, only had a maximum trophic position deviation of 0.04 for shrimp and 0.2 for tuna for the same baseline</w:t>
      </w:r>
      <w:r w:rsidR="00265847">
        <w:t xml:space="preserve">, and lower </w:t>
      </w:r>
      <w:r w:rsidR="00FC4170">
        <w:t xml:space="preserve">magnitude of </w:t>
      </w:r>
      <w:r w:rsidR="00265847">
        <w:t>deviations for all other baselines</w:t>
      </w:r>
      <w:r w:rsidR="0015379B">
        <w:t xml:space="preserve"> (Figure </w:t>
      </w:r>
      <w:r w:rsidR="008B2199">
        <w:t>7</w:t>
      </w:r>
      <w:r w:rsidR="0015379B">
        <w:t xml:space="preserve">E). </w:t>
      </w:r>
      <w:r w:rsidR="00C772A8">
        <w:t>Similarly, proline had the greatest duration of deviation, which was as high as 147 days for tuna in baseline 3 and as low as 32 days for shrimp in baseline 4</w:t>
      </w:r>
      <w:r w:rsidR="00265847">
        <w:t xml:space="preserve"> (Table 3)</w:t>
      </w:r>
      <w:r w:rsidR="00C772A8">
        <w:t>. In contrast, glutamic acid had 0 day</w:t>
      </w:r>
      <w:r w:rsidR="00265847">
        <w:t>s</w:t>
      </w:r>
      <w:r w:rsidR="00C772A8">
        <w:t xml:space="preserve"> duration deviation for both shrimp and tuna for most baseline</w:t>
      </w:r>
      <w:r w:rsidR="00265847">
        <w:t>s</w:t>
      </w:r>
      <w:r w:rsidR="00C772A8">
        <w:t xml:space="preserve">, with a notable exception </w:t>
      </w:r>
      <w:r w:rsidR="00265847">
        <w:t>for</w:t>
      </w:r>
      <w:r w:rsidR="00954C7C">
        <w:t xml:space="preserve"> tuna in baseline 3, which had a </w:t>
      </w:r>
      <w:r w:rsidR="00FC4170">
        <w:t>75-day</w:t>
      </w:r>
      <w:r w:rsidR="00954C7C">
        <w:t xml:space="preserve"> duration of deviation (Table 3). All amino acids used in the CSIA model performed better in terms of the magnitude of </w:t>
      </w:r>
      <w:r w:rsidR="00FC4170">
        <w:t xml:space="preserve">trophic position </w:t>
      </w:r>
      <w:r w:rsidR="00954C7C">
        <w:t xml:space="preserve">deviation (Figure </w:t>
      </w:r>
      <w:r w:rsidR="008B2199">
        <w:t>7</w:t>
      </w:r>
      <w:r w:rsidR="00954C7C">
        <w:t xml:space="preserve">) compared to </w:t>
      </w:r>
      <w:r w:rsidR="00EB2FD3">
        <w:t>BSIA</w:t>
      </w:r>
      <w:r w:rsidR="00954C7C">
        <w:t xml:space="preserve"> analysis (Figure </w:t>
      </w:r>
      <w:r w:rsidR="008B2199">
        <w:t>5</w:t>
      </w:r>
      <w:r w:rsidR="00954C7C">
        <w:t xml:space="preserve">). </w:t>
      </w:r>
      <w:r w:rsidR="00F13200">
        <w:t>No amino acids for the primary and secondary consumers in the CSIA model exceeded a trophic position deviation of greater than 0.4 trophic levels</w:t>
      </w:r>
      <w:r w:rsidR="00DA27B7">
        <w:t xml:space="preserve"> and for most trophic amino acids it did not exceed </w:t>
      </w:r>
      <w:r w:rsidR="00DA27B7" w:rsidRPr="002767B9">
        <w:rPr>
          <w:color w:val="000000" w:themeColor="text1"/>
          <w:shd w:val="clear" w:color="auto" w:fill="FFFFFF"/>
        </w:rPr>
        <w:t>±</w:t>
      </w:r>
      <w:r w:rsidR="00DA27B7" w:rsidRPr="002767B9">
        <w:rPr>
          <w:color w:val="000000" w:themeColor="text1"/>
        </w:rPr>
        <w:t xml:space="preserve"> 0.</w:t>
      </w:r>
      <w:r w:rsidR="00024B96">
        <w:rPr>
          <w:color w:val="000000" w:themeColor="text1"/>
        </w:rPr>
        <w:t>2</w:t>
      </w:r>
      <w:r w:rsidR="00DA27B7">
        <w:rPr>
          <w:color w:val="000000" w:themeColor="text1"/>
        </w:rPr>
        <w:t xml:space="preserve"> trophic levels, with glutamic acid and alanine preforming particularly well across consumers and baseline scenarios. </w:t>
      </w:r>
      <w:r w:rsidR="00DA27B7">
        <w:t xml:space="preserve">In comparison, the </w:t>
      </w:r>
      <w:r w:rsidR="00DA27B7">
        <w:lastRenderedPageBreak/>
        <w:t>secondary consumer in scenario 3 of the bulk stable isotope model had a magnitude of trophic position deviation of</w:t>
      </w:r>
      <w:r w:rsidR="00FC4170">
        <w:t xml:space="preserve"> 0.8 trophic level</w:t>
      </w:r>
      <w:r w:rsidR="00DA27B7">
        <w:t>s</w:t>
      </w:r>
      <w:r w:rsidR="00FC4170">
        <w:t xml:space="preserve"> </w:t>
      </w:r>
      <w:r w:rsidR="00DA27B7">
        <w:t xml:space="preserve">(Figure </w:t>
      </w:r>
      <w:r w:rsidR="008B2199">
        <w:t>5</w:t>
      </w:r>
      <w:r w:rsidR="00DA27B7">
        <w:t xml:space="preserve">C) which was twice as high as the largest magnitude deviation for the CSIA model. </w:t>
      </w:r>
      <w:r w:rsidR="00265847">
        <w:rPr>
          <w:color w:val="000000" w:themeColor="text1"/>
        </w:rPr>
        <w:t xml:space="preserve">Proline in the CSIA model performed similarly to the </w:t>
      </w:r>
      <w:r w:rsidR="00EB2FD3">
        <w:rPr>
          <w:color w:val="000000" w:themeColor="text1"/>
        </w:rPr>
        <w:t>BSIA</w:t>
      </w:r>
      <w:r w:rsidR="00265847">
        <w:rPr>
          <w:color w:val="000000" w:themeColor="text1"/>
        </w:rPr>
        <w:t xml:space="preserve"> model in terms of duration of deviation</w:t>
      </w:r>
      <w:r w:rsidR="00DA27B7">
        <w:rPr>
          <w:color w:val="000000" w:themeColor="text1"/>
        </w:rPr>
        <w:t xml:space="preserve"> (Tables 2 &amp; 3)</w:t>
      </w:r>
      <w:r w:rsidR="00DC522A">
        <w:rPr>
          <w:color w:val="000000" w:themeColor="text1"/>
        </w:rPr>
        <w:t>, however it had a much lower magnitude of deviation</w:t>
      </w:r>
      <w:r w:rsidR="00DA27B7">
        <w:rPr>
          <w:color w:val="000000" w:themeColor="text1"/>
        </w:rPr>
        <w:t xml:space="preserve"> (Figure </w:t>
      </w:r>
      <w:r w:rsidR="008B2199">
        <w:rPr>
          <w:color w:val="000000" w:themeColor="text1"/>
        </w:rPr>
        <w:t>7</w:t>
      </w:r>
      <w:r w:rsidR="00DA27B7">
        <w:rPr>
          <w:color w:val="000000" w:themeColor="text1"/>
        </w:rPr>
        <w:t>)</w:t>
      </w:r>
      <w:r w:rsidR="00DC522A">
        <w:rPr>
          <w:color w:val="000000" w:themeColor="text1"/>
        </w:rPr>
        <w:t xml:space="preserve">. For the bulk stable isotope model, error always </w:t>
      </w:r>
      <w:r w:rsidR="00DA27B7">
        <w:rPr>
          <w:color w:val="000000" w:themeColor="text1"/>
        </w:rPr>
        <w:t>propagated</w:t>
      </w:r>
      <w:r w:rsidR="00DC522A">
        <w:rPr>
          <w:color w:val="000000" w:themeColor="text1"/>
        </w:rPr>
        <w:t xml:space="preserve"> up the food web and was greatest for higher level consumers in all </w:t>
      </w:r>
      <w:r w:rsidR="00DA27B7">
        <w:rPr>
          <w:color w:val="000000" w:themeColor="text1"/>
        </w:rPr>
        <w:t>scenarios</w:t>
      </w:r>
      <w:r w:rsidR="00DC522A">
        <w:rPr>
          <w:color w:val="000000" w:themeColor="text1"/>
        </w:rPr>
        <w:t xml:space="preserve">. This was not necessarily the case for the CSIA model. In fact, for most baselines and amino acids, both shrimp and tuna performed similarly </w:t>
      </w:r>
      <w:r w:rsidR="007A783F">
        <w:rPr>
          <w:color w:val="000000" w:themeColor="text1"/>
        </w:rPr>
        <w:t xml:space="preserve">(Figure </w:t>
      </w:r>
      <w:r w:rsidR="008B2199">
        <w:rPr>
          <w:color w:val="000000" w:themeColor="text1"/>
        </w:rPr>
        <w:t>7</w:t>
      </w:r>
      <w:r w:rsidR="007A783F">
        <w:rPr>
          <w:color w:val="000000" w:themeColor="text1"/>
        </w:rPr>
        <w:t>) despite tuna being modelled as a higher trophic level consumer (secondary) than shrimp</w:t>
      </w:r>
      <w:r w:rsidR="00DA27B7">
        <w:rPr>
          <w:color w:val="000000" w:themeColor="text1"/>
        </w:rPr>
        <w:t xml:space="preserve"> (primary)</w:t>
      </w:r>
      <w:r w:rsidR="007A783F">
        <w:rPr>
          <w:color w:val="000000" w:themeColor="text1"/>
        </w:rPr>
        <w:t>.</w:t>
      </w:r>
    </w:p>
    <w:p w14:paraId="50ABF464" w14:textId="34CD0D14" w:rsidR="007A783F" w:rsidRPr="00004EEC" w:rsidRDefault="007A783F" w:rsidP="007A783F">
      <w:pPr>
        <w:spacing w:line="480" w:lineRule="auto"/>
        <w:contextualSpacing/>
        <w:rPr>
          <w:i/>
          <w:u w:val="single"/>
        </w:rPr>
      </w:pPr>
      <w:r>
        <w:rPr>
          <w:i/>
          <w:u w:val="single"/>
        </w:rPr>
        <w:t>4.4 Sensitivity analysis</w:t>
      </w:r>
    </w:p>
    <w:p w14:paraId="696E0D61" w14:textId="018176EE" w:rsidR="007A783F" w:rsidRDefault="00E732A9" w:rsidP="00D01619">
      <w:pPr>
        <w:spacing w:line="480" w:lineRule="auto"/>
      </w:pPr>
      <w:r>
        <w:tab/>
      </w:r>
      <w:r w:rsidR="009B093C">
        <w:t xml:space="preserve">Sensitivity of trophic position deviation to consumer half-life increases with trophic level for bulk stable isotope analysis of nitrogen. </w:t>
      </w:r>
      <w:r w:rsidR="00DC7393">
        <w:t xml:space="preserve">For the bulk stable isotope model, sensitivity increased with primary consumer half-life (Figure </w:t>
      </w:r>
      <w:r w:rsidR="008B2199">
        <w:t>8</w:t>
      </w:r>
      <w:r w:rsidR="00DC7393">
        <w:t xml:space="preserve">B). However, the distribution of mean </w:t>
      </w:r>
      <w:r w:rsidR="001626FB">
        <w:t xml:space="preserve">magnitude of </w:t>
      </w:r>
      <w:r w:rsidR="00DC7393">
        <w:t xml:space="preserve">trophic </w:t>
      </w:r>
      <w:r w:rsidR="008E2F32">
        <w:t xml:space="preserve">position deviation reached its greatest variability (highest standard deviation) at a half-life of approximately 100 days, and was similar at half-life values greater than 100 for primary consumers (Figure </w:t>
      </w:r>
      <w:r w:rsidR="008B2199">
        <w:t>8</w:t>
      </w:r>
      <w:r w:rsidR="008E2F32">
        <w:t>B)</w:t>
      </w:r>
      <w:r w:rsidR="00AC20D2">
        <w:t xml:space="preserve"> although the mean </w:t>
      </w:r>
      <w:r w:rsidR="00574BE6">
        <w:t>magnitude of</w:t>
      </w:r>
      <w:r w:rsidR="00AC20D2">
        <w:t xml:space="preserve"> deviation continued to decrease further from the true value</w:t>
      </w:r>
      <w:r w:rsidR="008E2F32">
        <w:t>.</w:t>
      </w:r>
      <w:r w:rsidR="00AC20D2">
        <w:t xml:space="preserve"> </w:t>
      </w:r>
      <w:r w:rsidR="008E2F32">
        <w:t xml:space="preserve">Mean </w:t>
      </w:r>
      <w:r w:rsidR="001626FB">
        <w:t>magnitude of</w:t>
      </w:r>
      <w:r w:rsidR="008E2F32">
        <w:t xml:space="preserve"> deviation </w:t>
      </w:r>
      <w:r w:rsidR="00AC20D2">
        <w:t xml:space="preserve">of the secondary consumer </w:t>
      </w:r>
      <w:r w:rsidR="008E2F32">
        <w:t xml:space="preserve">was more sensitive to consumer half-life </w:t>
      </w:r>
      <w:r w:rsidR="00AC20D2">
        <w:t xml:space="preserve">values than the primary consumer. Both the trophic position estimation and the variability in the estimation increased at a greater </w:t>
      </w:r>
      <w:r w:rsidR="009F4E8E">
        <w:t xml:space="preserve">rate (Figure </w:t>
      </w:r>
      <w:r w:rsidR="008B2199">
        <w:t>8</w:t>
      </w:r>
      <w:r w:rsidR="009F4E8E">
        <w:t xml:space="preserve">C). Mean </w:t>
      </w:r>
      <w:r w:rsidR="001626FB">
        <w:t xml:space="preserve">magnitude </w:t>
      </w:r>
      <w:r w:rsidR="009F4E8E">
        <w:t xml:space="preserve">trophic position deviation continued to decrease further from the true value as consumer half-life increased. Sensitivity of the mean </w:t>
      </w:r>
      <w:r w:rsidR="001626FB">
        <w:t xml:space="preserve">magnitude of </w:t>
      </w:r>
      <w:r w:rsidR="009F4E8E">
        <w:t xml:space="preserve">trophic position deviation of the tertiary consumer (Figure </w:t>
      </w:r>
      <w:r w:rsidR="008B2199">
        <w:t>8</w:t>
      </w:r>
      <w:r w:rsidR="009F4E8E">
        <w:t>D)</w:t>
      </w:r>
      <w:r w:rsidR="00992A29">
        <w:t xml:space="preserve"> to half-life</w:t>
      </w:r>
      <w:r w:rsidR="009F4E8E">
        <w:t xml:space="preserve"> followed a similar pattern as the secondary consumer</w:t>
      </w:r>
      <w:r w:rsidR="009B093C">
        <w:t>.</w:t>
      </w:r>
      <w:r w:rsidR="009F4E8E">
        <w:t xml:space="preserve"> </w:t>
      </w:r>
      <w:r w:rsidR="009B093C">
        <w:t>I</w:t>
      </w:r>
      <w:r w:rsidR="009F4E8E">
        <w:t>nitially the deviation and variability increased at a higher rate than consumers lower in the food web</w:t>
      </w:r>
      <w:r w:rsidR="009B093C">
        <w:t xml:space="preserve">, but eventually leveled off at </w:t>
      </w:r>
      <w:r w:rsidR="009B093C">
        <w:lastRenderedPageBreak/>
        <w:t xml:space="preserve">a half-life of approximately 100 days, at which point the mean and standard deviation of the tertiary consumer was similar to that of the secondary consumer (Figure </w:t>
      </w:r>
      <w:r w:rsidR="008B2199">
        <w:t>8</w:t>
      </w:r>
      <w:r w:rsidR="009B093C">
        <w:t>D).</w:t>
      </w:r>
    </w:p>
    <w:p w14:paraId="4C1139D4" w14:textId="04DE7539" w:rsidR="009B093C" w:rsidRDefault="009B093C" w:rsidP="00D01619">
      <w:pPr>
        <w:spacing w:line="480" w:lineRule="auto"/>
      </w:pPr>
      <w:r>
        <w:tab/>
        <w:t xml:space="preserve">Trophic position deviation for </w:t>
      </w:r>
      <w:proofErr w:type="spellStart"/>
      <w:r w:rsidR="00CE1E40">
        <w:t>BSIA</w:t>
      </w:r>
      <w:r>
        <w:t>was</w:t>
      </w:r>
      <w:proofErr w:type="spellEnd"/>
      <w:r>
        <w:t xml:space="preserve"> more sensitive to consumer half-life than CSIA.</w:t>
      </w:r>
      <w:r w:rsidR="008E27FD">
        <w:t xml:space="preserve"> Sensitivity of trophic position deviation is minimized when the half-life of the trophic amino acid is equal to the half-life of the source amino acid, which was 1</w:t>
      </w:r>
      <w:r w:rsidR="00CE1E40">
        <w:t>3</w:t>
      </w:r>
      <w:r w:rsidR="008E27FD">
        <w:t xml:space="preserve">0 days </w:t>
      </w:r>
      <w:r w:rsidR="00CE1E40">
        <w:t xml:space="preserve">(Figure 9) and 33 days (Figure 10) </w:t>
      </w:r>
      <w:r w:rsidR="008E27FD">
        <w:t xml:space="preserve">for these model simulations. Mean trophic position </w:t>
      </w:r>
      <w:r w:rsidR="00450A46">
        <w:t>deviation</w:t>
      </w:r>
      <w:r w:rsidR="008E27FD">
        <w:t xml:space="preserve"> and its distribution decreases in magnitude initially before intersecting with the half-life of source amino acid. At half-life value greater than the source amino acid variability then increases slightly but does not deviate substantially from zero for any of the three trophic level consumers (Figure </w:t>
      </w:r>
      <w:r w:rsidR="008B2199">
        <w:t>9</w:t>
      </w:r>
      <w:r w:rsidR="008E27FD">
        <w:t xml:space="preserve">D). </w:t>
      </w:r>
      <w:r w:rsidR="00E40B2D">
        <w:t xml:space="preserve">Unlike bulk stable isotope analysis, sensitivity to the consumer half-life only slightly magnifies up the food web, and only at low half-life values of the trophic amino acid measures (Figure </w:t>
      </w:r>
      <w:r w:rsidR="008B2199">
        <w:t>9</w:t>
      </w:r>
      <w:r w:rsidR="00E40B2D">
        <w:t>)</w:t>
      </w:r>
      <w:r w:rsidR="004F5A16">
        <w:t xml:space="preserve"> or at half-life values substantially greater than the source amino acid half-life when the source amino acid half-life is short (Figure 10)</w:t>
      </w:r>
      <w:r w:rsidR="00E40B2D">
        <w:t>.</w:t>
      </w:r>
      <w:r w:rsidR="004F5A16">
        <w:t xml:space="preserve"> However, when the source amino acid half-life value is short (i.e., in the case of shrimp, Figure 11B) most trophic amino acids have short half-life values as well (less than 100 days). </w:t>
      </w:r>
      <w:proofErr w:type="gramStart"/>
      <w:r w:rsidR="004F5A16">
        <w:t>Therefore</w:t>
      </w:r>
      <w:proofErr w:type="gramEnd"/>
      <w:r w:rsidR="004F5A16">
        <w:t xml:space="preserve"> </w:t>
      </w:r>
      <w:r w:rsidR="000B06B9">
        <w:t>the greatest sensitivity of tropic position deviation is still at lower half-life values of trophic amino acids, even for short source amino acid half-life values.</w:t>
      </w:r>
    </w:p>
    <w:p w14:paraId="52962BC0" w14:textId="77777777" w:rsidR="00992A29" w:rsidRDefault="00992A29" w:rsidP="00992A29">
      <w:pPr>
        <w:spacing w:line="480" w:lineRule="auto"/>
        <w:rPr>
          <w:i/>
          <w:u w:val="single"/>
        </w:rPr>
      </w:pPr>
      <w:r>
        <w:rPr>
          <w:i/>
          <w:u w:val="single"/>
        </w:rPr>
        <w:t>3.5 Comparison to recommended methodologies</w:t>
      </w:r>
    </w:p>
    <w:p w14:paraId="38DBA300" w14:textId="01DC36A8" w:rsidR="00992A29" w:rsidRDefault="004C0511" w:rsidP="00D01619">
      <w:pPr>
        <w:spacing w:line="480" w:lineRule="auto"/>
      </w:pPr>
      <w:r>
        <w:tab/>
      </w:r>
      <w:r w:rsidR="008C2E1F">
        <w:t xml:space="preserve">Alternative </w:t>
      </w:r>
      <w:r w:rsidR="00B00E10">
        <w:t xml:space="preserve">recommended </w:t>
      </w:r>
      <w:r w:rsidR="008C2E1F">
        <w:t xml:space="preserve">methods to calculate </w:t>
      </w:r>
      <w:r w:rsidR="00B00E10">
        <w:t xml:space="preserve">trophic position from stable isotope data produced only moderate improvements for trophic position accuracy. The 90-day lag between the stable isotope baseline and </w:t>
      </w:r>
      <w:r w:rsidR="00D004CB">
        <w:t>tertiary consumer</w:t>
      </w:r>
      <w:r w:rsidR="000B06B9">
        <w:t>s</w:t>
      </w:r>
      <w:r w:rsidR="00D004CB">
        <w:t xml:space="preserve"> improved accuracy for trophic position, </w:t>
      </w:r>
      <w:r w:rsidR="00D004CB" w:rsidRPr="00E0725C">
        <w:t xml:space="preserve">although estimates ranged ± 0.6 trophic levels for the eutrophic, arctic lake (Table </w:t>
      </w:r>
      <w:r w:rsidR="00EE6024" w:rsidRPr="00E0725C">
        <w:t xml:space="preserve">4A, Scenario 4). The range in trophic position estimates for secondary consumers were similar for the 90-day lag </w:t>
      </w:r>
      <w:r w:rsidR="000B06B9">
        <w:t>compared</w:t>
      </w:r>
      <w:r w:rsidR="00EE6024" w:rsidRPr="00E0725C">
        <w:t xml:space="preserve"> to a simultaneous sampling approach. In contrast the </w:t>
      </w:r>
      <w:r w:rsidR="00D534B4" w:rsidRPr="00E0725C">
        <w:t xml:space="preserve">range in primary consumer trophic position was much greater with a 90-day lagged sampling </w:t>
      </w:r>
      <w:r w:rsidR="00D534B4" w:rsidRPr="00E0725C">
        <w:lastRenderedPageBreak/>
        <w:t xml:space="preserve">strategy compared to a simultaneous strategy, with overestimates as high as two trophic levels in some systems (Table 4A). Using primary consumers as a stable isotope baseline improved trophic position deviation for all consumers in all systems </w:t>
      </w:r>
      <w:r w:rsidR="00107D5D" w:rsidRPr="00E0725C">
        <w:t>(Figure 12) compared to the particulate organic isotope baseline model (Figure 5) although it still exceeded ± 0.2 for substantial amounts of time.</w:t>
      </w:r>
      <w:r w:rsidR="00CE3085" w:rsidRPr="00E0725C">
        <w:t xml:space="preserve"> Applying the 90-day lagged equation with the primary consumer as the stable isotope baseline further improved trophic position accuracy for the tertiary consumer (Table 4B) although accuracy for the secondary consumer was similar to the simultaneously measured model with the primary consumer as the stable isotope baseline (Figure 12).</w:t>
      </w:r>
      <w:r w:rsidR="00107D5D">
        <w:t xml:space="preserve"> </w:t>
      </w:r>
    </w:p>
    <w:p w14:paraId="61424432" w14:textId="6AF100E5" w:rsidR="00623367" w:rsidRDefault="00623367" w:rsidP="00623367">
      <w:r>
        <w:rPr>
          <w:b/>
          <w:u w:val="single"/>
        </w:rPr>
        <w:t>4. Discussion</w:t>
      </w:r>
    </w:p>
    <w:p w14:paraId="0F4543A7" w14:textId="221AA5C3" w:rsidR="0029684E" w:rsidRPr="0029684E" w:rsidRDefault="0029684E" w:rsidP="0029684E">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ab/>
        <w:t xml:space="preserve">Temporal heterogeneity in the bulk nitrogen stable isotope baseline results in erroneous trophic position estimations when heterogeneity and tissue turnover are not accounted for. Based on our results, this error can even occur when the isotope baseline is able to be sampled continuously, and simultaneously with the consumer and is considered known. Both the shape of the </w:t>
      </w:r>
      <w:r w:rsidR="00BC6783">
        <w:rPr>
          <w:rFonts w:ascii="Times New Roman" w:hAnsi="Times New Roman" w:cs="Times New Roman"/>
          <w:sz w:val="24"/>
          <w:szCs w:val="24"/>
          <w:lang w:val="en-US"/>
        </w:rPr>
        <w:t>heterogeneity</w:t>
      </w:r>
      <w:r>
        <w:rPr>
          <w:rFonts w:ascii="Times New Roman" w:hAnsi="Times New Roman" w:cs="Times New Roman"/>
          <w:sz w:val="24"/>
          <w:szCs w:val="24"/>
          <w:lang w:val="en-US"/>
        </w:rPr>
        <w:t xml:space="preserve"> of the stable isotope baseline and </w:t>
      </w:r>
      <w:r w:rsidR="005629E5">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trophic level of the consumers are important factors in the magnitude and duration of trophic position deviation for a given aquatic food web. Notably, for </w:t>
      </w:r>
      <w:r w:rsidR="00BC6783">
        <w:rPr>
          <w:rFonts w:ascii="Times New Roman" w:hAnsi="Times New Roman" w:cs="Times New Roman"/>
          <w:sz w:val="24"/>
          <w:szCs w:val="24"/>
          <w:lang w:val="en-US"/>
        </w:rPr>
        <w:t>BSIA</w:t>
      </w:r>
      <w:r>
        <w:rPr>
          <w:rFonts w:ascii="Times New Roman" w:hAnsi="Times New Roman" w:cs="Times New Roman"/>
          <w:sz w:val="24"/>
          <w:szCs w:val="24"/>
          <w:lang w:val="en-US"/>
        </w:rPr>
        <w:t>, trophic position deviation propagates up the food web with greater error in estimation for consumers feeding at higher trophic levels. Using CSIA to sample consumers provides the best approach for minimizing trophic position deviation due to temporal heterogeneity and tissue turnover rates however the relative rate of turnover between the source amino acid and the trophic amino acid used to calculate trophic position</w:t>
      </w:r>
      <w:r w:rsidR="00196624">
        <w:rPr>
          <w:rFonts w:ascii="Times New Roman" w:hAnsi="Times New Roman" w:cs="Times New Roman"/>
          <w:sz w:val="24"/>
          <w:szCs w:val="24"/>
          <w:lang w:val="en-US"/>
        </w:rPr>
        <w:t xml:space="preserve"> should be considered</w:t>
      </w:r>
      <w:r>
        <w:rPr>
          <w:rFonts w:ascii="Times New Roman" w:hAnsi="Times New Roman" w:cs="Times New Roman"/>
          <w:sz w:val="24"/>
          <w:szCs w:val="24"/>
          <w:lang w:val="en-US"/>
        </w:rPr>
        <w:t>. When CSIA is not feasible, using primary consumers as the stable isotope baseline or sampling the consumer 90 days after sampling the baseline can provide moderate improvement to trophic position deviation</w:t>
      </w:r>
      <w:r w:rsidR="00196624">
        <w:rPr>
          <w:rFonts w:ascii="Times New Roman" w:hAnsi="Times New Roman" w:cs="Times New Roman"/>
          <w:sz w:val="24"/>
          <w:szCs w:val="24"/>
          <w:lang w:val="en-US"/>
        </w:rPr>
        <w:t xml:space="preserve"> </w:t>
      </w:r>
      <w:r w:rsidR="00BC6783">
        <w:rPr>
          <w:rFonts w:ascii="Times New Roman" w:hAnsi="Times New Roman" w:cs="Times New Roman"/>
          <w:sz w:val="24"/>
          <w:szCs w:val="24"/>
          <w:lang w:val="en-US"/>
        </w:rPr>
        <w:t xml:space="preserve">of high trophic level consumers, </w:t>
      </w:r>
      <w:r w:rsidR="00196624">
        <w:rPr>
          <w:rFonts w:ascii="Times New Roman" w:hAnsi="Times New Roman" w:cs="Times New Roman"/>
          <w:sz w:val="24"/>
          <w:szCs w:val="24"/>
          <w:lang w:val="en-US"/>
        </w:rPr>
        <w:t>but does not eliminate it entirely</w:t>
      </w:r>
      <w:r w:rsidR="00BC6783">
        <w:rPr>
          <w:rFonts w:ascii="Times New Roman" w:hAnsi="Times New Roman" w:cs="Times New Roman"/>
          <w:sz w:val="24"/>
          <w:szCs w:val="24"/>
          <w:lang w:val="en-US"/>
        </w:rPr>
        <w:t xml:space="preserve"> and the improvement comes with decreased accuracy for lower trophic level consumers</w:t>
      </w:r>
      <w:r>
        <w:rPr>
          <w:rFonts w:ascii="Times New Roman" w:hAnsi="Times New Roman" w:cs="Times New Roman"/>
          <w:sz w:val="24"/>
          <w:szCs w:val="24"/>
          <w:lang w:val="en-US"/>
        </w:rPr>
        <w:t xml:space="preserve">. </w:t>
      </w:r>
    </w:p>
    <w:p w14:paraId="24964120" w14:textId="0920D288" w:rsidR="00195E49" w:rsidRDefault="00B14D78" w:rsidP="00CB18AA">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009D778A">
        <w:rPr>
          <w:rFonts w:ascii="Times New Roman" w:hAnsi="Times New Roman" w:cs="Times New Roman"/>
          <w:sz w:val="24"/>
          <w:szCs w:val="24"/>
          <w:lang w:val="en-US"/>
        </w:rPr>
        <w:t>The duration of trophic position deviation is substantial for all of the modelled consumers</w:t>
      </w:r>
      <w:r w:rsidR="00FF1BB5">
        <w:rPr>
          <w:rFonts w:ascii="Times New Roman" w:hAnsi="Times New Roman" w:cs="Times New Roman"/>
          <w:sz w:val="24"/>
          <w:szCs w:val="24"/>
          <w:lang w:val="en-US"/>
        </w:rPr>
        <w:t xml:space="preserve"> using </w:t>
      </w:r>
      <w:r w:rsidR="00BC6783">
        <w:rPr>
          <w:rFonts w:ascii="Times New Roman" w:hAnsi="Times New Roman" w:cs="Times New Roman"/>
          <w:sz w:val="24"/>
          <w:szCs w:val="24"/>
          <w:lang w:val="en-US"/>
        </w:rPr>
        <w:t>BSIA</w:t>
      </w:r>
      <w:r w:rsidR="00FF1BB5">
        <w:rPr>
          <w:rFonts w:ascii="Times New Roman" w:hAnsi="Times New Roman" w:cs="Times New Roman"/>
          <w:sz w:val="24"/>
          <w:szCs w:val="24"/>
          <w:lang w:val="en-US"/>
        </w:rPr>
        <w:t xml:space="preserve">. However, no consumer had a trophic position deviation of greater than </w:t>
      </w:r>
      <w:r w:rsidR="00524CFA" w:rsidRPr="000D0D5E">
        <w:rPr>
          <w:rFonts w:ascii="Times New Roman" w:hAnsi="Times New Roman" w:cs="Times New Roman"/>
          <w:lang w:val="en-US"/>
        </w:rPr>
        <w:t>±</w:t>
      </w:r>
      <w:r w:rsidR="00524CFA">
        <w:rPr>
          <w:rFonts w:ascii="Times New Roman" w:hAnsi="Times New Roman" w:cs="Times New Roman"/>
          <w:lang w:val="en-US"/>
        </w:rPr>
        <w:t xml:space="preserve"> </w:t>
      </w:r>
      <w:r w:rsidR="00FF1BB5">
        <w:rPr>
          <w:rFonts w:ascii="Times New Roman" w:hAnsi="Times New Roman" w:cs="Times New Roman"/>
          <w:sz w:val="24"/>
          <w:szCs w:val="24"/>
          <w:lang w:val="en-US"/>
        </w:rPr>
        <w:t>0.</w:t>
      </w:r>
      <w:r w:rsidR="00F421FD">
        <w:rPr>
          <w:rFonts w:ascii="Times New Roman" w:hAnsi="Times New Roman" w:cs="Times New Roman"/>
          <w:sz w:val="24"/>
          <w:szCs w:val="24"/>
          <w:lang w:val="en-US"/>
        </w:rPr>
        <w:t xml:space="preserve">2 </w:t>
      </w:r>
      <w:r w:rsidR="00FF1BB5">
        <w:rPr>
          <w:rFonts w:ascii="Times New Roman" w:hAnsi="Times New Roman" w:cs="Times New Roman"/>
          <w:sz w:val="24"/>
          <w:szCs w:val="24"/>
          <w:lang w:val="en-US"/>
        </w:rPr>
        <w:t xml:space="preserve">for the entire modelled time period. In fact, </w:t>
      </w:r>
      <w:r w:rsidR="00196624">
        <w:rPr>
          <w:rFonts w:ascii="Times New Roman" w:hAnsi="Times New Roman" w:cs="Times New Roman"/>
          <w:sz w:val="24"/>
          <w:szCs w:val="24"/>
          <w:lang w:val="en-US"/>
        </w:rPr>
        <w:t xml:space="preserve">for </w:t>
      </w:r>
      <w:r w:rsidR="00FF1BB5">
        <w:rPr>
          <w:rFonts w:ascii="Times New Roman" w:hAnsi="Times New Roman" w:cs="Times New Roman"/>
          <w:sz w:val="24"/>
          <w:szCs w:val="24"/>
          <w:lang w:val="en-US"/>
        </w:rPr>
        <w:t>at least 2</w:t>
      </w:r>
      <w:r w:rsidR="00524CFA">
        <w:rPr>
          <w:rFonts w:ascii="Times New Roman" w:hAnsi="Times New Roman" w:cs="Times New Roman"/>
          <w:sz w:val="24"/>
          <w:szCs w:val="24"/>
          <w:lang w:val="en-US"/>
        </w:rPr>
        <w:t>5</w:t>
      </w:r>
      <w:r w:rsidR="00FF1BB5">
        <w:rPr>
          <w:rFonts w:ascii="Times New Roman" w:hAnsi="Times New Roman" w:cs="Times New Roman"/>
          <w:sz w:val="24"/>
          <w:szCs w:val="24"/>
          <w:lang w:val="en-US"/>
        </w:rPr>
        <w:t xml:space="preserve">% of the model time </w:t>
      </w:r>
      <w:r w:rsidR="00CF740D">
        <w:rPr>
          <w:rFonts w:ascii="Times New Roman" w:hAnsi="Times New Roman" w:cs="Times New Roman"/>
          <w:sz w:val="24"/>
          <w:szCs w:val="24"/>
          <w:lang w:val="en-US"/>
        </w:rPr>
        <w:t xml:space="preserve">for all consumers in all food webs trophic deviation was less than </w:t>
      </w:r>
      <w:r w:rsidR="00524CFA" w:rsidRPr="000D0D5E">
        <w:rPr>
          <w:rFonts w:ascii="Times New Roman" w:hAnsi="Times New Roman" w:cs="Times New Roman"/>
          <w:lang w:val="en-US"/>
        </w:rPr>
        <w:t>±</w:t>
      </w:r>
      <w:r w:rsidR="00524CFA">
        <w:rPr>
          <w:rFonts w:ascii="Times New Roman" w:hAnsi="Times New Roman" w:cs="Times New Roman"/>
          <w:lang w:val="en-US"/>
        </w:rPr>
        <w:t xml:space="preserve"> </w:t>
      </w:r>
      <w:r w:rsidR="00CF740D">
        <w:rPr>
          <w:rFonts w:ascii="Times New Roman" w:hAnsi="Times New Roman" w:cs="Times New Roman"/>
          <w:sz w:val="24"/>
          <w:szCs w:val="24"/>
          <w:lang w:val="en-US"/>
        </w:rPr>
        <w:t>0.</w:t>
      </w:r>
      <w:r w:rsidR="00F421FD">
        <w:rPr>
          <w:rFonts w:ascii="Times New Roman" w:hAnsi="Times New Roman" w:cs="Times New Roman"/>
          <w:sz w:val="24"/>
          <w:szCs w:val="24"/>
          <w:lang w:val="en-US"/>
        </w:rPr>
        <w:t>2</w:t>
      </w:r>
      <w:r w:rsidR="00CF740D">
        <w:rPr>
          <w:rFonts w:ascii="Times New Roman" w:hAnsi="Times New Roman" w:cs="Times New Roman"/>
          <w:sz w:val="24"/>
          <w:szCs w:val="24"/>
          <w:lang w:val="en-US"/>
        </w:rPr>
        <w:t xml:space="preserve"> trophic positions. Based on this </w:t>
      </w:r>
      <w:r w:rsidR="00584484">
        <w:rPr>
          <w:rFonts w:ascii="Times New Roman" w:hAnsi="Times New Roman" w:cs="Times New Roman"/>
          <w:sz w:val="24"/>
          <w:szCs w:val="24"/>
          <w:lang w:val="en-US"/>
        </w:rPr>
        <w:t>result</w:t>
      </w:r>
      <w:r w:rsidR="00CF740D">
        <w:rPr>
          <w:rFonts w:ascii="Times New Roman" w:hAnsi="Times New Roman" w:cs="Times New Roman"/>
          <w:sz w:val="24"/>
          <w:szCs w:val="24"/>
          <w:lang w:val="en-US"/>
        </w:rPr>
        <w:t xml:space="preserve">, there are </w:t>
      </w:r>
      <w:r w:rsidR="00584484">
        <w:rPr>
          <w:rFonts w:ascii="Times New Roman" w:hAnsi="Times New Roman" w:cs="Times New Roman"/>
          <w:sz w:val="24"/>
          <w:szCs w:val="24"/>
          <w:lang w:val="en-US"/>
        </w:rPr>
        <w:t xml:space="preserve">substantial </w:t>
      </w:r>
      <w:r w:rsidR="00CF740D">
        <w:rPr>
          <w:rFonts w:ascii="Times New Roman" w:hAnsi="Times New Roman" w:cs="Times New Roman"/>
          <w:sz w:val="24"/>
          <w:szCs w:val="24"/>
          <w:lang w:val="en-US"/>
        </w:rPr>
        <w:t xml:space="preserve">time periods within each food web when trophic deviation can be minimized simply based on sampling time. </w:t>
      </w:r>
      <w:r w:rsidR="00F421FD">
        <w:rPr>
          <w:rFonts w:ascii="Times New Roman" w:hAnsi="Times New Roman" w:cs="Times New Roman"/>
          <w:sz w:val="24"/>
          <w:szCs w:val="24"/>
          <w:lang w:val="en-US"/>
        </w:rPr>
        <w:t xml:space="preserve">For most </w:t>
      </w:r>
      <w:r w:rsidR="000E498E">
        <w:rPr>
          <w:rFonts w:ascii="Times New Roman" w:hAnsi="Times New Roman" w:cs="Times New Roman"/>
          <w:sz w:val="24"/>
          <w:szCs w:val="24"/>
          <w:lang w:val="en-US"/>
        </w:rPr>
        <w:t xml:space="preserve">modelled </w:t>
      </w:r>
      <w:r w:rsidR="00F421FD">
        <w:rPr>
          <w:rFonts w:ascii="Times New Roman" w:hAnsi="Times New Roman" w:cs="Times New Roman"/>
          <w:sz w:val="24"/>
          <w:szCs w:val="24"/>
          <w:lang w:val="en-US"/>
        </w:rPr>
        <w:t>food web</w:t>
      </w:r>
      <w:r w:rsidR="000E498E">
        <w:rPr>
          <w:rFonts w:ascii="Times New Roman" w:hAnsi="Times New Roman" w:cs="Times New Roman"/>
          <w:sz w:val="24"/>
          <w:szCs w:val="24"/>
          <w:lang w:val="en-US"/>
        </w:rPr>
        <w:t>s</w:t>
      </w:r>
      <w:r w:rsidR="00196624">
        <w:rPr>
          <w:rFonts w:ascii="Times New Roman" w:hAnsi="Times New Roman" w:cs="Times New Roman"/>
          <w:sz w:val="24"/>
          <w:szCs w:val="24"/>
          <w:lang w:val="en-US"/>
        </w:rPr>
        <w:t>,</w:t>
      </w:r>
      <w:r w:rsidR="00F421FD">
        <w:rPr>
          <w:rFonts w:ascii="Times New Roman" w:hAnsi="Times New Roman" w:cs="Times New Roman"/>
          <w:sz w:val="24"/>
          <w:szCs w:val="24"/>
          <w:lang w:val="en-US"/>
        </w:rPr>
        <w:t xml:space="preserve"> days 0 - 100 (January 1 </w:t>
      </w:r>
      <w:r w:rsidR="000E498E">
        <w:rPr>
          <w:rFonts w:ascii="Times New Roman" w:hAnsi="Times New Roman" w:cs="Times New Roman"/>
          <w:sz w:val="24"/>
          <w:szCs w:val="24"/>
          <w:lang w:val="en-US"/>
        </w:rPr>
        <w:t>– April 10</w:t>
      </w:r>
      <w:r w:rsidR="00F421FD">
        <w:rPr>
          <w:rFonts w:ascii="Times New Roman" w:hAnsi="Times New Roman" w:cs="Times New Roman"/>
          <w:sz w:val="24"/>
          <w:szCs w:val="24"/>
          <w:lang w:val="en-US"/>
        </w:rPr>
        <w:t>) and 200 - 250 (</w:t>
      </w:r>
      <w:r w:rsidR="000E498E">
        <w:rPr>
          <w:rFonts w:ascii="Times New Roman" w:hAnsi="Times New Roman" w:cs="Times New Roman"/>
          <w:sz w:val="24"/>
          <w:szCs w:val="24"/>
          <w:lang w:val="en-US"/>
        </w:rPr>
        <w:t>July 19</w:t>
      </w:r>
      <w:r w:rsidR="00F421FD">
        <w:rPr>
          <w:rFonts w:ascii="Times New Roman" w:hAnsi="Times New Roman" w:cs="Times New Roman"/>
          <w:sz w:val="24"/>
          <w:szCs w:val="24"/>
          <w:lang w:val="en-US"/>
        </w:rPr>
        <w:t xml:space="preserve"> – </w:t>
      </w:r>
      <w:r w:rsidR="000E498E">
        <w:rPr>
          <w:rFonts w:ascii="Times New Roman" w:hAnsi="Times New Roman" w:cs="Times New Roman"/>
          <w:sz w:val="24"/>
          <w:szCs w:val="24"/>
          <w:lang w:val="en-US"/>
        </w:rPr>
        <w:t>September 7</w:t>
      </w:r>
      <w:r w:rsidR="00F421FD">
        <w:rPr>
          <w:rFonts w:ascii="Times New Roman" w:hAnsi="Times New Roman" w:cs="Times New Roman"/>
          <w:sz w:val="24"/>
          <w:szCs w:val="24"/>
          <w:lang w:val="en-US"/>
        </w:rPr>
        <w:t>) produced accurate trophic position estimation</w:t>
      </w:r>
      <w:r w:rsidR="000E498E">
        <w:rPr>
          <w:rFonts w:ascii="Times New Roman" w:hAnsi="Times New Roman" w:cs="Times New Roman"/>
          <w:sz w:val="24"/>
          <w:szCs w:val="24"/>
          <w:lang w:val="en-US"/>
        </w:rPr>
        <w:t>s for secondary and tertiary consumers</w:t>
      </w:r>
      <w:r w:rsidR="00524CFA">
        <w:rPr>
          <w:rFonts w:ascii="Times New Roman" w:hAnsi="Times New Roman" w:cs="Times New Roman"/>
          <w:sz w:val="24"/>
          <w:szCs w:val="24"/>
          <w:lang w:val="en-US"/>
        </w:rPr>
        <w:t xml:space="preserve"> (Figure 5 A-</w:t>
      </w:r>
      <w:r w:rsidR="00A56210">
        <w:rPr>
          <w:rFonts w:ascii="Times New Roman" w:hAnsi="Times New Roman" w:cs="Times New Roman"/>
          <w:sz w:val="24"/>
          <w:szCs w:val="24"/>
          <w:lang w:val="en-US"/>
        </w:rPr>
        <w:t>F</w:t>
      </w:r>
      <w:r w:rsidR="00524CFA">
        <w:rPr>
          <w:rFonts w:ascii="Times New Roman" w:hAnsi="Times New Roman" w:cs="Times New Roman"/>
          <w:sz w:val="24"/>
          <w:szCs w:val="24"/>
          <w:lang w:val="en-US"/>
        </w:rPr>
        <w:t>)</w:t>
      </w:r>
      <w:r w:rsidR="000E498E">
        <w:rPr>
          <w:rFonts w:ascii="Times New Roman" w:hAnsi="Times New Roman" w:cs="Times New Roman"/>
          <w:sz w:val="24"/>
          <w:szCs w:val="24"/>
          <w:lang w:val="en-US"/>
        </w:rPr>
        <w:t>,</w:t>
      </w:r>
      <w:r w:rsidR="00F421FD">
        <w:rPr>
          <w:rFonts w:ascii="Times New Roman" w:hAnsi="Times New Roman" w:cs="Times New Roman"/>
          <w:sz w:val="24"/>
          <w:szCs w:val="24"/>
          <w:lang w:val="en-US"/>
        </w:rPr>
        <w:t xml:space="preserve"> although the</w:t>
      </w:r>
      <w:r w:rsidR="000E498E">
        <w:rPr>
          <w:rFonts w:ascii="Times New Roman" w:hAnsi="Times New Roman" w:cs="Times New Roman"/>
          <w:sz w:val="24"/>
          <w:szCs w:val="24"/>
          <w:lang w:val="en-US"/>
        </w:rPr>
        <w:t xml:space="preserve"> moderately eutrophic, urban lake (scenario 5; Figure 5E) was an exception. Carefully considered sampling time could help improve the accuracy of trophic position estimation of consumers</w:t>
      </w:r>
      <w:r w:rsidR="00584484">
        <w:rPr>
          <w:rFonts w:ascii="Times New Roman" w:hAnsi="Times New Roman" w:cs="Times New Roman"/>
          <w:sz w:val="24"/>
          <w:szCs w:val="24"/>
          <w:lang w:val="en-US"/>
        </w:rPr>
        <w:t xml:space="preserve"> within heterogenous environments</w:t>
      </w:r>
      <w:r w:rsidR="000E498E">
        <w:rPr>
          <w:rFonts w:ascii="Times New Roman" w:hAnsi="Times New Roman" w:cs="Times New Roman"/>
          <w:sz w:val="24"/>
          <w:szCs w:val="24"/>
          <w:lang w:val="en-US"/>
        </w:rPr>
        <w:t xml:space="preserve">. </w:t>
      </w:r>
      <w:r w:rsidR="00196624">
        <w:rPr>
          <w:rFonts w:ascii="Times New Roman" w:hAnsi="Times New Roman" w:cs="Times New Roman"/>
          <w:sz w:val="24"/>
          <w:szCs w:val="24"/>
          <w:lang w:val="en-US"/>
        </w:rPr>
        <w:t>However, t</w:t>
      </w:r>
      <w:r w:rsidR="000E498E">
        <w:rPr>
          <w:rFonts w:ascii="Times New Roman" w:hAnsi="Times New Roman" w:cs="Times New Roman"/>
          <w:sz w:val="24"/>
          <w:szCs w:val="24"/>
          <w:lang w:val="en-US"/>
        </w:rPr>
        <w:t xml:space="preserve">his approach may not be applicable to all research questions, </w:t>
      </w:r>
      <w:r w:rsidR="0029684E">
        <w:rPr>
          <w:rFonts w:ascii="Times New Roman" w:hAnsi="Times New Roman" w:cs="Times New Roman"/>
          <w:sz w:val="24"/>
          <w:szCs w:val="24"/>
          <w:lang w:val="en-US"/>
        </w:rPr>
        <w:t>as trophic position measurements during the spring or autumn may be of particular interest. The applicability of this strategy across systems also warrants additional research as the food web</w:t>
      </w:r>
      <w:r w:rsidR="00A56210">
        <w:rPr>
          <w:rFonts w:ascii="Times New Roman" w:hAnsi="Times New Roman" w:cs="Times New Roman"/>
          <w:sz w:val="24"/>
          <w:szCs w:val="24"/>
          <w:lang w:val="en-US"/>
        </w:rPr>
        <w:t xml:space="preserve"> baseline</w:t>
      </w:r>
      <w:r w:rsidR="0029684E">
        <w:rPr>
          <w:rFonts w:ascii="Times New Roman" w:hAnsi="Times New Roman" w:cs="Times New Roman"/>
          <w:sz w:val="24"/>
          <w:szCs w:val="24"/>
          <w:lang w:val="en-US"/>
        </w:rPr>
        <w:t>s modelled in this study represent temperate systems.</w:t>
      </w:r>
    </w:p>
    <w:p w14:paraId="245EC6C3" w14:textId="400F4016" w:rsidR="001E06D8" w:rsidRDefault="001E06D8" w:rsidP="00CB18AA">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ab/>
        <w:t>Notably, errors associated with turnover and heterogeneity propagate up food webs and are more pronounced</w:t>
      </w:r>
      <w:r w:rsidR="00EB3854" w:rsidRPr="00EB3854">
        <w:rPr>
          <w:rFonts w:ascii="Times New Roman" w:hAnsi="Times New Roman" w:cs="Times New Roman"/>
          <w:sz w:val="24"/>
          <w:szCs w:val="24"/>
          <w:lang w:val="en-US"/>
        </w:rPr>
        <w:t xml:space="preserve"> </w:t>
      </w:r>
      <w:r w:rsidR="00EB3854">
        <w:rPr>
          <w:rFonts w:ascii="Times New Roman" w:hAnsi="Times New Roman" w:cs="Times New Roman"/>
          <w:sz w:val="24"/>
          <w:szCs w:val="24"/>
          <w:lang w:val="en-US"/>
        </w:rPr>
        <w:t>and occur for a longer duration (Table 2)</w:t>
      </w:r>
      <w:r>
        <w:rPr>
          <w:rFonts w:ascii="Times New Roman" w:hAnsi="Times New Roman" w:cs="Times New Roman"/>
          <w:sz w:val="24"/>
          <w:szCs w:val="24"/>
          <w:lang w:val="en-US"/>
        </w:rPr>
        <w:t xml:space="preserve"> in higher trophic level consumers when using </w:t>
      </w:r>
      <w:r w:rsidR="00584484">
        <w:rPr>
          <w:rFonts w:ascii="Times New Roman" w:hAnsi="Times New Roman" w:cs="Times New Roman"/>
          <w:sz w:val="24"/>
          <w:szCs w:val="24"/>
          <w:lang w:val="en-US"/>
        </w:rPr>
        <w:t>BSIA</w:t>
      </w:r>
      <w:r>
        <w:rPr>
          <w:rFonts w:ascii="Times New Roman" w:hAnsi="Times New Roman" w:cs="Times New Roman"/>
          <w:sz w:val="24"/>
          <w:szCs w:val="24"/>
          <w:lang w:val="en-US"/>
        </w:rPr>
        <w:t xml:space="preserve"> to estimate trophic position</w:t>
      </w:r>
      <w:r w:rsidR="00FE08E3">
        <w:rPr>
          <w:rFonts w:ascii="Times New Roman" w:hAnsi="Times New Roman" w:cs="Times New Roman"/>
          <w:sz w:val="24"/>
          <w:szCs w:val="24"/>
          <w:lang w:val="en-US"/>
        </w:rPr>
        <w:t xml:space="preserve"> (Figure 5)</w:t>
      </w:r>
      <w:r w:rsidR="00EB3854">
        <w:rPr>
          <w:rFonts w:ascii="Times New Roman" w:hAnsi="Times New Roman" w:cs="Times New Roman"/>
          <w:sz w:val="24"/>
          <w:szCs w:val="24"/>
          <w:lang w:val="en-US"/>
        </w:rPr>
        <w:t>.</w:t>
      </w:r>
      <w:r w:rsidR="00FE08E3">
        <w:rPr>
          <w:rFonts w:ascii="Times New Roman" w:hAnsi="Times New Roman" w:cs="Times New Roman"/>
          <w:sz w:val="24"/>
          <w:szCs w:val="24"/>
          <w:lang w:val="en-US"/>
        </w:rPr>
        <w:t xml:space="preserve"> </w:t>
      </w:r>
      <w:r w:rsidR="00B0416C">
        <w:rPr>
          <w:rFonts w:ascii="Times New Roman" w:hAnsi="Times New Roman" w:cs="Times New Roman"/>
          <w:sz w:val="24"/>
          <w:szCs w:val="24"/>
          <w:lang w:val="en-US"/>
        </w:rPr>
        <w:t>The sensitivity of t</w:t>
      </w:r>
      <w:r w:rsidR="00EE32B5">
        <w:rPr>
          <w:rFonts w:ascii="Times New Roman" w:hAnsi="Times New Roman" w:cs="Times New Roman"/>
          <w:sz w:val="24"/>
          <w:szCs w:val="24"/>
          <w:lang w:val="en-US"/>
        </w:rPr>
        <w:t xml:space="preserve">rophic position to stable isotope half-life </w:t>
      </w:r>
      <w:r w:rsidR="00B0416C">
        <w:rPr>
          <w:rFonts w:ascii="Times New Roman" w:hAnsi="Times New Roman" w:cs="Times New Roman"/>
          <w:sz w:val="24"/>
          <w:szCs w:val="24"/>
          <w:lang w:val="en-US"/>
        </w:rPr>
        <w:t xml:space="preserve">also propagates up the food web </w:t>
      </w:r>
      <w:r w:rsidR="00EE32B5">
        <w:rPr>
          <w:rFonts w:ascii="Times New Roman" w:hAnsi="Times New Roman" w:cs="Times New Roman"/>
          <w:sz w:val="24"/>
          <w:szCs w:val="24"/>
          <w:lang w:val="en-US"/>
        </w:rPr>
        <w:t>(Figure 8)</w:t>
      </w:r>
      <w:r w:rsidR="00A56210">
        <w:rPr>
          <w:rFonts w:ascii="Times New Roman" w:hAnsi="Times New Roman" w:cs="Times New Roman"/>
          <w:sz w:val="24"/>
          <w:szCs w:val="24"/>
          <w:lang w:val="en-US"/>
        </w:rPr>
        <w:t>, meaning, higher trophic level consumers experience more trophic position deviation at higher half-life values than their lower trophic level counterparts</w:t>
      </w:r>
      <w:r w:rsidR="00EE32B5">
        <w:rPr>
          <w:rFonts w:ascii="Times New Roman" w:hAnsi="Times New Roman" w:cs="Times New Roman"/>
          <w:sz w:val="24"/>
          <w:szCs w:val="24"/>
          <w:lang w:val="en-US"/>
        </w:rPr>
        <w:t xml:space="preserve">. This is a result of tertiary consumers being even further from </w:t>
      </w:r>
      <w:r w:rsidR="00A56210">
        <w:rPr>
          <w:rFonts w:ascii="Times New Roman" w:hAnsi="Times New Roman" w:cs="Times New Roman"/>
          <w:sz w:val="24"/>
          <w:szCs w:val="24"/>
          <w:lang w:val="en-US"/>
        </w:rPr>
        <w:t xml:space="preserve">isotopic </w:t>
      </w:r>
      <w:r w:rsidR="00EE32B5">
        <w:rPr>
          <w:rFonts w:ascii="Times New Roman" w:hAnsi="Times New Roman" w:cs="Times New Roman"/>
          <w:sz w:val="24"/>
          <w:szCs w:val="24"/>
          <w:lang w:val="en-US"/>
        </w:rPr>
        <w:t xml:space="preserve">steady state </w:t>
      </w:r>
      <w:r w:rsidR="00967789">
        <w:rPr>
          <w:rFonts w:ascii="Times New Roman" w:hAnsi="Times New Roman" w:cs="Times New Roman"/>
          <w:sz w:val="24"/>
          <w:szCs w:val="24"/>
          <w:lang w:val="en-US"/>
        </w:rPr>
        <w:t>with</w:t>
      </w:r>
      <w:r w:rsidR="00EB3854">
        <w:rPr>
          <w:rFonts w:ascii="Times New Roman" w:hAnsi="Times New Roman" w:cs="Times New Roman"/>
          <w:sz w:val="24"/>
          <w:szCs w:val="24"/>
          <w:lang w:val="en-US"/>
        </w:rPr>
        <w:t xml:space="preserve"> the sampled </w:t>
      </w:r>
      <w:r w:rsidR="00EE32B5">
        <w:rPr>
          <w:rFonts w:ascii="Times New Roman" w:hAnsi="Times New Roman" w:cs="Times New Roman"/>
          <w:sz w:val="24"/>
          <w:szCs w:val="24"/>
          <w:lang w:val="en-US"/>
        </w:rPr>
        <w:t>isotope baseline, in this case POM, compared to lower trophic level consumers.</w:t>
      </w:r>
      <w:r>
        <w:rPr>
          <w:rFonts w:ascii="Times New Roman" w:hAnsi="Times New Roman" w:cs="Times New Roman"/>
          <w:sz w:val="24"/>
          <w:szCs w:val="24"/>
          <w:lang w:val="en-US"/>
        </w:rPr>
        <w:t xml:space="preserve"> </w:t>
      </w:r>
      <w:r w:rsidR="00CA1499">
        <w:rPr>
          <w:rFonts w:ascii="Times New Roman" w:hAnsi="Times New Roman" w:cs="Times New Roman"/>
          <w:sz w:val="24"/>
          <w:szCs w:val="24"/>
          <w:lang w:val="en-US"/>
        </w:rPr>
        <w:t>Cabana and Rasmussen (1996)</w:t>
      </w:r>
      <w:r w:rsidR="00D270E9">
        <w:rPr>
          <w:rFonts w:ascii="Times New Roman" w:hAnsi="Times New Roman" w:cs="Times New Roman"/>
          <w:sz w:val="24"/>
          <w:szCs w:val="24"/>
          <w:lang w:val="en-US"/>
        </w:rPr>
        <w:t xml:space="preserve"> observed that </w:t>
      </w:r>
      <w:r w:rsidR="000B7919" w:rsidRPr="00743FCB">
        <w:rPr>
          <w:rFonts w:ascii="Times New Roman" w:hAnsi="Times New Roman" w:cs="Times New Roman"/>
          <w:sz w:val="24"/>
          <w:szCs w:val="24"/>
          <w:lang w:val="en-US"/>
        </w:rPr>
        <w:t>δ</w:t>
      </w:r>
      <w:r w:rsidR="000B7919" w:rsidRPr="00743FCB">
        <w:rPr>
          <w:rFonts w:ascii="Times New Roman" w:hAnsi="Times New Roman" w:cs="Times New Roman"/>
          <w:sz w:val="24"/>
          <w:szCs w:val="24"/>
          <w:vertAlign w:val="superscript"/>
          <w:lang w:val="en-US"/>
        </w:rPr>
        <w:t>15</w:t>
      </w:r>
      <w:r w:rsidR="000B7919" w:rsidRPr="00743FCB">
        <w:rPr>
          <w:rFonts w:ascii="Times New Roman" w:hAnsi="Times New Roman" w:cs="Times New Roman"/>
          <w:sz w:val="24"/>
          <w:szCs w:val="24"/>
          <w:lang w:val="en-US"/>
        </w:rPr>
        <w:t>N</w:t>
      </w:r>
      <w:r w:rsidR="000B7919">
        <w:rPr>
          <w:rFonts w:ascii="Times New Roman" w:hAnsi="Times New Roman" w:cs="Times New Roman"/>
          <w:sz w:val="24"/>
          <w:szCs w:val="24"/>
          <w:lang w:val="en-US"/>
        </w:rPr>
        <w:t xml:space="preserve"> values of phytoplankton</w:t>
      </w:r>
      <w:r w:rsidR="00D270E9">
        <w:rPr>
          <w:rFonts w:ascii="Times New Roman" w:hAnsi="Times New Roman" w:cs="Times New Roman"/>
          <w:sz w:val="24"/>
          <w:szCs w:val="24"/>
          <w:lang w:val="en-US"/>
        </w:rPr>
        <w:t xml:space="preserve"> is</w:t>
      </w:r>
      <w:r w:rsidR="000B7919">
        <w:rPr>
          <w:rFonts w:ascii="Times New Roman" w:hAnsi="Times New Roman" w:cs="Times New Roman"/>
          <w:sz w:val="24"/>
          <w:szCs w:val="24"/>
          <w:lang w:val="en-US"/>
        </w:rPr>
        <w:t xml:space="preserve"> ten times</w:t>
      </w:r>
      <w:r w:rsidR="00D270E9">
        <w:rPr>
          <w:rFonts w:ascii="Times New Roman" w:hAnsi="Times New Roman" w:cs="Times New Roman"/>
          <w:sz w:val="24"/>
          <w:szCs w:val="24"/>
          <w:lang w:val="en-US"/>
        </w:rPr>
        <w:t xml:space="preserve"> more </w:t>
      </w:r>
      <w:r w:rsidR="000E498E">
        <w:rPr>
          <w:rFonts w:ascii="Times New Roman" w:hAnsi="Times New Roman" w:cs="Times New Roman"/>
          <w:sz w:val="24"/>
          <w:szCs w:val="24"/>
          <w:lang w:val="en-US"/>
        </w:rPr>
        <w:t>variable</w:t>
      </w:r>
      <w:r w:rsidR="00D270E9">
        <w:rPr>
          <w:rFonts w:ascii="Times New Roman" w:hAnsi="Times New Roman" w:cs="Times New Roman"/>
          <w:sz w:val="24"/>
          <w:szCs w:val="24"/>
          <w:lang w:val="en-US"/>
        </w:rPr>
        <w:t xml:space="preserve"> than </w:t>
      </w:r>
      <w:r w:rsidR="000B7919">
        <w:rPr>
          <w:rFonts w:ascii="Times New Roman" w:hAnsi="Times New Roman" w:cs="Times New Roman"/>
          <w:sz w:val="24"/>
          <w:szCs w:val="24"/>
          <w:lang w:val="en-US"/>
        </w:rPr>
        <w:t xml:space="preserve">primary </w:t>
      </w:r>
      <w:r w:rsidR="00D270E9">
        <w:rPr>
          <w:rFonts w:ascii="Times New Roman" w:hAnsi="Times New Roman" w:cs="Times New Roman"/>
          <w:sz w:val="24"/>
          <w:szCs w:val="24"/>
          <w:lang w:val="en-US"/>
        </w:rPr>
        <w:t>consumer</w:t>
      </w:r>
      <w:r w:rsidR="000B7919">
        <w:rPr>
          <w:rFonts w:ascii="Times New Roman" w:hAnsi="Times New Roman" w:cs="Times New Roman"/>
          <w:sz w:val="24"/>
          <w:szCs w:val="24"/>
          <w:lang w:val="en-US"/>
        </w:rPr>
        <w:t>s.</w:t>
      </w:r>
      <w:r w:rsidR="00D270E9">
        <w:rPr>
          <w:rFonts w:ascii="Times New Roman" w:hAnsi="Times New Roman" w:cs="Times New Roman"/>
          <w:sz w:val="24"/>
          <w:szCs w:val="24"/>
          <w:lang w:val="en-US"/>
        </w:rPr>
        <w:t xml:space="preserve"> </w:t>
      </w:r>
      <w:r w:rsidR="000B7919">
        <w:rPr>
          <w:rFonts w:ascii="Times New Roman" w:hAnsi="Times New Roman" w:cs="Times New Roman"/>
          <w:sz w:val="24"/>
          <w:szCs w:val="24"/>
          <w:lang w:val="en-US"/>
        </w:rPr>
        <w:t>D</w:t>
      </w:r>
      <w:r w:rsidR="00972C49">
        <w:rPr>
          <w:rFonts w:ascii="Times New Roman" w:hAnsi="Times New Roman" w:cs="Times New Roman"/>
          <w:sz w:val="24"/>
          <w:szCs w:val="24"/>
          <w:lang w:val="en-US"/>
        </w:rPr>
        <w:t>ue to the short life span</w:t>
      </w:r>
      <w:r w:rsidR="000B7919">
        <w:rPr>
          <w:rFonts w:ascii="Times New Roman" w:hAnsi="Times New Roman" w:cs="Times New Roman"/>
          <w:sz w:val="24"/>
          <w:szCs w:val="24"/>
          <w:lang w:val="en-US"/>
        </w:rPr>
        <w:t xml:space="preserve"> of primary producers</w:t>
      </w:r>
      <w:r w:rsidR="00E0725C">
        <w:rPr>
          <w:rFonts w:ascii="Times New Roman" w:hAnsi="Times New Roman" w:cs="Times New Roman"/>
          <w:sz w:val="24"/>
          <w:szCs w:val="24"/>
          <w:lang w:val="en-US"/>
        </w:rPr>
        <w:t>,</w:t>
      </w:r>
      <w:r w:rsidR="000B7919">
        <w:rPr>
          <w:rFonts w:ascii="Times New Roman" w:hAnsi="Times New Roman" w:cs="Times New Roman"/>
          <w:sz w:val="24"/>
          <w:szCs w:val="24"/>
          <w:lang w:val="en-US"/>
        </w:rPr>
        <w:t xml:space="preserve"> they only</w:t>
      </w:r>
      <w:r w:rsidR="00972C49">
        <w:rPr>
          <w:rFonts w:ascii="Times New Roman" w:hAnsi="Times New Roman" w:cs="Times New Roman"/>
          <w:sz w:val="24"/>
          <w:szCs w:val="24"/>
          <w:lang w:val="en-US"/>
        </w:rPr>
        <w:t xml:space="preserve"> represent a short-term </w:t>
      </w:r>
      <w:r w:rsidR="00972C49">
        <w:rPr>
          <w:rFonts w:ascii="Times New Roman" w:hAnsi="Times New Roman" w:cs="Times New Roman"/>
          <w:sz w:val="24"/>
          <w:szCs w:val="24"/>
          <w:lang w:val="en-US"/>
        </w:rPr>
        <w:lastRenderedPageBreak/>
        <w:t>measure of the isotope baseline (</w:t>
      </w:r>
      <w:proofErr w:type="spellStart"/>
      <w:r w:rsidR="00972C49">
        <w:rPr>
          <w:rFonts w:ascii="Times New Roman" w:hAnsi="Times New Roman" w:cs="Times New Roman"/>
          <w:sz w:val="24"/>
          <w:szCs w:val="24"/>
          <w:lang w:val="en-US"/>
        </w:rPr>
        <w:t>Vizzini</w:t>
      </w:r>
      <w:proofErr w:type="spellEnd"/>
      <w:r w:rsidR="00972C49">
        <w:rPr>
          <w:rFonts w:ascii="Times New Roman" w:hAnsi="Times New Roman" w:cs="Times New Roman"/>
          <w:sz w:val="24"/>
          <w:szCs w:val="24"/>
          <w:lang w:val="en-US"/>
        </w:rPr>
        <w:t xml:space="preserve"> and Mazzola 2003) and thus</w:t>
      </w:r>
      <w:r w:rsidR="00FE08E3">
        <w:rPr>
          <w:rFonts w:ascii="Times New Roman" w:hAnsi="Times New Roman" w:cs="Times New Roman"/>
          <w:sz w:val="24"/>
          <w:szCs w:val="24"/>
          <w:lang w:val="en-US"/>
        </w:rPr>
        <w:t xml:space="preserve"> by sampling </w:t>
      </w:r>
      <w:r w:rsidR="00584C10">
        <w:rPr>
          <w:rFonts w:ascii="Times New Roman" w:hAnsi="Times New Roman" w:cs="Times New Roman"/>
          <w:sz w:val="24"/>
          <w:szCs w:val="24"/>
          <w:lang w:val="en-US"/>
        </w:rPr>
        <w:t xml:space="preserve">primary </w:t>
      </w:r>
      <w:r w:rsidR="00FE08E3">
        <w:rPr>
          <w:rFonts w:ascii="Times New Roman" w:hAnsi="Times New Roman" w:cs="Times New Roman"/>
          <w:sz w:val="24"/>
          <w:szCs w:val="24"/>
          <w:lang w:val="en-US"/>
        </w:rPr>
        <w:t xml:space="preserve">consumers isotopic </w:t>
      </w:r>
      <w:r w:rsidR="00584C10">
        <w:rPr>
          <w:rFonts w:ascii="Times New Roman" w:hAnsi="Times New Roman" w:cs="Times New Roman"/>
          <w:sz w:val="24"/>
          <w:szCs w:val="24"/>
          <w:lang w:val="en-US"/>
        </w:rPr>
        <w:t xml:space="preserve">variability isotope </w:t>
      </w:r>
      <w:r w:rsidR="00946DD0">
        <w:rPr>
          <w:rFonts w:ascii="Times New Roman" w:hAnsi="Times New Roman" w:cs="Times New Roman"/>
          <w:sz w:val="24"/>
          <w:szCs w:val="24"/>
          <w:lang w:val="en-US"/>
        </w:rPr>
        <w:t>heterogeneity</w:t>
      </w:r>
      <w:r w:rsidR="00FE08E3">
        <w:rPr>
          <w:rFonts w:ascii="Times New Roman" w:hAnsi="Times New Roman" w:cs="Times New Roman"/>
          <w:sz w:val="24"/>
          <w:szCs w:val="24"/>
          <w:lang w:val="en-US"/>
        </w:rPr>
        <w:t xml:space="preserve"> is dampened</w:t>
      </w:r>
      <w:r w:rsidR="00584C10">
        <w:rPr>
          <w:rFonts w:ascii="Times New Roman" w:hAnsi="Times New Roman" w:cs="Times New Roman"/>
          <w:sz w:val="24"/>
          <w:szCs w:val="24"/>
          <w:lang w:val="en-US"/>
        </w:rPr>
        <w:t xml:space="preserve"> by being time averaged over the rate of tissue turnover</w:t>
      </w:r>
      <w:r w:rsidR="00D270E9">
        <w:rPr>
          <w:rFonts w:ascii="Times New Roman" w:hAnsi="Times New Roman" w:cs="Times New Roman"/>
          <w:sz w:val="24"/>
          <w:szCs w:val="24"/>
          <w:lang w:val="en-US"/>
        </w:rPr>
        <w:t xml:space="preserve">. Our results agree with this, while trophic deviation is higher in </w:t>
      </w:r>
      <w:r w:rsidR="000E498E">
        <w:rPr>
          <w:rFonts w:ascii="Times New Roman" w:hAnsi="Times New Roman" w:cs="Times New Roman"/>
          <w:sz w:val="24"/>
          <w:szCs w:val="24"/>
          <w:lang w:val="en-US"/>
        </w:rPr>
        <w:t>secondary and tertiary consume</w:t>
      </w:r>
      <w:r w:rsidR="00967789">
        <w:rPr>
          <w:rFonts w:ascii="Times New Roman" w:hAnsi="Times New Roman" w:cs="Times New Roman"/>
          <w:sz w:val="24"/>
          <w:szCs w:val="24"/>
          <w:lang w:val="en-US"/>
        </w:rPr>
        <w:t>r</w:t>
      </w:r>
      <w:r w:rsidR="000E498E">
        <w:rPr>
          <w:rFonts w:ascii="Times New Roman" w:hAnsi="Times New Roman" w:cs="Times New Roman"/>
          <w:sz w:val="24"/>
          <w:szCs w:val="24"/>
          <w:lang w:val="en-US"/>
        </w:rPr>
        <w:t>s</w:t>
      </w:r>
      <w:r w:rsidR="00D270E9">
        <w:rPr>
          <w:rFonts w:ascii="Times New Roman" w:hAnsi="Times New Roman" w:cs="Times New Roman"/>
          <w:sz w:val="24"/>
          <w:szCs w:val="24"/>
          <w:lang w:val="en-US"/>
        </w:rPr>
        <w:t xml:space="preserve">, </w:t>
      </w:r>
      <w:r w:rsidR="003E2370">
        <w:rPr>
          <w:rFonts w:ascii="Times New Roman" w:hAnsi="Times New Roman" w:cs="Times New Roman"/>
          <w:sz w:val="24"/>
          <w:szCs w:val="24"/>
          <w:lang w:val="en-US"/>
        </w:rPr>
        <w:t>variability</w:t>
      </w:r>
      <w:r w:rsidR="000E498E">
        <w:rPr>
          <w:rFonts w:ascii="Times New Roman" w:hAnsi="Times New Roman" w:cs="Times New Roman"/>
          <w:sz w:val="24"/>
          <w:szCs w:val="24"/>
          <w:lang w:val="en-US"/>
        </w:rPr>
        <w:t xml:space="preserve"> in the magnitude of trophic position deviation is dampened relative to </w:t>
      </w:r>
      <w:r w:rsidR="003E2370">
        <w:rPr>
          <w:rFonts w:ascii="Times New Roman" w:hAnsi="Times New Roman" w:cs="Times New Roman"/>
          <w:sz w:val="24"/>
          <w:szCs w:val="24"/>
          <w:lang w:val="en-US"/>
        </w:rPr>
        <w:t>the stable isotope values observed lover in the food web (Figure 4)</w:t>
      </w:r>
      <w:r w:rsidR="00D270E9">
        <w:rPr>
          <w:rFonts w:ascii="Times New Roman" w:hAnsi="Times New Roman" w:cs="Times New Roman"/>
          <w:sz w:val="24"/>
          <w:szCs w:val="24"/>
          <w:lang w:val="en-US"/>
        </w:rPr>
        <w:t>.</w:t>
      </w:r>
      <w:r w:rsidR="003E2370">
        <w:rPr>
          <w:rFonts w:ascii="Times New Roman" w:hAnsi="Times New Roman" w:cs="Times New Roman"/>
          <w:sz w:val="24"/>
          <w:szCs w:val="24"/>
          <w:lang w:val="en-US"/>
        </w:rPr>
        <w:t xml:space="preserve"> This indicates that when consumers tissues are sampled is less impactful for the overall magnitude of trophic position</w:t>
      </w:r>
      <w:r w:rsidR="00D270E9">
        <w:rPr>
          <w:rFonts w:ascii="Times New Roman" w:hAnsi="Times New Roman" w:cs="Times New Roman"/>
          <w:sz w:val="24"/>
          <w:szCs w:val="24"/>
          <w:lang w:val="en-US"/>
        </w:rPr>
        <w:t xml:space="preserve"> </w:t>
      </w:r>
      <w:r w:rsidR="003E2370">
        <w:rPr>
          <w:rFonts w:ascii="Times New Roman" w:hAnsi="Times New Roman" w:cs="Times New Roman"/>
          <w:sz w:val="24"/>
          <w:szCs w:val="24"/>
          <w:lang w:val="en-US"/>
        </w:rPr>
        <w:t>deviation than when</w:t>
      </w:r>
      <w:r w:rsidR="00584C10">
        <w:rPr>
          <w:rFonts w:ascii="Times New Roman" w:hAnsi="Times New Roman" w:cs="Times New Roman"/>
          <w:sz w:val="24"/>
          <w:szCs w:val="24"/>
          <w:lang w:val="en-US"/>
        </w:rPr>
        <w:t xml:space="preserve"> and how</w:t>
      </w:r>
      <w:r w:rsidR="003E2370">
        <w:rPr>
          <w:rFonts w:ascii="Times New Roman" w:hAnsi="Times New Roman" w:cs="Times New Roman"/>
          <w:sz w:val="24"/>
          <w:szCs w:val="24"/>
          <w:lang w:val="en-US"/>
        </w:rPr>
        <w:t xml:space="preserve"> the baseline is sampled</w:t>
      </w:r>
      <w:r w:rsidR="00EB3854">
        <w:rPr>
          <w:rFonts w:ascii="Times New Roman" w:hAnsi="Times New Roman" w:cs="Times New Roman"/>
          <w:sz w:val="24"/>
          <w:szCs w:val="24"/>
          <w:lang w:val="en-US"/>
        </w:rPr>
        <w:t xml:space="preserve"> and modifications to stable isotope baseline sampling </w:t>
      </w:r>
      <w:r w:rsidR="00584C10">
        <w:rPr>
          <w:rFonts w:ascii="Times New Roman" w:hAnsi="Times New Roman" w:cs="Times New Roman"/>
          <w:sz w:val="24"/>
          <w:szCs w:val="24"/>
          <w:lang w:val="en-US"/>
        </w:rPr>
        <w:t>is the most</w:t>
      </w:r>
      <w:r w:rsidR="00EB3854">
        <w:rPr>
          <w:rFonts w:ascii="Times New Roman" w:hAnsi="Times New Roman" w:cs="Times New Roman"/>
          <w:sz w:val="24"/>
          <w:szCs w:val="24"/>
          <w:lang w:val="en-US"/>
        </w:rPr>
        <w:t xml:space="preserve"> fruitful approach to minimizing trophic position deviation</w:t>
      </w:r>
      <w:r w:rsidR="00584C10">
        <w:rPr>
          <w:rFonts w:ascii="Times New Roman" w:hAnsi="Times New Roman" w:cs="Times New Roman"/>
          <w:sz w:val="24"/>
          <w:szCs w:val="24"/>
          <w:lang w:val="en-US"/>
        </w:rPr>
        <w:t xml:space="preserve"> (compared to adjusting consumer sampling)</w:t>
      </w:r>
      <w:r w:rsidR="003E2370">
        <w:rPr>
          <w:rFonts w:ascii="Times New Roman" w:hAnsi="Times New Roman" w:cs="Times New Roman"/>
          <w:sz w:val="24"/>
          <w:szCs w:val="24"/>
          <w:lang w:val="en-US"/>
        </w:rPr>
        <w:t>.</w:t>
      </w:r>
    </w:p>
    <w:p w14:paraId="6DAC4712" w14:textId="02927502" w:rsidR="000E498E" w:rsidRDefault="000E498E" w:rsidP="00CB18AA">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ab/>
      </w:r>
      <w:r w:rsidR="00946DD0">
        <w:rPr>
          <w:rFonts w:ascii="Times New Roman" w:hAnsi="Times New Roman" w:cs="Times New Roman"/>
          <w:sz w:val="24"/>
          <w:szCs w:val="24"/>
          <w:lang w:val="en-US"/>
        </w:rPr>
        <w:t xml:space="preserve">Previous research has provided guidance to improve accuracy of trophic position estimation from bulk stable isotope data. </w:t>
      </w:r>
      <w:r w:rsidR="007E260B">
        <w:rPr>
          <w:rFonts w:ascii="Times New Roman" w:hAnsi="Times New Roman" w:cs="Times New Roman"/>
          <w:sz w:val="24"/>
          <w:szCs w:val="24"/>
          <w:lang w:val="en-US"/>
        </w:rPr>
        <w:t xml:space="preserve">Our analysis utilized stable isotope data of particulate organic matter </w:t>
      </w:r>
      <w:r w:rsidR="00967789">
        <w:rPr>
          <w:rFonts w:ascii="Times New Roman" w:hAnsi="Times New Roman" w:cs="Times New Roman"/>
          <w:sz w:val="24"/>
          <w:szCs w:val="24"/>
          <w:lang w:val="en-US"/>
        </w:rPr>
        <w:t>because</w:t>
      </w:r>
      <w:r w:rsidR="007E260B">
        <w:rPr>
          <w:rFonts w:ascii="Times New Roman" w:hAnsi="Times New Roman" w:cs="Times New Roman"/>
          <w:sz w:val="24"/>
          <w:szCs w:val="24"/>
          <w:lang w:val="en-US"/>
        </w:rPr>
        <w:t xml:space="preserve"> </w:t>
      </w:r>
      <w:r w:rsidR="00584C10">
        <w:rPr>
          <w:rFonts w:ascii="Times New Roman" w:hAnsi="Times New Roman" w:cs="Times New Roman"/>
          <w:sz w:val="24"/>
          <w:szCs w:val="24"/>
          <w:lang w:val="en-US"/>
        </w:rPr>
        <w:t xml:space="preserve">it is prevalent and </w:t>
      </w:r>
      <w:r w:rsidR="007E260B">
        <w:rPr>
          <w:rFonts w:ascii="Times New Roman" w:hAnsi="Times New Roman" w:cs="Times New Roman"/>
          <w:sz w:val="24"/>
          <w:szCs w:val="24"/>
          <w:lang w:val="en-US"/>
        </w:rPr>
        <w:t>longer-term data was available for a greater variety o</w:t>
      </w:r>
      <w:r w:rsidR="00B0416C">
        <w:rPr>
          <w:rFonts w:ascii="Times New Roman" w:hAnsi="Times New Roman" w:cs="Times New Roman"/>
          <w:sz w:val="24"/>
          <w:szCs w:val="24"/>
          <w:lang w:val="en-US"/>
        </w:rPr>
        <w:t>f</w:t>
      </w:r>
      <w:r w:rsidR="007E260B">
        <w:rPr>
          <w:rFonts w:ascii="Times New Roman" w:hAnsi="Times New Roman" w:cs="Times New Roman"/>
          <w:sz w:val="24"/>
          <w:szCs w:val="24"/>
          <w:lang w:val="en-US"/>
        </w:rPr>
        <w:t xml:space="preserve"> systems</w:t>
      </w:r>
      <w:r w:rsidR="00584C10">
        <w:rPr>
          <w:rFonts w:ascii="Times New Roman" w:hAnsi="Times New Roman" w:cs="Times New Roman"/>
          <w:sz w:val="24"/>
          <w:szCs w:val="24"/>
          <w:lang w:val="en-US"/>
        </w:rPr>
        <w:t>.</w:t>
      </w:r>
      <w:r w:rsidR="007E260B">
        <w:rPr>
          <w:rFonts w:ascii="Times New Roman" w:hAnsi="Times New Roman" w:cs="Times New Roman"/>
          <w:sz w:val="24"/>
          <w:szCs w:val="24"/>
          <w:lang w:val="en-US"/>
        </w:rPr>
        <w:t xml:space="preserve"> </w:t>
      </w:r>
      <w:r w:rsidR="00584C10">
        <w:rPr>
          <w:rFonts w:ascii="Times New Roman" w:hAnsi="Times New Roman" w:cs="Times New Roman"/>
          <w:sz w:val="24"/>
          <w:szCs w:val="24"/>
          <w:lang w:val="en-US"/>
        </w:rPr>
        <w:t>I</w:t>
      </w:r>
      <w:r w:rsidR="007E260B">
        <w:rPr>
          <w:rFonts w:ascii="Times New Roman" w:hAnsi="Times New Roman" w:cs="Times New Roman"/>
          <w:sz w:val="24"/>
          <w:szCs w:val="24"/>
          <w:lang w:val="en-US"/>
        </w:rPr>
        <w:t xml:space="preserve">t </w:t>
      </w:r>
      <w:r w:rsidR="00584C10">
        <w:rPr>
          <w:rFonts w:ascii="Times New Roman" w:hAnsi="Times New Roman" w:cs="Times New Roman"/>
          <w:sz w:val="24"/>
          <w:szCs w:val="24"/>
          <w:lang w:val="en-US"/>
        </w:rPr>
        <w:t xml:space="preserve">also </w:t>
      </w:r>
      <w:r w:rsidR="007E260B">
        <w:rPr>
          <w:rFonts w:ascii="Times New Roman" w:hAnsi="Times New Roman" w:cs="Times New Roman"/>
          <w:sz w:val="24"/>
          <w:szCs w:val="24"/>
          <w:lang w:val="en-US"/>
        </w:rPr>
        <w:t xml:space="preserve">allowed us to manipulate the tissue turnover time of all of the consumers in the </w:t>
      </w:r>
      <w:r w:rsidR="00BD73D2">
        <w:rPr>
          <w:rFonts w:ascii="Times New Roman" w:hAnsi="Times New Roman" w:cs="Times New Roman"/>
          <w:sz w:val="24"/>
          <w:szCs w:val="24"/>
          <w:lang w:val="en-US"/>
        </w:rPr>
        <w:t xml:space="preserve">modelled </w:t>
      </w:r>
      <w:r w:rsidR="007E260B">
        <w:rPr>
          <w:rFonts w:ascii="Times New Roman" w:hAnsi="Times New Roman" w:cs="Times New Roman"/>
          <w:sz w:val="24"/>
          <w:szCs w:val="24"/>
          <w:lang w:val="en-US"/>
        </w:rPr>
        <w:t xml:space="preserve">food web. However, </w:t>
      </w:r>
      <w:proofErr w:type="spellStart"/>
      <w:r w:rsidR="007E260B">
        <w:rPr>
          <w:rFonts w:ascii="Times New Roman" w:hAnsi="Times New Roman" w:cs="Times New Roman"/>
          <w:sz w:val="24"/>
          <w:szCs w:val="24"/>
          <w:lang w:val="en-US"/>
        </w:rPr>
        <w:t>K</w:t>
      </w:r>
      <w:r w:rsidR="00742B77">
        <w:rPr>
          <w:rFonts w:ascii="Times New Roman" w:hAnsi="Times New Roman" w:cs="Times New Roman"/>
          <w:sz w:val="24"/>
          <w:szCs w:val="24"/>
          <w:lang w:val="en-US"/>
        </w:rPr>
        <w:t>jeld</w:t>
      </w:r>
      <w:r w:rsidR="005D2AF9">
        <w:rPr>
          <w:rFonts w:ascii="Times New Roman" w:hAnsi="Times New Roman" w:cs="Times New Roman"/>
          <w:sz w:val="24"/>
          <w:szCs w:val="24"/>
          <w:lang w:val="en-US"/>
        </w:rPr>
        <w:t>gaard</w:t>
      </w:r>
      <w:proofErr w:type="spellEnd"/>
      <w:r w:rsidR="007E260B">
        <w:rPr>
          <w:rFonts w:ascii="Times New Roman" w:hAnsi="Times New Roman" w:cs="Times New Roman"/>
          <w:sz w:val="24"/>
          <w:szCs w:val="24"/>
          <w:lang w:val="en-US"/>
        </w:rPr>
        <w:t xml:space="preserve"> et al. </w:t>
      </w:r>
      <w:r w:rsidR="005D2AF9">
        <w:rPr>
          <w:rFonts w:ascii="Times New Roman" w:hAnsi="Times New Roman" w:cs="Times New Roman"/>
          <w:sz w:val="24"/>
          <w:szCs w:val="24"/>
          <w:lang w:val="en-US"/>
        </w:rPr>
        <w:t xml:space="preserve">(2021) </w:t>
      </w:r>
      <w:r w:rsidR="007E260B">
        <w:rPr>
          <w:rFonts w:ascii="Times New Roman" w:hAnsi="Times New Roman" w:cs="Times New Roman"/>
          <w:sz w:val="24"/>
          <w:szCs w:val="24"/>
          <w:lang w:val="en-US"/>
        </w:rPr>
        <w:t xml:space="preserve">found that there were 10 methods to quantify stable isotope baseline in the literature, of which particulate organic matter was </w:t>
      </w:r>
      <w:r w:rsidR="00584C10">
        <w:rPr>
          <w:rFonts w:ascii="Times New Roman" w:hAnsi="Times New Roman" w:cs="Times New Roman"/>
          <w:sz w:val="24"/>
          <w:szCs w:val="24"/>
          <w:lang w:val="en-US"/>
        </w:rPr>
        <w:t xml:space="preserve">only </w:t>
      </w:r>
      <w:r w:rsidR="007E260B">
        <w:rPr>
          <w:rFonts w:ascii="Times New Roman" w:hAnsi="Times New Roman" w:cs="Times New Roman"/>
          <w:sz w:val="24"/>
          <w:szCs w:val="24"/>
          <w:lang w:val="en-US"/>
        </w:rPr>
        <w:t xml:space="preserve">one. </w:t>
      </w:r>
      <w:r w:rsidR="005D2AF9">
        <w:rPr>
          <w:rFonts w:ascii="Times New Roman" w:hAnsi="Times New Roman" w:cs="Times New Roman"/>
          <w:sz w:val="24"/>
          <w:szCs w:val="24"/>
          <w:lang w:val="en-US"/>
        </w:rPr>
        <w:t>Guidance</w:t>
      </w:r>
      <w:r w:rsidR="007E260B">
        <w:rPr>
          <w:rFonts w:ascii="Times New Roman" w:hAnsi="Times New Roman" w:cs="Times New Roman"/>
          <w:sz w:val="24"/>
          <w:szCs w:val="24"/>
          <w:lang w:val="en-US"/>
        </w:rPr>
        <w:t xml:space="preserve"> on stable isotope sampling strategy has included increasing sample size (</w:t>
      </w:r>
      <w:proofErr w:type="spellStart"/>
      <w:r w:rsidR="005D2AF9">
        <w:rPr>
          <w:rFonts w:ascii="Times New Roman" w:hAnsi="Times New Roman" w:cs="Times New Roman"/>
          <w:sz w:val="24"/>
          <w:szCs w:val="24"/>
          <w:lang w:val="en-US"/>
        </w:rPr>
        <w:t>Kjeldgaard</w:t>
      </w:r>
      <w:proofErr w:type="spellEnd"/>
      <w:r w:rsidR="005D2AF9">
        <w:rPr>
          <w:rFonts w:ascii="Times New Roman" w:hAnsi="Times New Roman" w:cs="Times New Roman"/>
          <w:sz w:val="24"/>
          <w:szCs w:val="24"/>
          <w:lang w:val="en-US"/>
        </w:rPr>
        <w:t xml:space="preserve"> et al. 2021)</w:t>
      </w:r>
      <w:r w:rsidR="00CC2FFD">
        <w:rPr>
          <w:rFonts w:ascii="Times New Roman" w:hAnsi="Times New Roman" w:cs="Times New Roman"/>
          <w:sz w:val="24"/>
          <w:szCs w:val="24"/>
          <w:lang w:val="en-US"/>
        </w:rPr>
        <w:t>,</w:t>
      </w:r>
      <w:r w:rsidR="007E260B">
        <w:rPr>
          <w:rFonts w:ascii="Times New Roman" w:hAnsi="Times New Roman" w:cs="Times New Roman"/>
          <w:sz w:val="24"/>
          <w:szCs w:val="24"/>
          <w:lang w:val="en-US"/>
        </w:rPr>
        <w:t xml:space="preserve"> using primary consumers as the stable isotope baseline rather than particulate organic matter or primary producers </w:t>
      </w:r>
      <w:r w:rsidR="005D2AF9">
        <w:rPr>
          <w:rFonts w:ascii="Times New Roman" w:hAnsi="Times New Roman" w:cs="Times New Roman"/>
          <w:sz w:val="24"/>
          <w:szCs w:val="24"/>
          <w:lang w:val="en-US"/>
        </w:rPr>
        <w:t>(Post et al. 2002</w:t>
      </w:r>
      <w:r w:rsidR="007E260B">
        <w:rPr>
          <w:rFonts w:ascii="Times New Roman" w:hAnsi="Times New Roman" w:cs="Times New Roman"/>
          <w:sz w:val="24"/>
          <w:szCs w:val="24"/>
          <w:lang w:val="en-US"/>
        </w:rPr>
        <w:t>), and sampling consumers of interest and the stable isotope bas</w:t>
      </w:r>
      <w:r w:rsidR="00BD73D2">
        <w:rPr>
          <w:rFonts w:ascii="Times New Roman" w:hAnsi="Times New Roman" w:cs="Times New Roman"/>
          <w:sz w:val="24"/>
          <w:szCs w:val="24"/>
          <w:lang w:val="en-US"/>
        </w:rPr>
        <w:t>e</w:t>
      </w:r>
      <w:r w:rsidR="007E260B">
        <w:rPr>
          <w:rFonts w:ascii="Times New Roman" w:hAnsi="Times New Roman" w:cs="Times New Roman"/>
          <w:sz w:val="24"/>
          <w:szCs w:val="24"/>
          <w:lang w:val="en-US"/>
        </w:rPr>
        <w:t>line 90 days apart (</w:t>
      </w:r>
      <w:proofErr w:type="spellStart"/>
      <w:r w:rsidR="005D2AF9">
        <w:rPr>
          <w:rFonts w:ascii="Times New Roman" w:hAnsi="Times New Roman" w:cs="Times New Roman"/>
          <w:sz w:val="24"/>
          <w:szCs w:val="24"/>
          <w:lang w:val="en-US"/>
        </w:rPr>
        <w:t>Possamai</w:t>
      </w:r>
      <w:proofErr w:type="spellEnd"/>
      <w:r w:rsidR="005D2AF9">
        <w:rPr>
          <w:rFonts w:ascii="Times New Roman" w:hAnsi="Times New Roman" w:cs="Times New Roman"/>
          <w:sz w:val="24"/>
          <w:szCs w:val="24"/>
          <w:lang w:val="en-US"/>
        </w:rPr>
        <w:t xml:space="preserve"> et al. 2021</w:t>
      </w:r>
      <w:r w:rsidR="007E260B">
        <w:rPr>
          <w:rFonts w:ascii="Times New Roman" w:hAnsi="Times New Roman" w:cs="Times New Roman"/>
          <w:sz w:val="24"/>
          <w:szCs w:val="24"/>
          <w:lang w:val="en-US"/>
        </w:rPr>
        <w:t xml:space="preserve">). </w:t>
      </w:r>
      <w:r w:rsidR="007D5401">
        <w:rPr>
          <w:rFonts w:ascii="Times New Roman" w:hAnsi="Times New Roman" w:cs="Times New Roman"/>
          <w:sz w:val="24"/>
          <w:szCs w:val="24"/>
          <w:lang w:val="en-US"/>
        </w:rPr>
        <w:t xml:space="preserve">With our model, we </w:t>
      </w:r>
      <w:r w:rsidR="007E260B">
        <w:rPr>
          <w:rFonts w:ascii="Times New Roman" w:hAnsi="Times New Roman" w:cs="Times New Roman"/>
          <w:sz w:val="24"/>
          <w:szCs w:val="24"/>
          <w:lang w:val="en-US"/>
        </w:rPr>
        <w:t xml:space="preserve">explored these options and </w:t>
      </w:r>
      <w:r w:rsidR="007D5401">
        <w:rPr>
          <w:rFonts w:ascii="Times New Roman" w:hAnsi="Times New Roman" w:cs="Times New Roman"/>
          <w:sz w:val="24"/>
          <w:szCs w:val="24"/>
          <w:lang w:val="en-US"/>
        </w:rPr>
        <w:t xml:space="preserve">found </w:t>
      </w:r>
      <w:r w:rsidR="00B0416C">
        <w:rPr>
          <w:rFonts w:ascii="Times New Roman" w:hAnsi="Times New Roman" w:cs="Times New Roman"/>
          <w:sz w:val="24"/>
          <w:szCs w:val="24"/>
          <w:lang w:val="en-US"/>
        </w:rPr>
        <w:t xml:space="preserve">that </w:t>
      </w:r>
      <w:r w:rsidR="007D5401">
        <w:rPr>
          <w:rFonts w:ascii="Times New Roman" w:hAnsi="Times New Roman" w:cs="Times New Roman"/>
          <w:sz w:val="24"/>
          <w:szCs w:val="24"/>
          <w:lang w:val="en-US"/>
        </w:rPr>
        <w:t xml:space="preserve">applying a 90-day lag or using the primary consumer as the stable isotope baseline offered </w:t>
      </w:r>
      <w:r w:rsidR="00B0416C">
        <w:rPr>
          <w:rFonts w:ascii="Times New Roman" w:hAnsi="Times New Roman" w:cs="Times New Roman"/>
          <w:sz w:val="24"/>
          <w:szCs w:val="24"/>
          <w:lang w:val="en-US"/>
        </w:rPr>
        <w:t xml:space="preserve">only </w:t>
      </w:r>
      <w:r w:rsidR="007D5401">
        <w:rPr>
          <w:rFonts w:ascii="Times New Roman" w:hAnsi="Times New Roman" w:cs="Times New Roman"/>
          <w:sz w:val="24"/>
          <w:szCs w:val="24"/>
          <w:lang w:val="en-US"/>
        </w:rPr>
        <w:t>moderate improvement of the accuracy in trophic position estimation (</w:t>
      </w:r>
      <w:r w:rsidR="007E260B">
        <w:rPr>
          <w:rFonts w:ascii="Times New Roman" w:hAnsi="Times New Roman" w:cs="Times New Roman"/>
          <w:sz w:val="24"/>
          <w:szCs w:val="24"/>
          <w:lang w:val="en-US"/>
        </w:rPr>
        <w:t>Table 4; Figure 12</w:t>
      </w:r>
      <w:r w:rsidR="007D5401">
        <w:rPr>
          <w:rFonts w:ascii="Times New Roman" w:hAnsi="Times New Roman" w:cs="Times New Roman"/>
          <w:sz w:val="24"/>
          <w:szCs w:val="24"/>
          <w:lang w:val="en-US"/>
        </w:rPr>
        <w:t xml:space="preserve">). </w:t>
      </w:r>
      <w:r w:rsidR="00FE2B86">
        <w:rPr>
          <w:rFonts w:ascii="Times New Roman" w:hAnsi="Times New Roman" w:cs="Times New Roman"/>
          <w:sz w:val="24"/>
          <w:szCs w:val="24"/>
          <w:lang w:val="en-US"/>
        </w:rPr>
        <w:t>A</w:t>
      </w:r>
      <w:r w:rsidR="007D5401">
        <w:rPr>
          <w:rFonts w:ascii="Times New Roman" w:hAnsi="Times New Roman" w:cs="Times New Roman"/>
          <w:sz w:val="24"/>
          <w:szCs w:val="24"/>
          <w:lang w:val="en-US"/>
        </w:rPr>
        <w:t xml:space="preserve">ccuracy in trophic position </w:t>
      </w:r>
      <w:r w:rsidR="007E260B">
        <w:rPr>
          <w:rFonts w:ascii="Times New Roman" w:hAnsi="Times New Roman" w:cs="Times New Roman"/>
          <w:sz w:val="24"/>
          <w:szCs w:val="24"/>
          <w:lang w:val="en-US"/>
        </w:rPr>
        <w:t>estimation</w:t>
      </w:r>
      <w:r w:rsidR="00B0416C">
        <w:rPr>
          <w:rFonts w:ascii="Times New Roman" w:hAnsi="Times New Roman" w:cs="Times New Roman"/>
          <w:sz w:val="24"/>
          <w:szCs w:val="24"/>
          <w:lang w:val="en-US"/>
        </w:rPr>
        <w:t xml:space="preserve"> </w:t>
      </w:r>
      <w:r w:rsidR="003E7C93">
        <w:rPr>
          <w:rFonts w:ascii="Times New Roman" w:hAnsi="Times New Roman" w:cs="Times New Roman"/>
          <w:sz w:val="24"/>
          <w:szCs w:val="24"/>
          <w:lang w:val="en-US"/>
        </w:rPr>
        <w:t xml:space="preserve">improved the most for tertiary consumers </w:t>
      </w:r>
      <w:r w:rsidR="00DF3CDE">
        <w:rPr>
          <w:rFonts w:ascii="Times New Roman" w:hAnsi="Times New Roman" w:cs="Times New Roman"/>
          <w:sz w:val="24"/>
          <w:szCs w:val="24"/>
          <w:lang w:val="en-US"/>
        </w:rPr>
        <w:t>for both methods</w:t>
      </w:r>
      <w:r w:rsidR="00FE2B86">
        <w:rPr>
          <w:rFonts w:ascii="Times New Roman" w:hAnsi="Times New Roman" w:cs="Times New Roman"/>
          <w:sz w:val="24"/>
          <w:szCs w:val="24"/>
          <w:lang w:val="en-US"/>
        </w:rPr>
        <w:t xml:space="preserve"> but was worse for primary consumers when applying the 90-day delay</w:t>
      </w:r>
      <w:r w:rsidR="00DF3CDE">
        <w:rPr>
          <w:rFonts w:ascii="Times New Roman" w:hAnsi="Times New Roman" w:cs="Times New Roman"/>
          <w:sz w:val="24"/>
          <w:szCs w:val="24"/>
          <w:lang w:val="en-US"/>
        </w:rPr>
        <w:t xml:space="preserve">. </w:t>
      </w:r>
      <w:r w:rsidR="00FE2B86">
        <w:rPr>
          <w:rFonts w:ascii="Times New Roman" w:hAnsi="Times New Roman" w:cs="Times New Roman"/>
          <w:sz w:val="24"/>
          <w:szCs w:val="24"/>
          <w:lang w:val="en-US"/>
        </w:rPr>
        <w:t xml:space="preserve">This result indicates </w:t>
      </w:r>
      <w:r w:rsidR="00BD73D2">
        <w:rPr>
          <w:rFonts w:ascii="Times New Roman" w:hAnsi="Times New Roman" w:cs="Times New Roman"/>
          <w:sz w:val="24"/>
          <w:szCs w:val="24"/>
          <w:lang w:val="en-US"/>
        </w:rPr>
        <w:t xml:space="preserve">the </w:t>
      </w:r>
      <w:r w:rsidR="003671E8">
        <w:rPr>
          <w:rFonts w:ascii="Times New Roman" w:hAnsi="Times New Roman" w:cs="Times New Roman"/>
          <w:sz w:val="24"/>
          <w:szCs w:val="24"/>
          <w:lang w:val="en-US"/>
        </w:rPr>
        <w:t xml:space="preserve">isotopic </w:t>
      </w:r>
      <w:r w:rsidR="00BD73D2">
        <w:rPr>
          <w:rFonts w:ascii="Times New Roman" w:hAnsi="Times New Roman" w:cs="Times New Roman"/>
          <w:sz w:val="24"/>
          <w:szCs w:val="24"/>
          <w:lang w:val="en-US"/>
        </w:rPr>
        <w:t xml:space="preserve">steady-state assumption is more accurate for </w:t>
      </w:r>
      <w:r w:rsidR="00FE2B86">
        <w:rPr>
          <w:rFonts w:ascii="Times New Roman" w:hAnsi="Times New Roman" w:cs="Times New Roman"/>
          <w:sz w:val="24"/>
          <w:szCs w:val="24"/>
          <w:lang w:val="en-US"/>
        </w:rPr>
        <w:t>h</w:t>
      </w:r>
      <w:r w:rsidR="00DF3CDE">
        <w:rPr>
          <w:rFonts w:ascii="Times New Roman" w:hAnsi="Times New Roman" w:cs="Times New Roman"/>
          <w:sz w:val="24"/>
          <w:szCs w:val="24"/>
          <w:lang w:val="en-US"/>
        </w:rPr>
        <w:t xml:space="preserve">igher trophic level consumers when </w:t>
      </w:r>
      <w:r w:rsidR="00DF3CDE">
        <w:rPr>
          <w:rFonts w:ascii="Times New Roman" w:hAnsi="Times New Roman" w:cs="Times New Roman"/>
          <w:sz w:val="24"/>
          <w:szCs w:val="24"/>
          <w:lang w:val="en-US"/>
        </w:rPr>
        <w:lastRenderedPageBreak/>
        <w:t>applying a 90-day sampling delay and using primary consumers as the stable isotope baseline</w:t>
      </w:r>
      <w:r w:rsidR="00FE2B86">
        <w:rPr>
          <w:rFonts w:ascii="Times New Roman" w:hAnsi="Times New Roman" w:cs="Times New Roman"/>
          <w:sz w:val="24"/>
          <w:szCs w:val="24"/>
          <w:lang w:val="en-US"/>
        </w:rPr>
        <w:t>. When applying both of the sampling strategies at once</w:t>
      </w:r>
      <w:r w:rsidR="00243065">
        <w:rPr>
          <w:rFonts w:ascii="Times New Roman" w:hAnsi="Times New Roman" w:cs="Times New Roman"/>
          <w:sz w:val="24"/>
          <w:szCs w:val="24"/>
          <w:lang w:val="en-US"/>
        </w:rPr>
        <w:t>, the trophic position deviation of</w:t>
      </w:r>
      <w:r w:rsidR="00DF3CDE">
        <w:rPr>
          <w:rFonts w:ascii="Times New Roman" w:hAnsi="Times New Roman" w:cs="Times New Roman"/>
          <w:sz w:val="24"/>
          <w:szCs w:val="24"/>
          <w:lang w:val="en-US"/>
        </w:rPr>
        <w:t xml:space="preserve"> </w:t>
      </w:r>
      <w:r w:rsidR="00FE2B86">
        <w:rPr>
          <w:rFonts w:ascii="Times New Roman" w:hAnsi="Times New Roman" w:cs="Times New Roman"/>
          <w:sz w:val="24"/>
          <w:szCs w:val="24"/>
          <w:lang w:val="en-US"/>
        </w:rPr>
        <w:t xml:space="preserve">tertiary consumers </w:t>
      </w:r>
      <w:r w:rsidR="00B0416C">
        <w:rPr>
          <w:rFonts w:ascii="Times New Roman" w:hAnsi="Times New Roman" w:cs="Times New Roman"/>
          <w:sz w:val="24"/>
          <w:szCs w:val="24"/>
          <w:lang w:val="en-US"/>
        </w:rPr>
        <w:t xml:space="preserve">was only </w:t>
      </w:r>
      <w:r w:rsidR="00B0416C" w:rsidRPr="000D0D5E">
        <w:rPr>
          <w:rFonts w:ascii="Times New Roman" w:hAnsi="Times New Roman" w:cs="Times New Roman"/>
          <w:lang w:val="en-US"/>
        </w:rPr>
        <w:t>±</w:t>
      </w:r>
      <w:r w:rsidR="00B0416C">
        <w:rPr>
          <w:rFonts w:ascii="Times New Roman" w:hAnsi="Times New Roman" w:cs="Times New Roman"/>
          <w:lang w:val="en-US"/>
        </w:rPr>
        <w:t xml:space="preserve"> </w:t>
      </w:r>
      <w:r w:rsidR="00B0416C">
        <w:rPr>
          <w:rFonts w:ascii="Times New Roman" w:hAnsi="Times New Roman" w:cs="Times New Roman"/>
          <w:sz w:val="24"/>
          <w:szCs w:val="24"/>
          <w:lang w:val="en-US"/>
        </w:rPr>
        <w:t xml:space="preserve">0.3 trophic levels for most systems (Table 4B). </w:t>
      </w:r>
      <w:r w:rsidR="007E260B">
        <w:rPr>
          <w:rFonts w:ascii="Times New Roman" w:hAnsi="Times New Roman" w:cs="Times New Roman"/>
          <w:sz w:val="24"/>
          <w:szCs w:val="24"/>
          <w:lang w:val="en-US"/>
        </w:rPr>
        <w:t xml:space="preserve">Using a 90-day lag between the consumer of interest and isotope baseline, </w:t>
      </w:r>
      <w:r w:rsidR="00B0416C">
        <w:rPr>
          <w:rFonts w:ascii="Times New Roman" w:hAnsi="Times New Roman" w:cs="Times New Roman"/>
          <w:sz w:val="24"/>
          <w:szCs w:val="24"/>
          <w:lang w:val="en-US"/>
        </w:rPr>
        <w:t xml:space="preserve">using </w:t>
      </w:r>
      <w:r w:rsidR="007E260B">
        <w:rPr>
          <w:rFonts w:ascii="Times New Roman" w:hAnsi="Times New Roman" w:cs="Times New Roman"/>
          <w:sz w:val="24"/>
          <w:szCs w:val="24"/>
          <w:lang w:val="en-US"/>
        </w:rPr>
        <w:t>primary consumer</w:t>
      </w:r>
      <w:r w:rsidR="00B0416C">
        <w:rPr>
          <w:rFonts w:ascii="Times New Roman" w:hAnsi="Times New Roman" w:cs="Times New Roman"/>
          <w:sz w:val="24"/>
          <w:szCs w:val="24"/>
          <w:lang w:val="en-US"/>
        </w:rPr>
        <w:t>s</w:t>
      </w:r>
      <w:r w:rsidR="007E260B">
        <w:rPr>
          <w:rFonts w:ascii="Times New Roman" w:hAnsi="Times New Roman" w:cs="Times New Roman"/>
          <w:sz w:val="24"/>
          <w:szCs w:val="24"/>
          <w:lang w:val="en-US"/>
        </w:rPr>
        <w:t xml:space="preserve"> as the stable isotope baseline, or both, could be a useful strategy for minimizing error in trophic position estimation from stable isotope heterogeneity and tissue turnover time for tertiary consumers or higher</w:t>
      </w:r>
      <w:r w:rsidR="00243065">
        <w:rPr>
          <w:rFonts w:ascii="Times New Roman" w:hAnsi="Times New Roman" w:cs="Times New Roman"/>
          <w:sz w:val="24"/>
          <w:szCs w:val="24"/>
          <w:lang w:val="en-US"/>
        </w:rPr>
        <w:t xml:space="preserve"> but will decrease the accuracy of lower trophic level consumers</w:t>
      </w:r>
      <w:r w:rsidR="007E260B">
        <w:rPr>
          <w:rFonts w:ascii="Times New Roman" w:hAnsi="Times New Roman" w:cs="Times New Roman"/>
          <w:sz w:val="24"/>
          <w:szCs w:val="24"/>
          <w:lang w:val="en-US"/>
        </w:rPr>
        <w:t xml:space="preserve">. </w:t>
      </w:r>
      <w:r w:rsidR="00CC2FFD">
        <w:rPr>
          <w:rFonts w:ascii="Times New Roman" w:hAnsi="Times New Roman" w:cs="Times New Roman"/>
          <w:sz w:val="24"/>
          <w:szCs w:val="24"/>
          <w:lang w:val="en-US"/>
        </w:rPr>
        <w:t xml:space="preserve">This strategy could be further improved upon by applying a different time lag for primary consumers that is less than 90 days and aligns more closely with their isotopic turnover rates. </w:t>
      </w:r>
      <w:r w:rsidR="007E260B">
        <w:rPr>
          <w:rFonts w:ascii="Times New Roman" w:hAnsi="Times New Roman" w:cs="Times New Roman"/>
          <w:sz w:val="24"/>
          <w:szCs w:val="24"/>
          <w:lang w:val="en-US"/>
        </w:rPr>
        <w:t>This strategy would be particularly useful for studies where large sample size or CSIA is impractical</w:t>
      </w:r>
      <w:r w:rsidR="003671E8">
        <w:rPr>
          <w:rFonts w:ascii="Times New Roman" w:hAnsi="Times New Roman" w:cs="Times New Roman"/>
          <w:sz w:val="24"/>
          <w:szCs w:val="24"/>
          <w:lang w:val="en-US"/>
        </w:rPr>
        <w:t xml:space="preserve"> or cost prohibitive</w:t>
      </w:r>
      <w:r w:rsidR="007E260B">
        <w:rPr>
          <w:rFonts w:ascii="Times New Roman" w:hAnsi="Times New Roman" w:cs="Times New Roman"/>
          <w:sz w:val="24"/>
          <w:szCs w:val="24"/>
          <w:lang w:val="en-US"/>
        </w:rPr>
        <w:t>.</w:t>
      </w:r>
      <w:r w:rsidR="00EE32B5" w:rsidRPr="00EE32B5">
        <w:rPr>
          <w:rFonts w:ascii="Times New Roman" w:hAnsi="Times New Roman" w:cs="Times New Roman"/>
          <w:sz w:val="24"/>
          <w:szCs w:val="24"/>
          <w:lang w:val="en-US"/>
        </w:rPr>
        <w:t xml:space="preserve"> </w:t>
      </w:r>
      <w:r w:rsidR="00EE32B5">
        <w:rPr>
          <w:rFonts w:ascii="Times New Roman" w:hAnsi="Times New Roman" w:cs="Times New Roman"/>
          <w:sz w:val="24"/>
          <w:szCs w:val="24"/>
          <w:lang w:val="en-US"/>
        </w:rPr>
        <w:t xml:space="preserve">It is important to note that in order to utilize primary consumers as the isotopic baseline, the trophic level of the primary consumers must be known with certainty, or it </w:t>
      </w:r>
      <w:r w:rsidR="00B0416C">
        <w:rPr>
          <w:rFonts w:ascii="Times New Roman" w:hAnsi="Times New Roman" w:cs="Times New Roman"/>
          <w:sz w:val="24"/>
          <w:szCs w:val="24"/>
          <w:lang w:val="en-US"/>
        </w:rPr>
        <w:t xml:space="preserve">could </w:t>
      </w:r>
      <w:r w:rsidR="00EE32B5">
        <w:rPr>
          <w:rFonts w:ascii="Times New Roman" w:hAnsi="Times New Roman" w:cs="Times New Roman"/>
          <w:sz w:val="24"/>
          <w:szCs w:val="24"/>
          <w:lang w:val="en-US"/>
        </w:rPr>
        <w:t>introduce another component of error into the trophic position estimates. This can be particularly challenging when employing a method such as plankton tows</w:t>
      </w:r>
      <w:r w:rsidR="00B0416C">
        <w:rPr>
          <w:rFonts w:ascii="Times New Roman" w:hAnsi="Times New Roman" w:cs="Times New Roman"/>
          <w:sz w:val="24"/>
          <w:szCs w:val="24"/>
          <w:lang w:val="en-US"/>
        </w:rPr>
        <w:t>, which frequently include</w:t>
      </w:r>
      <w:r w:rsidR="00EE32B5">
        <w:rPr>
          <w:rFonts w:ascii="Times New Roman" w:hAnsi="Times New Roman" w:cs="Times New Roman"/>
          <w:sz w:val="24"/>
          <w:szCs w:val="24"/>
          <w:lang w:val="en-US"/>
        </w:rPr>
        <w:t xml:space="preserve"> mixture of </w:t>
      </w:r>
      <w:r w:rsidR="00243065">
        <w:rPr>
          <w:rFonts w:ascii="Times New Roman" w:hAnsi="Times New Roman" w:cs="Times New Roman"/>
          <w:sz w:val="24"/>
          <w:szCs w:val="24"/>
          <w:lang w:val="en-US"/>
        </w:rPr>
        <w:t xml:space="preserve">planktonic </w:t>
      </w:r>
      <w:r w:rsidR="00EE32B5">
        <w:rPr>
          <w:rFonts w:ascii="Times New Roman" w:hAnsi="Times New Roman" w:cs="Times New Roman"/>
          <w:sz w:val="24"/>
          <w:szCs w:val="24"/>
          <w:lang w:val="en-US"/>
        </w:rPr>
        <w:t xml:space="preserve">taxa </w:t>
      </w:r>
      <w:r w:rsidR="00972C49">
        <w:rPr>
          <w:rFonts w:ascii="Times New Roman" w:hAnsi="Times New Roman" w:cs="Times New Roman"/>
          <w:sz w:val="24"/>
          <w:szCs w:val="24"/>
          <w:lang w:val="en-US"/>
        </w:rPr>
        <w:t xml:space="preserve">(i.e., microbial heterotrophs, detritus, microzooplankton) </w:t>
      </w:r>
      <w:r w:rsidR="00243065">
        <w:rPr>
          <w:rFonts w:ascii="Times New Roman" w:hAnsi="Times New Roman" w:cs="Times New Roman"/>
          <w:sz w:val="24"/>
          <w:szCs w:val="24"/>
          <w:lang w:val="en-US"/>
        </w:rPr>
        <w:t>in different</w:t>
      </w:r>
      <w:r w:rsidR="00EE32B5">
        <w:rPr>
          <w:rFonts w:ascii="Times New Roman" w:hAnsi="Times New Roman" w:cs="Times New Roman"/>
          <w:sz w:val="24"/>
          <w:szCs w:val="24"/>
          <w:lang w:val="en-US"/>
        </w:rPr>
        <w:t xml:space="preserve"> life stages, and as a result</w:t>
      </w:r>
      <w:r w:rsidR="00E50527">
        <w:rPr>
          <w:rFonts w:ascii="Times New Roman" w:hAnsi="Times New Roman" w:cs="Times New Roman"/>
          <w:sz w:val="24"/>
          <w:szCs w:val="24"/>
          <w:lang w:val="en-US"/>
        </w:rPr>
        <w:t xml:space="preserve"> can impact</w:t>
      </w:r>
      <w:r w:rsidR="00EE32B5">
        <w:rPr>
          <w:rFonts w:ascii="Times New Roman" w:hAnsi="Times New Roman" w:cs="Times New Roman"/>
          <w:sz w:val="24"/>
          <w:szCs w:val="24"/>
          <w:lang w:val="en-US"/>
        </w:rPr>
        <w:t xml:space="preserve"> trophic position</w:t>
      </w:r>
      <w:r w:rsidR="00972C49">
        <w:rPr>
          <w:rFonts w:ascii="Times New Roman" w:hAnsi="Times New Roman" w:cs="Times New Roman"/>
          <w:sz w:val="24"/>
          <w:szCs w:val="24"/>
          <w:lang w:val="en-US"/>
        </w:rPr>
        <w:t xml:space="preserve"> </w:t>
      </w:r>
      <w:r w:rsidR="00E50527">
        <w:rPr>
          <w:rFonts w:ascii="Times New Roman" w:hAnsi="Times New Roman" w:cs="Times New Roman"/>
          <w:sz w:val="24"/>
          <w:szCs w:val="24"/>
          <w:lang w:val="en-US"/>
        </w:rPr>
        <w:t xml:space="preserve">estimates of consumers </w:t>
      </w:r>
      <w:r w:rsidR="00972C49">
        <w:rPr>
          <w:rFonts w:ascii="Times New Roman" w:hAnsi="Times New Roman" w:cs="Times New Roman"/>
          <w:sz w:val="24"/>
          <w:szCs w:val="24"/>
          <w:lang w:val="en-US"/>
        </w:rPr>
        <w:t xml:space="preserve">(McCarthy et al. 2007, </w:t>
      </w:r>
      <w:proofErr w:type="spellStart"/>
      <w:r w:rsidR="00972C49">
        <w:rPr>
          <w:rFonts w:ascii="Times New Roman" w:hAnsi="Times New Roman" w:cs="Times New Roman"/>
          <w:sz w:val="24"/>
          <w:szCs w:val="24"/>
          <w:lang w:val="en-US"/>
        </w:rPr>
        <w:t>Hannides</w:t>
      </w:r>
      <w:proofErr w:type="spellEnd"/>
      <w:r w:rsidR="00972C49">
        <w:rPr>
          <w:rFonts w:ascii="Times New Roman" w:hAnsi="Times New Roman" w:cs="Times New Roman"/>
          <w:sz w:val="24"/>
          <w:szCs w:val="24"/>
          <w:lang w:val="en-US"/>
        </w:rPr>
        <w:t xml:space="preserve"> et al. 2013)</w:t>
      </w:r>
      <w:r w:rsidR="00EE32B5">
        <w:rPr>
          <w:rFonts w:ascii="Times New Roman" w:hAnsi="Times New Roman" w:cs="Times New Roman"/>
          <w:sz w:val="24"/>
          <w:szCs w:val="24"/>
          <w:lang w:val="en-US"/>
        </w:rPr>
        <w:t xml:space="preserve">. </w:t>
      </w:r>
      <w:r w:rsidR="00D70C08">
        <w:rPr>
          <w:rFonts w:ascii="Times New Roman" w:hAnsi="Times New Roman" w:cs="Times New Roman"/>
          <w:sz w:val="24"/>
          <w:szCs w:val="24"/>
          <w:lang w:val="en-US"/>
        </w:rPr>
        <w:t xml:space="preserve">In addition, </w:t>
      </w:r>
      <w:proofErr w:type="spellStart"/>
      <w:r w:rsidR="00D70C08">
        <w:rPr>
          <w:rFonts w:ascii="Times New Roman" w:hAnsi="Times New Roman" w:cs="Times New Roman"/>
          <w:sz w:val="24"/>
          <w:szCs w:val="24"/>
          <w:lang w:val="en-US"/>
        </w:rPr>
        <w:t>omnivory</w:t>
      </w:r>
      <w:proofErr w:type="spellEnd"/>
      <w:r w:rsidR="00D70C08">
        <w:rPr>
          <w:rFonts w:ascii="Times New Roman" w:hAnsi="Times New Roman" w:cs="Times New Roman"/>
          <w:sz w:val="24"/>
          <w:szCs w:val="24"/>
          <w:lang w:val="en-US"/>
        </w:rPr>
        <w:t xml:space="preserve"> is common in zooplankton </w:t>
      </w:r>
      <w:r w:rsidR="00F03D2D">
        <w:rPr>
          <w:rFonts w:ascii="Times New Roman" w:hAnsi="Times New Roman" w:cs="Times New Roman"/>
          <w:sz w:val="24"/>
          <w:szCs w:val="24"/>
          <w:lang w:val="en-US"/>
        </w:rPr>
        <w:t xml:space="preserve">(Atkinson 1996, Castellani et al. 2008) making it challenging to know their trophic level absolutely if they are used as the stable isotope baseline for trophic position calculations of other consumers. </w:t>
      </w:r>
      <w:r w:rsidR="00EE32B5">
        <w:rPr>
          <w:rFonts w:ascii="Times New Roman" w:hAnsi="Times New Roman" w:cs="Times New Roman"/>
          <w:sz w:val="24"/>
          <w:szCs w:val="24"/>
          <w:lang w:val="en-US"/>
        </w:rPr>
        <w:t xml:space="preserve">Using sessile filter feeders </w:t>
      </w:r>
      <w:r w:rsidR="00E50527">
        <w:rPr>
          <w:rFonts w:ascii="Times New Roman" w:hAnsi="Times New Roman" w:cs="Times New Roman"/>
          <w:sz w:val="24"/>
          <w:szCs w:val="24"/>
          <w:lang w:val="en-US"/>
        </w:rPr>
        <w:t xml:space="preserve">(i.e. mussels, barnacles) </w:t>
      </w:r>
      <w:r w:rsidR="00EE32B5">
        <w:rPr>
          <w:rFonts w:ascii="Times New Roman" w:hAnsi="Times New Roman" w:cs="Times New Roman"/>
          <w:sz w:val="24"/>
          <w:szCs w:val="24"/>
          <w:lang w:val="en-US"/>
        </w:rPr>
        <w:t xml:space="preserve">when available in a system would be the best practice </w:t>
      </w:r>
      <w:r w:rsidR="00B0416C">
        <w:rPr>
          <w:rFonts w:ascii="Times New Roman" w:hAnsi="Times New Roman" w:cs="Times New Roman"/>
          <w:sz w:val="24"/>
          <w:szCs w:val="24"/>
          <w:lang w:val="en-US"/>
        </w:rPr>
        <w:t xml:space="preserve">for using consumers as </w:t>
      </w:r>
      <w:r w:rsidR="00D70C08">
        <w:rPr>
          <w:rFonts w:ascii="Times New Roman" w:hAnsi="Times New Roman" w:cs="Times New Roman"/>
          <w:sz w:val="24"/>
          <w:szCs w:val="24"/>
          <w:lang w:val="en-US"/>
        </w:rPr>
        <w:t xml:space="preserve">suggested by other research </w:t>
      </w:r>
      <w:r w:rsidR="003671E8">
        <w:rPr>
          <w:rFonts w:ascii="Times New Roman" w:hAnsi="Times New Roman" w:cs="Times New Roman"/>
          <w:sz w:val="24"/>
          <w:szCs w:val="24"/>
          <w:lang w:val="en-US"/>
        </w:rPr>
        <w:t>(</w:t>
      </w:r>
      <w:r w:rsidR="00D70C08">
        <w:rPr>
          <w:rFonts w:ascii="Times New Roman" w:hAnsi="Times New Roman" w:cs="Times New Roman"/>
          <w:sz w:val="24"/>
          <w:szCs w:val="24"/>
          <w:lang w:val="en-US"/>
        </w:rPr>
        <w:t xml:space="preserve">Vander </w:t>
      </w:r>
      <w:proofErr w:type="spellStart"/>
      <w:r w:rsidR="00D70C08">
        <w:rPr>
          <w:rFonts w:ascii="Times New Roman" w:hAnsi="Times New Roman" w:cs="Times New Roman"/>
          <w:sz w:val="24"/>
          <w:szCs w:val="24"/>
          <w:lang w:val="en-US"/>
        </w:rPr>
        <w:t>Zanden</w:t>
      </w:r>
      <w:proofErr w:type="spellEnd"/>
      <w:r w:rsidR="00D70C08">
        <w:rPr>
          <w:rFonts w:ascii="Times New Roman" w:hAnsi="Times New Roman" w:cs="Times New Roman"/>
          <w:sz w:val="24"/>
          <w:szCs w:val="24"/>
          <w:lang w:val="en-US"/>
        </w:rPr>
        <w:t xml:space="preserve"> and Rasmussen 1999, 2001, Post 2002</w:t>
      </w:r>
      <w:r w:rsidR="00F03D2D">
        <w:rPr>
          <w:rFonts w:ascii="Times New Roman" w:hAnsi="Times New Roman" w:cs="Times New Roman"/>
          <w:sz w:val="24"/>
          <w:szCs w:val="24"/>
          <w:lang w:val="en-US"/>
        </w:rPr>
        <w:t>,</w:t>
      </w:r>
      <w:r w:rsidR="00D70C08">
        <w:rPr>
          <w:rFonts w:ascii="Times New Roman" w:hAnsi="Times New Roman" w:cs="Times New Roman"/>
          <w:sz w:val="24"/>
          <w:szCs w:val="24"/>
          <w:lang w:val="en-US"/>
        </w:rPr>
        <w:t xml:space="preserve"> </w:t>
      </w:r>
      <w:proofErr w:type="spellStart"/>
      <w:r w:rsidR="00D70C08">
        <w:rPr>
          <w:rFonts w:ascii="Times New Roman" w:hAnsi="Times New Roman" w:cs="Times New Roman"/>
          <w:sz w:val="24"/>
          <w:szCs w:val="24"/>
          <w:lang w:val="en-US"/>
        </w:rPr>
        <w:t>Mancinelli</w:t>
      </w:r>
      <w:proofErr w:type="spellEnd"/>
      <w:r w:rsidR="00D70C08">
        <w:rPr>
          <w:rFonts w:ascii="Times New Roman" w:hAnsi="Times New Roman" w:cs="Times New Roman"/>
          <w:sz w:val="24"/>
          <w:szCs w:val="24"/>
          <w:lang w:val="en-US"/>
        </w:rPr>
        <w:t xml:space="preserve"> et al. 2013).</w:t>
      </w:r>
    </w:p>
    <w:p w14:paraId="2F1FBCF4" w14:textId="7B66097B" w:rsidR="00F8461A" w:rsidRDefault="00C31570" w:rsidP="00CB18AA">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ab/>
      </w:r>
      <w:r w:rsidR="00F05EA8">
        <w:rPr>
          <w:rFonts w:ascii="Times New Roman" w:hAnsi="Times New Roman" w:cs="Times New Roman"/>
          <w:sz w:val="24"/>
          <w:szCs w:val="24"/>
          <w:lang w:val="en-US"/>
        </w:rPr>
        <w:t xml:space="preserve">CSIA substantially reduces the magnitude and duration of trophic position deviation relative to </w:t>
      </w:r>
      <w:r w:rsidR="00BD2BEF">
        <w:rPr>
          <w:rFonts w:ascii="Times New Roman" w:hAnsi="Times New Roman" w:cs="Times New Roman"/>
          <w:sz w:val="24"/>
          <w:szCs w:val="24"/>
          <w:lang w:val="en-US"/>
        </w:rPr>
        <w:t>BSIA</w:t>
      </w:r>
      <w:r w:rsidR="00691767">
        <w:rPr>
          <w:rFonts w:ascii="Times New Roman" w:hAnsi="Times New Roman" w:cs="Times New Roman"/>
          <w:sz w:val="24"/>
          <w:szCs w:val="24"/>
          <w:lang w:val="en-US"/>
        </w:rPr>
        <w:t>.</w:t>
      </w:r>
      <w:r w:rsidR="00F05EA8">
        <w:rPr>
          <w:rFonts w:ascii="Times New Roman" w:hAnsi="Times New Roman" w:cs="Times New Roman"/>
          <w:sz w:val="24"/>
          <w:szCs w:val="24"/>
          <w:lang w:val="en-US"/>
        </w:rPr>
        <w:t xml:space="preserve"> Some trophic amino acids performed better than others, specifically, proline </w:t>
      </w:r>
      <w:r w:rsidR="00F05EA8">
        <w:rPr>
          <w:rFonts w:ascii="Times New Roman" w:hAnsi="Times New Roman" w:cs="Times New Roman"/>
          <w:sz w:val="24"/>
          <w:szCs w:val="24"/>
          <w:lang w:val="en-US"/>
        </w:rPr>
        <w:lastRenderedPageBreak/>
        <w:t>had the highest magnitude and duration of trophic position deviation</w:t>
      </w:r>
      <w:r w:rsidR="008A78F4">
        <w:rPr>
          <w:rFonts w:ascii="Times New Roman" w:hAnsi="Times New Roman" w:cs="Times New Roman"/>
          <w:sz w:val="24"/>
          <w:szCs w:val="24"/>
          <w:lang w:val="en-US"/>
        </w:rPr>
        <w:t xml:space="preserve"> compared to glutamic acid and alanine which had the lowest. Based on our sensitivity analysis, trophic position deviation is less sensitive to longer trophic amino acid half-life values (Figure 9 &amp; 10). Calculating trophic position using a source amino acid with a longer half-life (Figure 9) also reduced sensitivity of trophic position deviation </w:t>
      </w:r>
      <w:r w:rsidR="00AA7881">
        <w:rPr>
          <w:rFonts w:ascii="Times New Roman" w:hAnsi="Times New Roman" w:cs="Times New Roman"/>
          <w:sz w:val="24"/>
          <w:szCs w:val="24"/>
          <w:lang w:val="en-US"/>
        </w:rPr>
        <w:t>to trophic amino acid</w:t>
      </w:r>
      <w:r w:rsidR="00BD2BEF">
        <w:rPr>
          <w:rFonts w:ascii="Times New Roman" w:hAnsi="Times New Roman" w:cs="Times New Roman"/>
          <w:sz w:val="24"/>
          <w:szCs w:val="24"/>
          <w:lang w:val="en-US"/>
        </w:rPr>
        <w:t xml:space="preserve"> half-life values</w:t>
      </w:r>
      <w:r w:rsidR="00AA7881">
        <w:rPr>
          <w:rFonts w:ascii="Times New Roman" w:hAnsi="Times New Roman" w:cs="Times New Roman"/>
          <w:sz w:val="24"/>
          <w:szCs w:val="24"/>
          <w:lang w:val="en-US"/>
        </w:rPr>
        <w:t xml:space="preserve"> compared to a shorter half-life of the source amino acid (Figure 10). CSIA allows researchers to measure the stable isotope value of multiple amino acids from a single sample. </w:t>
      </w:r>
      <w:r w:rsidR="00DE1715">
        <w:rPr>
          <w:rFonts w:ascii="Times New Roman" w:hAnsi="Times New Roman" w:cs="Times New Roman"/>
          <w:sz w:val="24"/>
          <w:szCs w:val="24"/>
          <w:lang w:val="en-US"/>
        </w:rPr>
        <w:t>Phenylalanine</w:t>
      </w:r>
      <w:r w:rsidR="00AA7881">
        <w:rPr>
          <w:rFonts w:ascii="Times New Roman" w:hAnsi="Times New Roman" w:cs="Times New Roman"/>
          <w:sz w:val="24"/>
          <w:szCs w:val="24"/>
          <w:lang w:val="en-US"/>
        </w:rPr>
        <w:t xml:space="preserve"> and glutamic acid have become the canonical source and trophic amino acids applied in CSIA because phenylamine demonstrates the lowest trophic enrichment while glutamic acid has the highest (</w:t>
      </w:r>
      <w:proofErr w:type="spellStart"/>
      <w:r w:rsidR="00507ABE">
        <w:rPr>
          <w:rFonts w:ascii="Times New Roman" w:hAnsi="Times New Roman" w:cs="Times New Roman"/>
          <w:sz w:val="24"/>
          <w:szCs w:val="24"/>
          <w:lang w:val="en-US"/>
        </w:rPr>
        <w:t>McClelleand</w:t>
      </w:r>
      <w:proofErr w:type="spellEnd"/>
      <w:r w:rsidR="00507ABE">
        <w:rPr>
          <w:rFonts w:ascii="Times New Roman" w:hAnsi="Times New Roman" w:cs="Times New Roman"/>
          <w:sz w:val="24"/>
          <w:szCs w:val="24"/>
          <w:lang w:val="en-US"/>
        </w:rPr>
        <w:t xml:space="preserve"> and Montoya 2002, </w:t>
      </w:r>
      <w:proofErr w:type="spellStart"/>
      <w:r w:rsidR="00507ABE">
        <w:rPr>
          <w:rFonts w:ascii="Times New Roman" w:hAnsi="Times New Roman" w:cs="Times New Roman"/>
          <w:sz w:val="24"/>
          <w:szCs w:val="24"/>
          <w:lang w:val="en-US"/>
        </w:rPr>
        <w:t>Chikaraishi</w:t>
      </w:r>
      <w:proofErr w:type="spellEnd"/>
      <w:r w:rsidR="00507ABE">
        <w:rPr>
          <w:rFonts w:ascii="Times New Roman" w:hAnsi="Times New Roman" w:cs="Times New Roman"/>
          <w:sz w:val="24"/>
          <w:szCs w:val="24"/>
          <w:lang w:val="en-US"/>
        </w:rPr>
        <w:t xml:space="preserve"> et al. 2007, 2009, </w:t>
      </w:r>
      <w:proofErr w:type="spellStart"/>
      <w:r w:rsidR="003A3937">
        <w:rPr>
          <w:rFonts w:ascii="Times New Roman" w:hAnsi="Times New Roman" w:cs="Times New Roman"/>
          <w:sz w:val="24"/>
          <w:szCs w:val="24"/>
          <w:lang w:val="en-US"/>
        </w:rPr>
        <w:t>Hannides</w:t>
      </w:r>
      <w:proofErr w:type="spellEnd"/>
      <w:r w:rsidR="003A3937">
        <w:rPr>
          <w:rFonts w:ascii="Times New Roman" w:hAnsi="Times New Roman" w:cs="Times New Roman"/>
          <w:sz w:val="24"/>
          <w:szCs w:val="24"/>
          <w:lang w:val="en-US"/>
        </w:rPr>
        <w:t xml:space="preserve"> et al. 2009</w:t>
      </w:r>
      <w:r w:rsidR="00AA7881">
        <w:rPr>
          <w:rFonts w:ascii="Times New Roman" w:hAnsi="Times New Roman" w:cs="Times New Roman"/>
          <w:sz w:val="24"/>
          <w:szCs w:val="24"/>
          <w:lang w:val="en-US"/>
        </w:rPr>
        <w:t xml:space="preserve">). </w:t>
      </w:r>
      <w:r w:rsidR="00DE1715">
        <w:rPr>
          <w:rFonts w:ascii="Times New Roman" w:hAnsi="Times New Roman" w:cs="Times New Roman"/>
          <w:sz w:val="24"/>
          <w:szCs w:val="24"/>
          <w:lang w:val="en-US"/>
        </w:rPr>
        <w:t>Recent studies have shown using multiple amino acids can improve trophic position estimates (</w:t>
      </w:r>
      <w:r w:rsidR="003A3937">
        <w:rPr>
          <w:rFonts w:ascii="Times New Roman" w:hAnsi="Times New Roman" w:cs="Times New Roman"/>
          <w:sz w:val="24"/>
          <w:szCs w:val="24"/>
          <w:lang w:val="en-US"/>
        </w:rPr>
        <w:t xml:space="preserve">Nielsen et al. 2015, Feddern et al. </w:t>
      </w:r>
      <w:r w:rsidR="00BD2BEF">
        <w:rPr>
          <w:rFonts w:ascii="Times New Roman" w:hAnsi="Times New Roman" w:cs="Times New Roman"/>
          <w:sz w:val="24"/>
          <w:szCs w:val="24"/>
          <w:lang w:val="en-US"/>
        </w:rPr>
        <w:t>in prep</w:t>
      </w:r>
      <w:r w:rsidR="00DE1715">
        <w:rPr>
          <w:rFonts w:ascii="Times New Roman" w:hAnsi="Times New Roman" w:cs="Times New Roman"/>
          <w:sz w:val="24"/>
          <w:szCs w:val="24"/>
          <w:lang w:val="en-US"/>
        </w:rPr>
        <w:t xml:space="preserve">) but there is little guidance in the literature regarding which amino acids are best and why. </w:t>
      </w:r>
      <w:r w:rsidR="00F8461A">
        <w:rPr>
          <w:rFonts w:ascii="Times New Roman" w:hAnsi="Times New Roman" w:cs="Times New Roman"/>
          <w:sz w:val="24"/>
          <w:szCs w:val="24"/>
          <w:lang w:val="en-US"/>
        </w:rPr>
        <w:t>Best practices in CSIA should focus on utilizing source</w:t>
      </w:r>
      <w:r w:rsidR="005D3B96">
        <w:rPr>
          <w:rFonts w:ascii="Times New Roman" w:hAnsi="Times New Roman" w:cs="Times New Roman"/>
          <w:sz w:val="24"/>
          <w:szCs w:val="24"/>
          <w:lang w:val="en-US"/>
        </w:rPr>
        <w:t xml:space="preserve"> - </w:t>
      </w:r>
      <w:r w:rsidR="00F8461A">
        <w:rPr>
          <w:rFonts w:ascii="Times New Roman" w:hAnsi="Times New Roman" w:cs="Times New Roman"/>
          <w:sz w:val="24"/>
          <w:szCs w:val="24"/>
          <w:lang w:val="en-US"/>
        </w:rPr>
        <w:t>trophic amino acid pairs where the amino acids have similar half-life values. When researchers are choosing between pairs, it is best to select source amino acids with longer half-life</w:t>
      </w:r>
      <w:r w:rsidR="003A3937">
        <w:rPr>
          <w:rFonts w:ascii="Times New Roman" w:hAnsi="Times New Roman" w:cs="Times New Roman"/>
          <w:sz w:val="24"/>
          <w:szCs w:val="24"/>
          <w:lang w:val="en-US"/>
        </w:rPr>
        <w:t xml:space="preserve"> values</w:t>
      </w:r>
      <w:r w:rsidR="00F8461A">
        <w:rPr>
          <w:rFonts w:ascii="Times New Roman" w:hAnsi="Times New Roman" w:cs="Times New Roman"/>
          <w:sz w:val="24"/>
          <w:szCs w:val="24"/>
          <w:lang w:val="en-US"/>
        </w:rPr>
        <w:t xml:space="preserve">, and generally, selecting a trophic amino acid that has a longer half-life than the </w:t>
      </w:r>
      <w:r w:rsidR="003A3937">
        <w:rPr>
          <w:rFonts w:ascii="Times New Roman" w:hAnsi="Times New Roman" w:cs="Times New Roman"/>
          <w:sz w:val="24"/>
          <w:szCs w:val="24"/>
          <w:lang w:val="en-US"/>
        </w:rPr>
        <w:t xml:space="preserve">selected </w:t>
      </w:r>
      <w:r w:rsidR="00F8461A">
        <w:rPr>
          <w:rFonts w:ascii="Times New Roman" w:hAnsi="Times New Roman" w:cs="Times New Roman"/>
          <w:sz w:val="24"/>
          <w:szCs w:val="24"/>
          <w:lang w:val="en-US"/>
        </w:rPr>
        <w:t xml:space="preserve">source amino acid will </w:t>
      </w:r>
      <w:r w:rsidR="00505D4E">
        <w:rPr>
          <w:rFonts w:ascii="Times New Roman" w:hAnsi="Times New Roman" w:cs="Times New Roman"/>
          <w:sz w:val="24"/>
          <w:szCs w:val="24"/>
          <w:lang w:val="en-US"/>
        </w:rPr>
        <w:t xml:space="preserve">produce the best results. </w:t>
      </w:r>
      <w:r w:rsidR="003A3937">
        <w:rPr>
          <w:rFonts w:ascii="Times New Roman" w:hAnsi="Times New Roman" w:cs="Times New Roman"/>
          <w:sz w:val="24"/>
          <w:szCs w:val="24"/>
          <w:lang w:val="en-US"/>
        </w:rPr>
        <w:t>Based on our results, glutamic acid and alanine are the best trophic amino acids to use ad are suitable to be paired with either lysine or phenylalanine as source amino acids.</w:t>
      </w:r>
    </w:p>
    <w:p w14:paraId="65FFC1FB" w14:textId="70648BCC" w:rsidR="00DF13C8" w:rsidRDefault="00705508" w:rsidP="00CB18AA">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ab/>
        <w:t xml:space="preserve">While our results show CSIA reduces error in trophic position estimation relative to </w:t>
      </w:r>
      <w:r w:rsidR="00BD2BEF">
        <w:rPr>
          <w:rFonts w:ascii="Times New Roman" w:hAnsi="Times New Roman" w:cs="Times New Roman"/>
          <w:sz w:val="24"/>
          <w:szCs w:val="24"/>
          <w:lang w:val="en-US"/>
        </w:rPr>
        <w:t>BSIA</w:t>
      </w:r>
      <w:r>
        <w:rPr>
          <w:rFonts w:ascii="Times New Roman" w:hAnsi="Times New Roman" w:cs="Times New Roman"/>
          <w:sz w:val="24"/>
          <w:szCs w:val="24"/>
          <w:lang w:val="en-US"/>
        </w:rPr>
        <w:t xml:space="preserve">, CSIA is </w:t>
      </w:r>
      <w:r w:rsidR="0046217B">
        <w:rPr>
          <w:rFonts w:ascii="Times New Roman" w:hAnsi="Times New Roman" w:cs="Times New Roman"/>
          <w:sz w:val="24"/>
          <w:szCs w:val="24"/>
          <w:lang w:val="en-US"/>
        </w:rPr>
        <w:t>can be cost prohibitive</w:t>
      </w:r>
      <w:r>
        <w:rPr>
          <w:rFonts w:ascii="Times New Roman" w:hAnsi="Times New Roman" w:cs="Times New Roman"/>
          <w:sz w:val="24"/>
          <w:szCs w:val="24"/>
          <w:lang w:val="en-US"/>
        </w:rPr>
        <w:t xml:space="preserve"> and </w:t>
      </w:r>
      <w:r w:rsidR="0046217B">
        <w:rPr>
          <w:rFonts w:ascii="Times New Roman" w:hAnsi="Times New Roman" w:cs="Times New Roman"/>
          <w:sz w:val="24"/>
          <w:szCs w:val="24"/>
          <w:lang w:val="en-US"/>
        </w:rPr>
        <w:t>half-life</w:t>
      </w:r>
      <w:r>
        <w:rPr>
          <w:rFonts w:ascii="Times New Roman" w:hAnsi="Times New Roman" w:cs="Times New Roman"/>
          <w:sz w:val="24"/>
          <w:szCs w:val="24"/>
          <w:lang w:val="en-US"/>
        </w:rPr>
        <w:t xml:space="preserve"> values of individual amino acids are not well studied across taxa and tissues. </w:t>
      </w:r>
      <w:r w:rsidR="0046217B">
        <w:rPr>
          <w:rFonts w:ascii="Times New Roman" w:hAnsi="Times New Roman" w:cs="Times New Roman"/>
          <w:sz w:val="24"/>
          <w:szCs w:val="24"/>
          <w:lang w:val="en-US"/>
        </w:rPr>
        <w:t xml:space="preserve">Studies examining nitrogen stable isotope half-life </w:t>
      </w:r>
      <w:r w:rsidR="008D0E61">
        <w:rPr>
          <w:rFonts w:ascii="Times New Roman" w:hAnsi="Times New Roman" w:cs="Times New Roman"/>
          <w:sz w:val="24"/>
          <w:szCs w:val="24"/>
          <w:lang w:val="en-US"/>
        </w:rPr>
        <w:t xml:space="preserve">values </w:t>
      </w:r>
      <w:r w:rsidR="0046217B">
        <w:rPr>
          <w:rFonts w:ascii="Times New Roman" w:hAnsi="Times New Roman" w:cs="Times New Roman"/>
          <w:sz w:val="24"/>
          <w:szCs w:val="24"/>
          <w:lang w:val="en-US"/>
        </w:rPr>
        <w:t>of individual amino acids are limited, and the field of CSIA would greatly benefit from more half-life values</w:t>
      </w:r>
      <w:r w:rsidR="008D0E61">
        <w:rPr>
          <w:rFonts w:ascii="Times New Roman" w:hAnsi="Times New Roman" w:cs="Times New Roman"/>
          <w:sz w:val="24"/>
          <w:szCs w:val="24"/>
          <w:lang w:val="en-US"/>
        </w:rPr>
        <w:t xml:space="preserve"> reported</w:t>
      </w:r>
      <w:r w:rsidR="0046217B">
        <w:rPr>
          <w:rFonts w:ascii="Times New Roman" w:hAnsi="Times New Roman" w:cs="Times New Roman"/>
          <w:sz w:val="24"/>
          <w:szCs w:val="24"/>
          <w:lang w:val="en-US"/>
        </w:rPr>
        <w:t xml:space="preserve"> in the literature.</w:t>
      </w:r>
      <w:r w:rsidR="000E4FE6">
        <w:rPr>
          <w:rFonts w:ascii="Times New Roman" w:hAnsi="Times New Roman" w:cs="Times New Roman"/>
          <w:sz w:val="24"/>
          <w:szCs w:val="24"/>
          <w:lang w:val="en-US"/>
        </w:rPr>
        <w:t xml:space="preserve"> </w:t>
      </w:r>
      <w:r w:rsidR="008D0E61">
        <w:rPr>
          <w:rFonts w:ascii="Times New Roman" w:hAnsi="Times New Roman" w:cs="Times New Roman"/>
          <w:sz w:val="24"/>
          <w:szCs w:val="24"/>
          <w:lang w:val="en-US"/>
        </w:rPr>
        <w:t>Our</w:t>
      </w:r>
      <w:r w:rsidR="000E4FE6">
        <w:rPr>
          <w:rFonts w:ascii="Times New Roman" w:hAnsi="Times New Roman" w:cs="Times New Roman"/>
          <w:sz w:val="24"/>
          <w:szCs w:val="24"/>
          <w:lang w:val="en-US"/>
        </w:rPr>
        <w:t xml:space="preserve"> results show lysine, phenylalanine, glutamic acid, and alanine perform well based on half-life values</w:t>
      </w:r>
      <w:r w:rsidR="0046217B">
        <w:rPr>
          <w:rFonts w:ascii="Times New Roman" w:hAnsi="Times New Roman" w:cs="Times New Roman"/>
          <w:sz w:val="24"/>
          <w:szCs w:val="24"/>
          <w:lang w:val="en-US"/>
        </w:rPr>
        <w:t xml:space="preserve"> </w:t>
      </w:r>
      <w:r w:rsidR="000E4FE6">
        <w:rPr>
          <w:rFonts w:ascii="Times New Roman" w:hAnsi="Times New Roman" w:cs="Times New Roman"/>
          <w:sz w:val="24"/>
          <w:szCs w:val="24"/>
          <w:lang w:val="en-US"/>
        </w:rPr>
        <w:t xml:space="preserve">of tuna white muscle and </w:t>
      </w:r>
      <w:r w:rsidR="000E4FE6">
        <w:rPr>
          <w:rFonts w:ascii="Times New Roman" w:hAnsi="Times New Roman" w:cs="Times New Roman"/>
          <w:sz w:val="24"/>
          <w:szCs w:val="24"/>
          <w:lang w:val="en-US"/>
        </w:rPr>
        <w:lastRenderedPageBreak/>
        <w:t>shrimp tail muscle</w:t>
      </w:r>
      <w:r w:rsidR="00A32CF0">
        <w:rPr>
          <w:rFonts w:ascii="Times New Roman" w:hAnsi="Times New Roman" w:cs="Times New Roman"/>
          <w:sz w:val="24"/>
          <w:szCs w:val="24"/>
          <w:lang w:val="en-US"/>
        </w:rPr>
        <w:t>.</w:t>
      </w:r>
      <w:r w:rsidR="008D0E61">
        <w:rPr>
          <w:rFonts w:ascii="Times New Roman" w:hAnsi="Times New Roman" w:cs="Times New Roman"/>
          <w:sz w:val="24"/>
          <w:szCs w:val="24"/>
          <w:lang w:val="en-US"/>
        </w:rPr>
        <w:t xml:space="preserve"> Similarly,</w:t>
      </w:r>
      <w:r w:rsidR="00A32CF0">
        <w:rPr>
          <w:rFonts w:ascii="Times New Roman" w:hAnsi="Times New Roman" w:cs="Times New Roman"/>
          <w:sz w:val="24"/>
          <w:szCs w:val="24"/>
          <w:lang w:val="en-US"/>
        </w:rPr>
        <w:t xml:space="preserve"> </w:t>
      </w:r>
      <w:r w:rsidR="000E4FE6">
        <w:rPr>
          <w:rFonts w:ascii="Times New Roman" w:hAnsi="Times New Roman" w:cs="Times New Roman"/>
          <w:sz w:val="24"/>
          <w:szCs w:val="24"/>
          <w:lang w:val="en-US"/>
        </w:rPr>
        <w:t>Feddern et al. in prep found that using both alanine and glutamic acid paired with phenylalanine from harbor seal bone offered the most improvement to model certainty compared to using either amino acid alone</w:t>
      </w:r>
      <w:r w:rsidR="001A6113">
        <w:rPr>
          <w:rFonts w:ascii="Times New Roman" w:hAnsi="Times New Roman" w:cs="Times New Roman"/>
          <w:sz w:val="24"/>
          <w:szCs w:val="24"/>
          <w:lang w:val="en-US"/>
        </w:rPr>
        <w:t xml:space="preserve"> or other trophic amino acids</w:t>
      </w:r>
      <w:r w:rsidR="000E4FE6">
        <w:rPr>
          <w:rFonts w:ascii="Times New Roman" w:hAnsi="Times New Roman" w:cs="Times New Roman"/>
          <w:sz w:val="24"/>
          <w:szCs w:val="24"/>
          <w:lang w:val="en-US"/>
        </w:rPr>
        <w:t xml:space="preserve">. This indicates that </w:t>
      </w:r>
      <w:r w:rsidR="00A32CF0">
        <w:rPr>
          <w:rFonts w:ascii="Times New Roman" w:hAnsi="Times New Roman" w:cs="Times New Roman"/>
          <w:sz w:val="24"/>
          <w:szCs w:val="24"/>
          <w:lang w:val="en-US"/>
        </w:rPr>
        <w:t xml:space="preserve">the best CSIA amino acid pairs may </w:t>
      </w:r>
      <w:r w:rsidR="008D0E61">
        <w:rPr>
          <w:rFonts w:ascii="Times New Roman" w:hAnsi="Times New Roman" w:cs="Times New Roman"/>
          <w:sz w:val="24"/>
          <w:szCs w:val="24"/>
          <w:lang w:val="en-US"/>
        </w:rPr>
        <w:t>be fairly consistent across</w:t>
      </w:r>
      <w:r w:rsidR="00A32CF0">
        <w:rPr>
          <w:rFonts w:ascii="Times New Roman" w:hAnsi="Times New Roman" w:cs="Times New Roman"/>
          <w:sz w:val="24"/>
          <w:szCs w:val="24"/>
          <w:lang w:val="en-US"/>
        </w:rPr>
        <w:t xml:space="preserve"> taxa and tissues, but</w:t>
      </w:r>
      <w:r w:rsidR="008D0E61">
        <w:rPr>
          <w:rFonts w:ascii="Times New Roman" w:hAnsi="Times New Roman" w:cs="Times New Roman"/>
          <w:sz w:val="24"/>
          <w:szCs w:val="24"/>
          <w:lang w:val="en-US"/>
        </w:rPr>
        <w:t xml:space="preserve"> additional studies of tissue turnover rates would verify this result</w:t>
      </w:r>
      <w:r w:rsidR="00A32CF0">
        <w:rPr>
          <w:rFonts w:ascii="Times New Roman" w:hAnsi="Times New Roman" w:cs="Times New Roman"/>
          <w:sz w:val="24"/>
          <w:szCs w:val="24"/>
          <w:lang w:val="en-US"/>
        </w:rPr>
        <w:t>, particularly in animals that utilize urea-excretion (</w:t>
      </w:r>
      <w:r w:rsidR="00ED71D7">
        <w:rPr>
          <w:rFonts w:ascii="Times New Roman" w:hAnsi="Times New Roman" w:cs="Times New Roman"/>
          <w:sz w:val="24"/>
          <w:szCs w:val="24"/>
          <w:lang w:val="en-US"/>
        </w:rPr>
        <w:t>Germain et al. 2013)</w:t>
      </w:r>
      <w:r w:rsidR="00061E25">
        <w:rPr>
          <w:rFonts w:ascii="Times New Roman" w:hAnsi="Times New Roman" w:cs="Times New Roman"/>
          <w:sz w:val="24"/>
          <w:szCs w:val="24"/>
          <w:lang w:val="en-US"/>
        </w:rPr>
        <w:t xml:space="preserve"> and in </w:t>
      </w:r>
      <w:r w:rsidR="00ED71D7">
        <w:rPr>
          <w:rFonts w:ascii="Times New Roman" w:hAnsi="Times New Roman" w:cs="Times New Roman"/>
          <w:sz w:val="24"/>
          <w:szCs w:val="24"/>
          <w:lang w:val="en-US"/>
        </w:rPr>
        <w:t>tissues</w:t>
      </w:r>
      <w:r w:rsidR="00061E25">
        <w:rPr>
          <w:rFonts w:ascii="Times New Roman" w:hAnsi="Times New Roman" w:cs="Times New Roman"/>
          <w:sz w:val="24"/>
          <w:szCs w:val="24"/>
          <w:lang w:val="en-US"/>
        </w:rPr>
        <w:t xml:space="preserve"> commonly used for historical CSIA studies </w:t>
      </w:r>
      <w:r w:rsidR="00ED71D7">
        <w:rPr>
          <w:rFonts w:ascii="Times New Roman" w:hAnsi="Times New Roman" w:cs="Times New Roman"/>
          <w:sz w:val="24"/>
          <w:szCs w:val="24"/>
          <w:lang w:val="en-US"/>
        </w:rPr>
        <w:t xml:space="preserve">such as bone or coral </w:t>
      </w:r>
      <w:r w:rsidR="00061E25">
        <w:rPr>
          <w:rFonts w:ascii="Times New Roman" w:hAnsi="Times New Roman" w:cs="Times New Roman"/>
          <w:sz w:val="24"/>
          <w:szCs w:val="24"/>
          <w:lang w:val="en-US"/>
        </w:rPr>
        <w:t>(</w:t>
      </w:r>
      <w:proofErr w:type="spellStart"/>
      <w:r w:rsidR="00ED71D7">
        <w:rPr>
          <w:rFonts w:ascii="Times New Roman" w:hAnsi="Times New Roman" w:cs="Times New Roman"/>
          <w:sz w:val="24"/>
          <w:szCs w:val="24"/>
          <w:lang w:val="en-US"/>
        </w:rPr>
        <w:t>Misarti</w:t>
      </w:r>
      <w:proofErr w:type="spellEnd"/>
      <w:r w:rsidR="00ED71D7">
        <w:rPr>
          <w:rFonts w:ascii="Times New Roman" w:hAnsi="Times New Roman" w:cs="Times New Roman"/>
          <w:sz w:val="24"/>
          <w:szCs w:val="24"/>
          <w:lang w:val="en-US"/>
        </w:rPr>
        <w:t xml:space="preserve"> et al. </w:t>
      </w:r>
      <w:r w:rsidR="00DB66D9">
        <w:rPr>
          <w:rFonts w:ascii="Times New Roman" w:hAnsi="Times New Roman" w:cs="Times New Roman"/>
          <w:sz w:val="24"/>
          <w:szCs w:val="24"/>
          <w:lang w:val="en-US"/>
        </w:rPr>
        <w:t xml:space="preserve">2009, </w:t>
      </w:r>
      <w:r w:rsidR="00ED71D7">
        <w:rPr>
          <w:rFonts w:ascii="Times New Roman" w:hAnsi="Times New Roman" w:cs="Times New Roman"/>
          <w:sz w:val="24"/>
          <w:szCs w:val="24"/>
          <w:lang w:val="en-US"/>
        </w:rPr>
        <w:t xml:space="preserve">Feddern et al. </w:t>
      </w:r>
      <w:r w:rsidR="00DB66D9">
        <w:rPr>
          <w:rFonts w:ascii="Times New Roman" w:hAnsi="Times New Roman" w:cs="Times New Roman"/>
          <w:sz w:val="24"/>
          <w:szCs w:val="24"/>
          <w:lang w:val="en-US"/>
        </w:rPr>
        <w:t xml:space="preserve">2021, </w:t>
      </w:r>
      <w:r w:rsidR="00ED71D7">
        <w:rPr>
          <w:rFonts w:ascii="Times New Roman" w:hAnsi="Times New Roman" w:cs="Times New Roman"/>
          <w:sz w:val="24"/>
          <w:szCs w:val="24"/>
          <w:lang w:val="en-US"/>
        </w:rPr>
        <w:t>Sherwood et al.</w:t>
      </w:r>
      <w:r w:rsidR="00DB66D9">
        <w:rPr>
          <w:rFonts w:ascii="Times New Roman" w:hAnsi="Times New Roman" w:cs="Times New Roman"/>
          <w:sz w:val="24"/>
          <w:szCs w:val="24"/>
          <w:lang w:val="en-US"/>
        </w:rPr>
        <w:t xml:space="preserve"> 2005, 2008, 2011</w:t>
      </w:r>
      <w:r w:rsidR="00061E25">
        <w:rPr>
          <w:rFonts w:ascii="Times New Roman" w:hAnsi="Times New Roman" w:cs="Times New Roman"/>
          <w:sz w:val="24"/>
          <w:szCs w:val="24"/>
          <w:lang w:val="en-US"/>
        </w:rPr>
        <w:t>).</w:t>
      </w:r>
      <w:r w:rsidR="00A32CF0">
        <w:rPr>
          <w:rFonts w:ascii="Times New Roman" w:hAnsi="Times New Roman" w:cs="Times New Roman"/>
          <w:sz w:val="24"/>
          <w:szCs w:val="24"/>
          <w:lang w:val="en-US"/>
        </w:rPr>
        <w:t xml:space="preserve"> </w:t>
      </w:r>
    </w:p>
    <w:p w14:paraId="4339631B" w14:textId="7658A039" w:rsidR="007436C2" w:rsidRDefault="00BE1E1E" w:rsidP="007436C2">
      <w:pPr>
        <w:spacing w:line="480" w:lineRule="auto"/>
        <w:rPr>
          <w:b/>
        </w:rPr>
      </w:pPr>
      <w:r>
        <w:tab/>
        <w:t xml:space="preserve">Here we focused on </w:t>
      </w:r>
      <w:r w:rsidR="00B45AE5">
        <w:t xml:space="preserve">seasonal, </w:t>
      </w:r>
      <w:r>
        <w:t xml:space="preserve">temporal </w:t>
      </w:r>
      <w:r w:rsidRPr="007436C2">
        <w:t xml:space="preserve">heterogeneity, but </w:t>
      </w:r>
      <w:r w:rsidR="007436C2" w:rsidRPr="007436C2">
        <w:t>other types of stable isotope heterogeneity exist within aquatic systems</w:t>
      </w:r>
      <w:r w:rsidR="00775330">
        <w:t xml:space="preserve"> and impact trophic position calculations</w:t>
      </w:r>
      <w:r w:rsidR="00433C8B">
        <w:t xml:space="preserve">. </w:t>
      </w:r>
      <w:r w:rsidR="00775330">
        <w:t>Spatial heterogeneity is common in stable isotope baselines (Lorrain et al. 2015)</w:t>
      </w:r>
      <w:r w:rsidR="001A6113">
        <w:t xml:space="preserve"> and </w:t>
      </w:r>
      <w:r w:rsidR="00162585">
        <w:t>change</w:t>
      </w:r>
      <w:r w:rsidR="00433C8B">
        <w:t>s</w:t>
      </w:r>
      <w:r w:rsidR="00162585">
        <w:t xml:space="preserve"> with latitude (Lorrain et al. 2015, </w:t>
      </w:r>
      <w:proofErr w:type="spellStart"/>
      <w:r w:rsidR="00162585">
        <w:t>Vokshoori</w:t>
      </w:r>
      <w:proofErr w:type="spellEnd"/>
      <w:r w:rsidR="00162585">
        <w:t xml:space="preserve"> et al.</w:t>
      </w:r>
      <w:r w:rsidR="002065CE">
        <w:t xml:space="preserve"> 2015</w:t>
      </w:r>
      <w:r w:rsidR="00162585">
        <w:t xml:space="preserve">) and depth (Wu </w:t>
      </w:r>
      <w:r w:rsidR="00FA0FBE">
        <w:t>et al. 1999,</w:t>
      </w:r>
      <w:r w:rsidR="00105F8C">
        <w:t xml:space="preserve"> </w:t>
      </w:r>
      <w:proofErr w:type="spellStart"/>
      <w:r w:rsidR="00105F8C">
        <w:t>Sigman</w:t>
      </w:r>
      <w:proofErr w:type="spellEnd"/>
      <w:r w:rsidR="00105F8C">
        <w:t xml:space="preserve"> et al. 2009,</w:t>
      </w:r>
      <w:r w:rsidR="00FA0FBE">
        <w:t xml:space="preserve"> Peters et al. 2012</w:t>
      </w:r>
      <w:r w:rsidR="00162585">
        <w:t>)</w:t>
      </w:r>
      <w:r w:rsidR="001A6113">
        <w:t xml:space="preserve"> within ocean basins</w:t>
      </w:r>
      <w:r w:rsidR="00775330">
        <w:t xml:space="preserve">. </w:t>
      </w:r>
      <w:r w:rsidR="00162585">
        <w:t>As a result, mobile consumers are frequently integrating distinct stable isotope baselines, that m</w:t>
      </w:r>
      <w:r w:rsidR="00147993">
        <w:t>ay not reflect the baseline where they were caught for sampling</w:t>
      </w:r>
      <w:r w:rsidR="00162585">
        <w:t>.</w:t>
      </w:r>
      <w:r w:rsidR="00433C8B" w:rsidRPr="007436C2">
        <w:t xml:space="preserve"> </w:t>
      </w:r>
      <w:r w:rsidR="00433C8B">
        <w:t>Stable isotope values of primary producers also vary based on taxa in both freshwater</w:t>
      </w:r>
      <w:r w:rsidR="00433C8B" w:rsidRPr="007436C2">
        <w:t xml:space="preserve"> (</w:t>
      </w:r>
      <w:proofErr w:type="spellStart"/>
      <w:r w:rsidR="00433C8B" w:rsidRPr="007436C2">
        <w:t>Vourio</w:t>
      </w:r>
      <w:proofErr w:type="spellEnd"/>
      <w:r w:rsidR="00433C8B" w:rsidRPr="007436C2">
        <w:t xml:space="preserve"> 2006) </w:t>
      </w:r>
      <w:r w:rsidR="00433C8B">
        <w:t xml:space="preserve">and marine habitats (Ramirez et al. 2021, Lorrain et al. 2015, </w:t>
      </w:r>
      <w:proofErr w:type="spellStart"/>
      <w:r w:rsidR="00433C8B">
        <w:t>Sigman</w:t>
      </w:r>
      <w:proofErr w:type="spellEnd"/>
      <w:r w:rsidR="00FA0FBE">
        <w:t xml:space="preserve"> et al. 2009</w:t>
      </w:r>
      <w:r w:rsidR="00433C8B">
        <w:t xml:space="preserve">). </w:t>
      </w:r>
      <w:r w:rsidR="00162585">
        <w:t>On smaller scales in freshwater lakes, h</w:t>
      </w:r>
      <w:r w:rsidR="002C70D7">
        <w:t>abitat availability and population abundance can also influen</w:t>
      </w:r>
      <w:r w:rsidR="00D43683">
        <w:t xml:space="preserve">ce </w:t>
      </w:r>
      <w:r w:rsidR="004F118D">
        <w:t xml:space="preserve">isotopically distinct </w:t>
      </w:r>
      <w:r w:rsidR="00D43683">
        <w:t>basal resource use of aquatic consumers (</w:t>
      </w:r>
      <w:proofErr w:type="spellStart"/>
      <w:r w:rsidR="00D43683">
        <w:t>Stiling</w:t>
      </w:r>
      <w:proofErr w:type="spellEnd"/>
      <w:r w:rsidR="00D43683">
        <w:t xml:space="preserve"> et al. 2021). </w:t>
      </w:r>
      <w:r w:rsidR="00162585">
        <w:t>Changes</w:t>
      </w:r>
      <w:r w:rsidR="002C70D7">
        <w:t xml:space="preserve"> in diet </w:t>
      </w:r>
      <w:r w:rsidR="00775330">
        <w:t xml:space="preserve">that impact </w:t>
      </w:r>
      <w:r w:rsidR="002C70D7">
        <w:t xml:space="preserve">resource use can result in changes in the </w:t>
      </w:r>
      <w:r w:rsidR="00D43683">
        <w:t>stable isotope baseline</w:t>
      </w:r>
      <w:r w:rsidR="002C70D7">
        <w:t xml:space="preserve"> that is </w:t>
      </w:r>
      <w:r w:rsidR="00433C8B">
        <w:t>assimilated by a</w:t>
      </w:r>
      <w:r w:rsidR="002C70D7">
        <w:t xml:space="preserve"> consumer</w:t>
      </w:r>
      <w:r w:rsidR="00D43683">
        <w:t xml:space="preserve"> of interest</w:t>
      </w:r>
      <w:r w:rsidR="002C70D7">
        <w:t>.</w:t>
      </w:r>
      <w:r w:rsidR="00D43683">
        <w:t xml:space="preserve"> </w:t>
      </w:r>
      <w:r w:rsidR="003A68A7">
        <w:t>Similar considerations for tissue turnover times and its implications for trophic position estimates should be made for mobile consumers in spatially heterogenous systems</w:t>
      </w:r>
      <w:r w:rsidR="004F118D">
        <w:t xml:space="preserve"> as well as temporally heterogenous systems</w:t>
      </w:r>
      <w:r w:rsidR="003A68A7">
        <w:t>.</w:t>
      </w:r>
    </w:p>
    <w:p w14:paraId="16E95A8F" w14:textId="620A41CB" w:rsidR="003E5235" w:rsidRDefault="00807555" w:rsidP="003E5235">
      <w:pPr>
        <w:pStyle w:val="ListParagraph"/>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ab/>
      </w:r>
      <w:r w:rsidR="004511C2">
        <w:rPr>
          <w:rFonts w:ascii="Times New Roman" w:hAnsi="Times New Roman" w:cs="Times New Roman"/>
          <w:sz w:val="24"/>
          <w:szCs w:val="24"/>
          <w:lang w:val="en-US"/>
        </w:rPr>
        <w:t>This study examined temporal isotope heterogeneity</w:t>
      </w:r>
      <w:r w:rsidR="003E5235">
        <w:rPr>
          <w:rFonts w:ascii="Times New Roman" w:hAnsi="Times New Roman" w:cs="Times New Roman"/>
          <w:sz w:val="24"/>
          <w:szCs w:val="24"/>
          <w:lang w:val="en-US"/>
        </w:rPr>
        <w:t>,</w:t>
      </w:r>
      <w:r w:rsidR="004511C2">
        <w:rPr>
          <w:rFonts w:ascii="Times New Roman" w:hAnsi="Times New Roman" w:cs="Times New Roman"/>
          <w:sz w:val="24"/>
          <w:szCs w:val="24"/>
          <w:lang w:val="en-US"/>
        </w:rPr>
        <w:t xml:space="preserve"> tissue turnover times a</w:t>
      </w:r>
      <w:r w:rsidR="003E5235">
        <w:rPr>
          <w:rFonts w:ascii="Times New Roman" w:hAnsi="Times New Roman" w:cs="Times New Roman"/>
          <w:sz w:val="24"/>
          <w:szCs w:val="24"/>
          <w:lang w:val="en-US"/>
        </w:rPr>
        <w:t xml:space="preserve">nd their impact of estimating trophic position from stable isotope data. While we focused on the </w:t>
      </w:r>
      <w:r w:rsidR="003E5235">
        <w:rPr>
          <w:rFonts w:ascii="Times New Roman" w:hAnsi="Times New Roman" w:cs="Times New Roman"/>
          <w:sz w:val="24"/>
          <w:szCs w:val="24"/>
          <w:lang w:val="en-US"/>
        </w:rPr>
        <w:lastRenderedPageBreak/>
        <w:t>assumption of</w:t>
      </w:r>
      <w:r w:rsidR="004F118D">
        <w:rPr>
          <w:rFonts w:ascii="Times New Roman" w:hAnsi="Times New Roman" w:cs="Times New Roman"/>
          <w:sz w:val="24"/>
          <w:szCs w:val="24"/>
          <w:lang w:val="en-US"/>
        </w:rPr>
        <w:t xml:space="preserve"> isotopic</w:t>
      </w:r>
      <w:r w:rsidR="003E5235">
        <w:rPr>
          <w:rFonts w:ascii="Times New Roman" w:hAnsi="Times New Roman" w:cs="Times New Roman"/>
          <w:sz w:val="24"/>
          <w:szCs w:val="24"/>
          <w:lang w:val="en-US"/>
        </w:rPr>
        <w:t xml:space="preserve"> steady state between consumers and their prey, this is not the only assumption for calculating stable isotope values</w:t>
      </w:r>
      <w:r w:rsidR="00061E25">
        <w:rPr>
          <w:rFonts w:ascii="Times New Roman" w:hAnsi="Times New Roman" w:cs="Times New Roman"/>
          <w:sz w:val="24"/>
          <w:szCs w:val="24"/>
          <w:lang w:val="en-US"/>
        </w:rPr>
        <w:t xml:space="preserve"> that impacts the interpretation of stable isotope data</w:t>
      </w:r>
      <w:r w:rsidR="003E5235">
        <w:rPr>
          <w:rFonts w:ascii="Times New Roman" w:hAnsi="Times New Roman" w:cs="Times New Roman"/>
          <w:sz w:val="24"/>
          <w:szCs w:val="24"/>
          <w:lang w:val="en-US"/>
        </w:rPr>
        <w:t xml:space="preserve">. Trophic enrichment factors are often assumed to be equal </w:t>
      </w:r>
      <w:r w:rsidR="00500C96">
        <w:rPr>
          <w:rFonts w:ascii="Times New Roman" w:hAnsi="Times New Roman" w:cs="Times New Roman"/>
          <w:sz w:val="24"/>
          <w:szCs w:val="24"/>
          <w:lang w:val="en-US"/>
        </w:rPr>
        <w:t>for consumers</w:t>
      </w:r>
      <w:r w:rsidR="003E5235">
        <w:rPr>
          <w:rFonts w:ascii="Times New Roman" w:hAnsi="Times New Roman" w:cs="Times New Roman"/>
          <w:sz w:val="24"/>
          <w:szCs w:val="24"/>
          <w:lang w:val="en-US"/>
        </w:rPr>
        <w:t xml:space="preserve"> </w:t>
      </w:r>
      <w:r w:rsidR="00C670DA">
        <w:rPr>
          <w:rFonts w:ascii="Times New Roman" w:hAnsi="Times New Roman" w:cs="Times New Roman"/>
          <w:sz w:val="24"/>
          <w:szCs w:val="24"/>
          <w:lang w:val="en-US"/>
        </w:rPr>
        <w:t>but</w:t>
      </w:r>
      <w:r w:rsidR="003E5235">
        <w:rPr>
          <w:rFonts w:ascii="Times New Roman" w:hAnsi="Times New Roman" w:cs="Times New Roman"/>
          <w:sz w:val="24"/>
          <w:szCs w:val="24"/>
          <w:lang w:val="en-US"/>
        </w:rPr>
        <w:t xml:space="preserve"> is known to be </w:t>
      </w:r>
      <w:r w:rsidR="00C670DA">
        <w:rPr>
          <w:rFonts w:ascii="Times New Roman" w:hAnsi="Times New Roman" w:cs="Times New Roman"/>
          <w:sz w:val="24"/>
          <w:szCs w:val="24"/>
          <w:lang w:val="en-US"/>
        </w:rPr>
        <w:t>vary based on</w:t>
      </w:r>
      <w:r w:rsidR="003E5235">
        <w:rPr>
          <w:rFonts w:ascii="Times New Roman" w:hAnsi="Times New Roman" w:cs="Times New Roman"/>
          <w:sz w:val="24"/>
          <w:szCs w:val="24"/>
          <w:lang w:val="en-US"/>
        </w:rPr>
        <w:t xml:space="preserve"> taxa, tissues</w:t>
      </w:r>
      <w:r w:rsidR="00C670DA">
        <w:rPr>
          <w:rFonts w:ascii="Times New Roman" w:hAnsi="Times New Roman" w:cs="Times New Roman"/>
          <w:sz w:val="24"/>
          <w:szCs w:val="24"/>
          <w:lang w:val="en-US"/>
        </w:rPr>
        <w:t>, excretion pathway,</w:t>
      </w:r>
      <w:r w:rsidR="003E5235">
        <w:rPr>
          <w:rFonts w:ascii="Times New Roman" w:hAnsi="Times New Roman" w:cs="Times New Roman"/>
          <w:sz w:val="24"/>
          <w:szCs w:val="24"/>
          <w:lang w:val="en-US"/>
        </w:rPr>
        <w:t xml:space="preserve"> and </w:t>
      </w:r>
      <w:r w:rsidR="00C670DA">
        <w:rPr>
          <w:rFonts w:ascii="Times New Roman" w:hAnsi="Times New Roman" w:cs="Times New Roman"/>
          <w:sz w:val="24"/>
          <w:szCs w:val="24"/>
          <w:lang w:val="en-US"/>
        </w:rPr>
        <w:t xml:space="preserve">diet </w:t>
      </w:r>
      <w:r w:rsidR="003E5235">
        <w:rPr>
          <w:rFonts w:ascii="Times New Roman" w:hAnsi="Times New Roman" w:cs="Times New Roman"/>
          <w:sz w:val="24"/>
          <w:szCs w:val="24"/>
          <w:lang w:val="en-US"/>
        </w:rPr>
        <w:t>(</w:t>
      </w:r>
      <w:proofErr w:type="spellStart"/>
      <w:r w:rsidR="00C670DA">
        <w:rPr>
          <w:rFonts w:ascii="Times New Roman" w:hAnsi="Times New Roman" w:cs="Times New Roman"/>
          <w:sz w:val="24"/>
          <w:szCs w:val="24"/>
          <w:lang w:val="en-US"/>
        </w:rPr>
        <w:t>Deniro</w:t>
      </w:r>
      <w:proofErr w:type="spellEnd"/>
      <w:r w:rsidR="00C670DA">
        <w:rPr>
          <w:rFonts w:ascii="Times New Roman" w:hAnsi="Times New Roman" w:cs="Times New Roman"/>
          <w:sz w:val="24"/>
          <w:szCs w:val="24"/>
          <w:lang w:val="en-US"/>
        </w:rPr>
        <w:t xml:space="preserve"> and Epstein 1981, </w:t>
      </w:r>
      <w:proofErr w:type="spellStart"/>
      <w:r w:rsidR="00C670DA">
        <w:rPr>
          <w:rFonts w:ascii="Times New Roman" w:hAnsi="Times New Roman" w:cs="Times New Roman"/>
          <w:sz w:val="24"/>
          <w:szCs w:val="24"/>
          <w:lang w:val="en-US"/>
        </w:rPr>
        <w:t>Vanderklift</w:t>
      </w:r>
      <w:proofErr w:type="spellEnd"/>
      <w:r w:rsidR="00C670DA">
        <w:rPr>
          <w:rFonts w:ascii="Times New Roman" w:hAnsi="Times New Roman" w:cs="Times New Roman"/>
          <w:sz w:val="24"/>
          <w:szCs w:val="24"/>
          <w:lang w:val="en-US"/>
        </w:rPr>
        <w:t xml:space="preserve"> and </w:t>
      </w:r>
      <w:proofErr w:type="spellStart"/>
      <w:r w:rsidR="00C670DA">
        <w:rPr>
          <w:rFonts w:ascii="Times New Roman" w:hAnsi="Times New Roman" w:cs="Times New Roman"/>
          <w:sz w:val="24"/>
          <w:szCs w:val="24"/>
          <w:lang w:val="en-US"/>
        </w:rPr>
        <w:t>Ponsard</w:t>
      </w:r>
      <w:proofErr w:type="spellEnd"/>
      <w:r w:rsidR="00C670DA">
        <w:rPr>
          <w:rFonts w:ascii="Times New Roman" w:hAnsi="Times New Roman" w:cs="Times New Roman"/>
          <w:sz w:val="24"/>
          <w:szCs w:val="24"/>
          <w:lang w:val="en-US"/>
        </w:rPr>
        <w:t xml:space="preserve"> 2003, </w:t>
      </w:r>
      <w:proofErr w:type="spellStart"/>
      <w:r w:rsidR="00C670DA">
        <w:rPr>
          <w:rFonts w:ascii="Times New Roman" w:hAnsi="Times New Roman" w:cs="Times New Roman"/>
          <w:sz w:val="24"/>
          <w:szCs w:val="24"/>
          <w:lang w:val="en-US"/>
        </w:rPr>
        <w:t>Caut</w:t>
      </w:r>
      <w:proofErr w:type="spellEnd"/>
      <w:r w:rsidR="00C670DA">
        <w:rPr>
          <w:rFonts w:ascii="Times New Roman" w:hAnsi="Times New Roman" w:cs="Times New Roman"/>
          <w:sz w:val="24"/>
          <w:szCs w:val="24"/>
          <w:lang w:val="en-US"/>
        </w:rPr>
        <w:t xml:space="preserve"> et al. 2008, </w:t>
      </w:r>
      <w:proofErr w:type="spellStart"/>
      <w:r w:rsidR="00A53101">
        <w:rPr>
          <w:rFonts w:ascii="Times New Roman" w:hAnsi="Times New Roman" w:cs="Times New Roman"/>
          <w:sz w:val="24"/>
          <w:szCs w:val="24"/>
          <w:lang w:val="en-US"/>
        </w:rPr>
        <w:t>Blanke</w:t>
      </w:r>
      <w:proofErr w:type="spellEnd"/>
      <w:r w:rsidR="00A53101">
        <w:rPr>
          <w:rFonts w:ascii="Times New Roman" w:hAnsi="Times New Roman" w:cs="Times New Roman"/>
          <w:sz w:val="24"/>
          <w:szCs w:val="24"/>
          <w:lang w:val="en-US"/>
        </w:rPr>
        <w:t xml:space="preserve"> </w:t>
      </w:r>
      <w:r w:rsidR="00C670DA">
        <w:rPr>
          <w:rFonts w:ascii="Times New Roman" w:hAnsi="Times New Roman" w:cs="Times New Roman"/>
          <w:sz w:val="24"/>
          <w:szCs w:val="24"/>
          <w:lang w:val="en-US"/>
        </w:rPr>
        <w:t>et al. 2015</w:t>
      </w:r>
      <w:r w:rsidR="003E5235" w:rsidRPr="00587826">
        <w:rPr>
          <w:rFonts w:ascii="Times New Roman" w:hAnsi="Times New Roman" w:cs="Times New Roman"/>
          <w:color w:val="000000" w:themeColor="text1"/>
          <w:sz w:val="24"/>
          <w:szCs w:val="24"/>
          <w:lang w:val="en-US"/>
        </w:rPr>
        <w:t xml:space="preserve">).  We did not model the effect of variable </w:t>
      </w:r>
      <w:r w:rsidR="00587826">
        <w:rPr>
          <w:rFonts w:ascii="Times New Roman" w:hAnsi="Times New Roman" w:cs="Times New Roman"/>
          <w:color w:val="000000" w:themeColor="text1"/>
          <w:sz w:val="24"/>
          <w:szCs w:val="24"/>
          <w:lang w:val="en-US"/>
        </w:rPr>
        <w:t>t</w:t>
      </w:r>
      <w:r w:rsidR="00216309">
        <w:rPr>
          <w:rFonts w:ascii="Times New Roman" w:hAnsi="Times New Roman" w:cs="Times New Roman"/>
          <w:color w:val="000000" w:themeColor="text1"/>
          <w:sz w:val="24"/>
          <w:szCs w:val="24"/>
          <w:lang w:val="en-US"/>
        </w:rPr>
        <w:t>r</w:t>
      </w:r>
      <w:r w:rsidR="00587826">
        <w:rPr>
          <w:rFonts w:ascii="Times New Roman" w:hAnsi="Times New Roman" w:cs="Times New Roman"/>
          <w:color w:val="000000" w:themeColor="text1"/>
          <w:sz w:val="24"/>
          <w:szCs w:val="24"/>
          <w:lang w:val="en-US"/>
        </w:rPr>
        <w:t>ophic enrichment factors</w:t>
      </w:r>
      <w:r w:rsidR="003E5235" w:rsidRPr="00587826">
        <w:rPr>
          <w:rFonts w:ascii="Times New Roman" w:hAnsi="Times New Roman" w:cs="Times New Roman"/>
          <w:color w:val="000000" w:themeColor="text1"/>
          <w:sz w:val="24"/>
          <w:szCs w:val="24"/>
          <w:lang w:val="en-US"/>
        </w:rPr>
        <w:t xml:space="preserve">, though this value is known to influence </w:t>
      </w:r>
      <w:r w:rsidR="00587826">
        <w:rPr>
          <w:rFonts w:ascii="Times New Roman" w:hAnsi="Times New Roman" w:cs="Times New Roman"/>
          <w:color w:val="000000" w:themeColor="text1"/>
          <w:sz w:val="24"/>
          <w:szCs w:val="24"/>
          <w:lang w:val="en-US"/>
        </w:rPr>
        <w:t>trophic position</w:t>
      </w:r>
      <w:r w:rsidR="003E5235" w:rsidRPr="00587826">
        <w:rPr>
          <w:rFonts w:ascii="Times New Roman" w:hAnsi="Times New Roman" w:cs="Times New Roman"/>
          <w:color w:val="000000" w:themeColor="text1"/>
          <w:sz w:val="24"/>
          <w:szCs w:val="24"/>
          <w:lang w:val="en-US"/>
        </w:rPr>
        <w:t xml:space="preserve"> calculations and resource estimates (</w:t>
      </w:r>
      <w:r w:rsidR="003E5235">
        <w:rPr>
          <w:rFonts w:ascii="Times New Roman" w:hAnsi="Times New Roman" w:cs="Times New Roman"/>
          <w:sz w:val="24"/>
          <w:szCs w:val="24"/>
          <w:lang w:val="en-US"/>
        </w:rPr>
        <w:t xml:space="preserve">Bond and Diamond 2011). Variability in </w:t>
      </w:r>
      <w:r w:rsidR="00587826">
        <w:rPr>
          <w:rFonts w:ascii="Times New Roman" w:hAnsi="Times New Roman" w:cs="Times New Roman"/>
          <w:sz w:val="24"/>
          <w:szCs w:val="24"/>
          <w:lang w:val="en-US"/>
        </w:rPr>
        <w:t xml:space="preserve">trophic enrichment factors </w:t>
      </w:r>
      <w:r w:rsidR="003E5235">
        <w:rPr>
          <w:rFonts w:ascii="Times New Roman" w:hAnsi="Times New Roman" w:cs="Times New Roman"/>
          <w:sz w:val="24"/>
          <w:szCs w:val="24"/>
          <w:lang w:val="en-US"/>
        </w:rPr>
        <w:t xml:space="preserve">and baseline heterogeneity </w:t>
      </w:r>
      <w:r w:rsidR="00216309">
        <w:rPr>
          <w:rFonts w:ascii="Times New Roman" w:hAnsi="Times New Roman" w:cs="Times New Roman"/>
          <w:sz w:val="24"/>
          <w:szCs w:val="24"/>
          <w:lang w:val="en-US"/>
        </w:rPr>
        <w:t xml:space="preserve">can </w:t>
      </w:r>
      <w:r w:rsidR="003E5235">
        <w:rPr>
          <w:rFonts w:ascii="Times New Roman" w:hAnsi="Times New Roman" w:cs="Times New Roman"/>
          <w:sz w:val="24"/>
          <w:szCs w:val="24"/>
          <w:lang w:val="en-US"/>
        </w:rPr>
        <w:t xml:space="preserve">act </w:t>
      </w:r>
      <w:r w:rsidR="00587826">
        <w:rPr>
          <w:rFonts w:ascii="Times New Roman" w:hAnsi="Times New Roman" w:cs="Times New Roman"/>
          <w:sz w:val="24"/>
          <w:szCs w:val="24"/>
          <w:lang w:val="en-US"/>
        </w:rPr>
        <w:t xml:space="preserve">both </w:t>
      </w:r>
      <w:r w:rsidR="003E5235">
        <w:rPr>
          <w:rFonts w:ascii="Times New Roman" w:hAnsi="Times New Roman" w:cs="Times New Roman"/>
          <w:sz w:val="24"/>
          <w:szCs w:val="24"/>
          <w:lang w:val="en-US"/>
        </w:rPr>
        <w:t xml:space="preserve">synergistically </w:t>
      </w:r>
      <w:r w:rsidR="00587826">
        <w:rPr>
          <w:rFonts w:ascii="Times New Roman" w:hAnsi="Times New Roman" w:cs="Times New Roman"/>
          <w:sz w:val="24"/>
          <w:szCs w:val="24"/>
          <w:lang w:val="en-US"/>
        </w:rPr>
        <w:t xml:space="preserve">and antagonistically </w:t>
      </w:r>
      <w:r w:rsidR="003E5235">
        <w:rPr>
          <w:rFonts w:ascii="Times New Roman" w:hAnsi="Times New Roman" w:cs="Times New Roman"/>
          <w:sz w:val="24"/>
          <w:szCs w:val="24"/>
          <w:lang w:val="en-US"/>
        </w:rPr>
        <w:t>on trophic position estimates</w:t>
      </w:r>
      <w:r w:rsidR="00587826">
        <w:rPr>
          <w:rFonts w:ascii="Times New Roman" w:hAnsi="Times New Roman" w:cs="Times New Roman"/>
          <w:sz w:val="24"/>
          <w:szCs w:val="24"/>
          <w:lang w:val="en-US"/>
        </w:rPr>
        <w:t>. T</w:t>
      </w:r>
      <w:r w:rsidR="003E5235">
        <w:rPr>
          <w:rFonts w:ascii="Times New Roman" w:hAnsi="Times New Roman" w:cs="Times New Roman"/>
          <w:sz w:val="24"/>
          <w:szCs w:val="24"/>
          <w:lang w:val="en-US"/>
        </w:rPr>
        <w:t>he scope of this study was to understand error associated with heterogeneity and tissue turnover specifically</w:t>
      </w:r>
      <w:r w:rsidR="00C670DA">
        <w:rPr>
          <w:rFonts w:ascii="Times New Roman" w:hAnsi="Times New Roman" w:cs="Times New Roman"/>
          <w:sz w:val="24"/>
          <w:szCs w:val="24"/>
          <w:lang w:val="en-US"/>
        </w:rPr>
        <w:t xml:space="preserve">. </w:t>
      </w:r>
      <w:r w:rsidR="003E5235">
        <w:rPr>
          <w:rFonts w:ascii="Times New Roman" w:hAnsi="Times New Roman" w:cs="Times New Roman"/>
          <w:sz w:val="24"/>
          <w:szCs w:val="24"/>
          <w:lang w:val="en-US"/>
        </w:rPr>
        <w:t xml:space="preserve">While our model is limited in the number of parameters that vary, it fulfills </w:t>
      </w:r>
      <w:r w:rsidR="00587826">
        <w:rPr>
          <w:rFonts w:ascii="Times New Roman" w:hAnsi="Times New Roman" w:cs="Times New Roman"/>
          <w:sz w:val="24"/>
          <w:szCs w:val="24"/>
          <w:lang w:val="en-US"/>
        </w:rPr>
        <w:t>this</w:t>
      </w:r>
      <w:r w:rsidR="003E5235">
        <w:rPr>
          <w:rFonts w:ascii="Times New Roman" w:hAnsi="Times New Roman" w:cs="Times New Roman"/>
          <w:sz w:val="24"/>
          <w:szCs w:val="24"/>
          <w:lang w:val="en-US"/>
        </w:rPr>
        <w:t xml:space="preserve"> crucial knowledge gap. </w:t>
      </w:r>
    </w:p>
    <w:p w14:paraId="117D47FA" w14:textId="77777777" w:rsidR="00587826" w:rsidRDefault="003A68A7" w:rsidP="002A32C8">
      <w:pPr>
        <w:spacing w:line="480" w:lineRule="auto"/>
        <w:rPr>
          <w:b/>
          <w:u w:val="single"/>
        </w:rPr>
      </w:pPr>
      <w:r>
        <w:rPr>
          <w:b/>
          <w:u w:val="single"/>
        </w:rPr>
        <w:t>Conclusions</w:t>
      </w:r>
    </w:p>
    <w:p w14:paraId="083F0F1F" w14:textId="5A3270AF" w:rsidR="00233371" w:rsidRDefault="00FA2936" w:rsidP="002A32C8">
      <w:pPr>
        <w:spacing w:line="480" w:lineRule="auto"/>
      </w:pPr>
      <w:r>
        <w:tab/>
      </w:r>
      <w:r w:rsidR="00D251A3">
        <w:t xml:space="preserve">Stable isotope heterogeneity and stable isotope turnover of consumer tissues impact the accuracy of trophic position estimates. Based on our results </w:t>
      </w:r>
      <w:r>
        <w:t xml:space="preserve">CSIA </w:t>
      </w:r>
      <w:r w:rsidR="00233371">
        <w:t>reduce</w:t>
      </w:r>
      <w:r w:rsidR="00D251A3">
        <w:t xml:space="preserve">s </w:t>
      </w:r>
      <w:r w:rsidR="00233371">
        <w:t xml:space="preserve">trophic position deviation more than any of the tested trophic position equations for </w:t>
      </w:r>
      <w:r w:rsidR="007D2A08">
        <w:t>BSIA.</w:t>
      </w:r>
      <w:r w:rsidR="00233371">
        <w:t xml:space="preserve"> </w:t>
      </w:r>
      <w:r w:rsidR="00421C9C">
        <w:t>Using primary consumers as the stable isotope baseline or applying a 90-day lag between baseline and consumer sampling can improve accuracy of trophic position estimation</w:t>
      </w:r>
      <w:r w:rsidR="00D251A3">
        <w:t xml:space="preserve"> for tertiary consumers or higher</w:t>
      </w:r>
      <w:r w:rsidR="00421C9C">
        <w:t xml:space="preserve">, although it does not eliminate it. Thus, stable isotope heterogeneity and its potential effects on trophic position estimates should be considered when interpreting stable isotope values. Our results agree with the recommendations made by </w:t>
      </w:r>
      <w:proofErr w:type="spellStart"/>
      <w:r w:rsidR="00845E86">
        <w:t>Possamai</w:t>
      </w:r>
      <w:proofErr w:type="spellEnd"/>
      <w:r w:rsidR="00845E86">
        <w:t xml:space="preserve"> et al (2021)</w:t>
      </w:r>
      <w:r w:rsidR="00421C9C">
        <w:t xml:space="preserve">, when possible, trophic position studies should use CSIA for at least a subset of </w:t>
      </w:r>
      <w:r w:rsidR="00D251A3">
        <w:t xml:space="preserve">samples. Researchers applying stable isotope data to calculate consumer trophic position should carefully consider </w:t>
      </w:r>
      <w:r w:rsidR="00CB02A6">
        <w:t>heterogeneity in baseline isotope values expected in their system, isotope turnover rates for their consumers of interest</w:t>
      </w:r>
      <w:r w:rsidR="007D2A08">
        <w:t>,</w:t>
      </w:r>
      <w:bookmarkStart w:id="0" w:name="_GoBack"/>
      <w:bookmarkEnd w:id="0"/>
      <w:r w:rsidR="00CB02A6">
        <w:t xml:space="preserve"> and isotope turnover rates of the resources of their consumers of interest. We caution researchers against a one size fits all </w:t>
      </w:r>
      <w:r w:rsidR="00CB02A6">
        <w:lastRenderedPageBreak/>
        <w:t>approach for improving trophic position estimation</w:t>
      </w:r>
      <w:r w:rsidR="002A32C8">
        <w:t>, and it may be beneficial to apply different approaches for different consumers in the same system.</w:t>
      </w:r>
    </w:p>
    <w:p w14:paraId="0DD72C3C" w14:textId="129B5DD5" w:rsidR="00D06A05" w:rsidRDefault="00D06A05">
      <w:r>
        <w:br w:type="page"/>
      </w:r>
    </w:p>
    <w:p w14:paraId="6D6B666E" w14:textId="0ACD32B4" w:rsidR="00763580" w:rsidRDefault="00D06A05" w:rsidP="004D707F">
      <w:pPr>
        <w:rPr>
          <w:b/>
        </w:rPr>
      </w:pPr>
      <w:r>
        <w:rPr>
          <w:b/>
        </w:rPr>
        <w:lastRenderedPageBreak/>
        <w:t>References</w:t>
      </w:r>
    </w:p>
    <w:p w14:paraId="75B355C7" w14:textId="77777777" w:rsidR="00CF66E7" w:rsidRPr="00CF66E7" w:rsidRDefault="00CF66E7" w:rsidP="00CF66E7">
      <w:pPr>
        <w:pStyle w:val="z-TopofForm"/>
        <w:rPr>
          <w:rFonts w:ascii="Times New Roman" w:hAnsi="Times New Roman" w:cs="Times New Roman"/>
          <w:sz w:val="24"/>
          <w:szCs w:val="24"/>
        </w:rPr>
      </w:pPr>
      <w:r w:rsidRPr="00CF66E7">
        <w:rPr>
          <w:rFonts w:ascii="Times New Roman" w:hAnsi="Times New Roman" w:cs="Times New Roman"/>
          <w:sz w:val="24"/>
          <w:szCs w:val="24"/>
        </w:rPr>
        <w:t>Top of Form</w:t>
      </w:r>
    </w:p>
    <w:p w14:paraId="7BEE9E37" w14:textId="77777777" w:rsidR="00CF66E7" w:rsidRPr="00CF66E7" w:rsidRDefault="00CF66E7" w:rsidP="00CF66E7">
      <w:pPr>
        <w:pStyle w:val="NormalWeb"/>
        <w:spacing w:after="0" w:afterAutospacing="0"/>
        <w:ind w:left="720" w:right="75" w:hanging="720"/>
        <w:rPr>
          <w:color w:val="000000"/>
        </w:rPr>
      </w:pPr>
      <w:r w:rsidRPr="00CF66E7">
        <w:rPr>
          <w:color w:val="000000"/>
        </w:rPr>
        <w:t>Anderson, C., &amp; Cabana, G. (2007). Estimating the trophic position of aquatic consumers in river food webs using stable nitrogen isotopes. </w:t>
      </w:r>
      <w:r w:rsidRPr="00CF66E7">
        <w:rPr>
          <w:i/>
          <w:iCs/>
          <w:color w:val="000000"/>
        </w:rPr>
        <w:t xml:space="preserve">Journal of the North American </w:t>
      </w:r>
      <w:proofErr w:type="spellStart"/>
      <w:r w:rsidRPr="00CF66E7">
        <w:rPr>
          <w:i/>
          <w:iCs/>
          <w:color w:val="000000"/>
        </w:rPr>
        <w:t>Benthological</w:t>
      </w:r>
      <w:proofErr w:type="spellEnd"/>
      <w:r w:rsidRPr="00CF66E7">
        <w:rPr>
          <w:i/>
          <w:iCs/>
          <w:color w:val="000000"/>
        </w:rPr>
        <w:t xml:space="preserve"> Society</w:t>
      </w:r>
      <w:r w:rsidRPr="00CF66E7">
        <w:rPr>
          <w:color w:val="000000"/>
        </w:rPr>
        <w:t>,</w:t>
      </w:r>
      <w:r w:rsidRPr="00CF66E7">
        <w:rPr>
          <w:i/>
          <w:iCs/>
          <w:color w:val="000000"/>
        </w:rPr>
        <w:t> 26</w:t>
      </w:r>
      <w:r w:rsidRPr="00CF66E7">
        <w:rPr>
          <w:color w:val="000000"/>
        </w:rPr>
        <w:t>(2), 273-285. </w:t>
      </w:r>
      <w:hyperlink r:id="rId8" w:history="1">
        <w:r w:rsidRPr="00CF66E7">
          <w:rPr>
            <w:rStyle w:val="Hyperlink"/>
            <w:color w:val="005A84"/>
          </w:rPr>
          <w:t>https://doi.org/10.1899/0887-3593(2007)26[273:ETTPOA]2.0.CO;2</w:t>
        </w:r>
      </w:hyperlink>
    </w:p>
    <w:p w14:paraId="0C389C8B" w14:textId="77777777" w:rsidR="00CF66E7" w:rsidRPr="00CF66E7" w:rsidRDefault="00CF66E7" w:rsidP="00CF66E7">
      <w:pPr>
        <w:pStyle w:val="NormalWeb"/>
        <w:spacing w:after="0" w:afterAutospacing="0"/>
        <w:ind w:left="720" w:right="75" w:hanging="720"/>
        <w:rPr>
          <w:color w:val="000000"/>
        </w:rPr>
      </w:pPr>
      <w:r w:rsidRPr="00CF66E7">
        <w:rPr>
          <w:color w:val="000000"/>
        </w:rPr>
        <w:t xml:space="preserve">Atkinson, A. (1996). </w:t>
      </w:r>
      <w:proofErr w:type="spellStart"/>
      <w:r w:rsidRPr="00CF66E7">
        <w:rPr>
          <w:color w:val="000000"/>
        </w:rPr>
        <w:t>Subantarctic</w:t>
      </w:r>
      <w:proofErr w:type="spellEnd"/>
      <w:r w:rsidRPr="00CF66E7">
        <w:rPr>
          <w:color w:val="000000"/>
        </w:rPr>
        <w:t xml:space="preserve"> copepods in an oceanic, low chlorophyll environment: ciliate predation, food selectivity and impact on prey populations. </w:t>
      </w:r>
      <w:r w:rsidRPr="00CF66E7">
        <w:rPr>
          <w:i/>
          <w:iCs/>
          <w:color w:val="000000"/>
        </w:rPr>
        <w:t>Marine ecology. Progress series (</w:t>
      </w:r>
      <w:proofErr w:type="spellStart"/>
      <w:r w:rsidRPr="00CF66E7">
        <w:rPr>
          <w:i/>
          <w:iCs/>
          <w:color w:val="000000"/>
        </w:rPr>
        <w:t>Halstenbek</w:t>
      </w:r>
      <w:proofErr w:type="spellEnd"/>
      <w:r w:rsidRPr="00CF66E7">
        <w:rPr>
          <w:i/>
          <w:iCs/>
          <w:color w:val="000000"/>
        </w:rPr>
        <w:t>)</w:t>
      </w:r>
      <w:r w:rsidRPr="00CF66E7">
        <w:rPr>
          <w:color w:val="000000"/>
        </w:rPr>
        <w:t>,</w:t>
      </w:r>
      <w:r w:rsidRPr="00CF66E7">
        <w:rPr>
          <w:i/>
          <w:iCs/>
          <w:color w:val="000000"/>
        </w:rPr>
        <w:t> 130</w:t>
      </w:r>
      <w:r w:rsidRPr="00CF66E7">
        <w:rPr>
          <w:color w:val="000000"/>
        </w:rPr>
        <w:t>(1/3), 85-96. </w:t>
      </w:r>
      <w:hyperlink r:id="rId9" w:history="1">
        <w:r w:rsidRPr="00CF66E7">
          <w:rPr>
            <w:rStyle w:val="Hyperlink"/>
            <w:color w:val="005A84"/>
          </w:rPr>
          <w:t>https://doi.org/10.3354/meps130085</w:t>
        </w:r>
      </w:hyperlink>
    </w:p>
    <w:p w14:paraId="72DA3E02" w14:textId="77777777" w:rsidR="00CF66E7" w:rsidRPr="00CF66E7" w:rsidRDefault="00CF66E7" w:rsidP="00CF66E7">
      <w:pPr>
        <w:pStyle w:val="NormalWeb"/>
        <w:spacing w:after="0" w:afterAutospacing="0"/>
        <w:ind w:left="720" w:right="75" w:hanging="720"/>
        <w:rPr>
          <w:color w:val="000000"/>
        </w:rPr>
      </w:pPr>
      <w:r w:rsidRPr="00CF66E7">
        <w:rPr>
          <w:color w:val="000000"/>
        </w:rPr>
        <w:t xml:space="preserve">Barth, J. A., </w:t>
      </w:r>
      <w:proofErr w:type="spellStart"/>
      <w:r w:rsidRPr="00CF66E7">
        <w:rPr>
          <w:color w:val="000000"/>
        </w:rPr>
        <w:t>Menge</w:t>
      </w:r>
      <w:proofErr w:type="spellEnd"/>
      <w:r w:rsidRPr="00CF66E7">
        <w:rPr>
          <w:color w:val="000000"/>
        </w:rPr>
        <w:t xml:space="preserve">, B. A., </w:t>
      </w:r>
      <w:proofErr w:type="spellStart"/>
      <w:r w:rsidRPr="00CF66E7">
        <w:rPr>
          <w:color w:val="000000"/>
        </w:rPr>
        <w:t>Lubchenco</w:t>
      </w:r>
      <w:proofErr w:type="spellEnd"/>
      <w:r w:rsidRPr="00CF66E7">
        <w:rPr>
          <w:color w:val="000000"/>
        </w:rPr>
        <w:t xml:space="preserve">, J., Chan, F., Bane, J. M., </w:t>
      </w:r>
      <w:proofErr w:type="spellStart"/>
      <w:r w:rsidRPr="00CF66E7">
        <w:rPr>
          <w:color w:val="000000"/>
        </w:rPr>
        <w:t>Kirincich</w:t>
      </w:r>
      <w:proofErr w:type="spellEnd"/>
      <w:r w:rsidRPr="00CF66E7">
        <w:rPr>
          <w:color w:val="000000"/>
        </w:rPr>
        <w:t>, A. R., . . . Washburn, L. (2007). Delayed Upwelling Alters Nearshore Coastal Ocean Ecosystems in the Northern California Current. </w:t>
      </w:r>
      <w:r w:rsidRPr="00CF66E7">
        <w:rPr>
          <w:i/>
          <w:iCs/>
          <w:color w:val="000000"/>
        </w:rPr>
        <w:t>Proceedings of the National Academy of Sciences - PNAS</w:t>
      </w:r>
      <w:r w:rsidRPr="00CF66E7">
        <w:rPr>
          <w:color w:val="000000"/>
        </w:rPr>
        <w:t>,</w:t>
      </w:r>
      <w:r w:rsidRPr="00CF66E7">
        <w:rPr>
          <w:i/>
          <w:iCs/>
          <w:color w:val="000000"/>
        </w:rPr>
        <w:t> 104</w:t>
      </w:r>
      <w:r w:rsidRPr="00CF66E7">
        <w:rPr>
          <w:color w:val="000000"/>
        </w:rPr>
        <w:t>(10), 3719-3724. </w:t>
      </w:r>
      <w:hyperlink r:id="rId10" w:history="1">
        <w:r w:rsidRPr="00CF66E7">
          <w:rPr>
            <w:rStyle w:val="Hyperlink"/>
            <w:color w:val="005A84"/>
          </w:rPr>
          <w:t>https://doi.org/10.1073/pnas.0700462104</w:t>
        </w:r>
      </w:hyperlink>
    </w:p>
    <w:p w14:paraId="3989D7CD" w14:textId="77777777" w:rsidR="00CF66E7" w:rsidRPr="00CF66E7" w:rsidRDefault="00CF66E7" w:rsidP="00CF66E7">
      <w:pPr>
        <w:pStyle w:val="NormalWeb"/>
        <w:spacing w:after="0" w:afterAutospacing="0"/>
        <w:ind w:left="720" w:right="75" w:hanging="720"/>
        <w:rPr>
          <w:color w:val="000000"/>
        </w:rPr>
      </w:pPr>
      <w:r w:rsidRPr="00CF66E7">
        <w:rPr>
          <w:color w:val="000000"/>
        </w:rPr>
        <w:t xml:space="preserve">Bastos, R. F., </w:t>
      </w:r>
      <w:proofErr w:type="spellStart"/>
      <w:r w:rsidRPr="00CF66E7">
        <w:rPr>
          <w:color w:val="000000"/>
        </w:rPr>
        <w:t>Corrêa</w:t>
      </w:r>
      <w:proofErr w:type="spellEnd"/>
      <w:r w:rsidRPr="00CF66E7">
        <w:rPr>
          <w:color w:val="000000"/>
        </w:rPr>
        <w:t xml:space="preserve">, F., </w:t>
      </w:r>
      <w:proofErr w:type="spellStart"/>
      <w:r w:rsidRPr="00CF66E7">
        <w:rPr>
          <w:color w:val="000000"/>
        </w:rPr>
        <w:t>Winemiller</w:t>
      </w:r>
      <w:proofErr w:type="spellEnd"/>
      <w:r w:rsidRPr="00CF66E7">
        <w:rPr>
          <w:color w:val="000000"/>
        </w:rPr>
        <w:t>, K. O., &amp; Garcia, A. M. (2017). Are you what you eat? Effects of trophic discrimination factors on estimates of food assimilation and trophic position with a new estimation method. </w:t>
      </w:r>
      <w:r w:rsidRPr="00CF66E7">
        <w:rPr>
          <w:i/>
          <w:iCs/>
          <w:color w:val="000000"/>
        </w:rPr>
        <w:t>Ecological indicators</w:t>
      </w:r>
      <w:r w:rsidRPr="00CF66E7">
        <w:rPr>
          <w:color w:val="000000"/>
        </w:rPr>
        <w:t>,</w:t>
      </w:r>
      <w:r w:rsidRPr="00CF66E7">
        <w:rPr>
          <w:i/>
          <w:iCs/>
          <w:color w:val="000000"/>
        </w:rPr>
        <w:t> 75</w:t>
      </w:r>
      <w:r w:rsidRPr="00CF66E7">
        <w:rPr>
          <w:color w:val="000000"/>
        </w:rPr>
        <w:t>, 234-241. </w:t>
      </w:r>
      <w:hyperlink r:id="rId11" w:history="1">
        <w:r w:rsidRPr="00CF66E7">
          <w:rPr>
            <w:rStyle w:val="Hyperlink"/>
            <w:color w:val="005A84"/>
          </w:rPr>
          <w:t>https://doi.org/10.1016/j.ecolind.2016.12.007</w:t>
        </w:r>
      </w:hyperlink>
    </w:p>
    <w:p w14:paraId="78289DB9" w14:textId="77777777" w:rsidR="00CF66E7" w:rsidRPr="00CF66E7" w:rsidRDefault="00CF66E7" w:rsidP="00CF66E7">
      <w:pPr>
        <w:pStyle w:val="NormalWeb"/>
        <w:spacing w:after="0" w:afterAutospacing="0"/>
        <w:ind w:left="720" w:right="75" w:hanging="720"/>
        <w:rPr>
          <w:color w:val="000000"/>
        </w:rPr>
      </w:pPr>
      <w:r w:rsidRPr="00CF66E7">
        <w:rPr>
          <w:color w:val="000000"/>
        </w:rPr>
        <w:t xml:space="preserve">Benbow, M. E., </w:t>
      </w:r>
      <w:proofErr w:type="spellStart"/>
      <w:r w:rsidRPr="00CF66E7">
        <w:rPr>
          <w:color w:val="000000"/>
        </w:rPr>
        <w:t>Receveur</w:t>
      </w:r>
      <w:proofErr w:type="spellEnd"/>
      <w:r w:rsidRPr="00CF66E7">
        <w:rPr>
          <w:color w:val="000000"/>
        </w:rPr>
        <w:t>, J. P., &amp; Lamberti, G. A. (2020). Death and Decomposition in Aquatic Ecosystems. </w:t>
      </w:r>
      <w:r w:rsidRPr="00CF66E7">
        <w:rPr>
          <w:i/>
          <w:iCs/>
          <w:color w:val="000000"/>
        </w:rPr>
        <w:t>Frontiers in ecology and evolution</w:t>
      </w:r>
      <w:r w:rsidRPr="00CF66E7">
        <w:rPr>
          <w:color w:val="000000"/>
        </w:rPr>
        <w:t>,</w:t>
      </w:r>
      <w:r w:rsidRPr="00CF66E7">
        <w:rPr>
          <w:i/>
          <w:iCs/>
          <w:color w:val="000000"/>
        </w:rPr>
        <w:t> 8</w:t>
      </w:r>
      <w:r w:rsidRPr="00CF66E7">
        <w:rPr>
          <w:color w:val="000000"/>
        </w:rPr>
        <w:t>. </w:t>
      </w:r>
      <w:hyperlink r:id="rId12" w:history="1">
        <w:r w:rsidRPr="00CF66E7">
          <w:rPr>
            <w:rStyle w:val="Hyperlink"/>
            <w:color w:val="005A84"/>
          </w:rPr>
          <w:t>https://doi.org/10.3389/fevo.2020.00017</w:t>
        </w:r>
      </w:hyperlink>
    </w:p>
    <w:p w14:paraId="4937C2A2" w14:textId="77777777" w:rsidR="00CF66E7" w:rsidRPr="00CF66E7" w:rsidRDefault="00CF66E7" w:rsidP="00CF66E7">
      <w:pPr>
        <w:pStyle w:val="NormalWeb"/>
        <w:spacing w:after="0" w:afterAutospacing="0"/>
        <w:ind w:left="720" w:right="75" w:hanging="720"/>
        <w:rPr>
          <w:color w:val="000000"/>
        </w:rPr>
      </w:pPr>
      <w:proofErr w:type="spellStart"/>
      <w:r w:rsidRPr="00CF66E7">
        <w:rPr>
          <w:color w:val="000000"/>
        </w:rPr>
        <w:t>Blanke</w:t>
      </w:r>
      <w:proofErr w:type="spellEnd"/>
      <w:r w:rsidRPr="00CF66E7">
        <w:rPr>
          <w:color w:val="000000"/>
        </w:rPr>
        <w:t xml:space="preserve">, C. M., </w:t>
      </w:r>
      <w:proofErr w:type="spellStart"/>
      <w:r w:rsidRPr="00CF66E7">
        <w:rPr>
          <w:color w:val="000000"/>
        </w:rPr>
        <w:t>Chikaraishi</w:t>
      </w:r>
      <w:proofErr w:type="spellEnd"/>
      <w:r w:rsidRPr="00CF66E7">
        <w:rPr>
          <w:color w:val="000000"/>
        </w:rPr>
        <w:t xml:space="preserve">, Y., Takizawa, Y., </w:t>
      </w:r>
      <w:proofErr w:type="spellStart"/>
      <w:r w:rsidRPr="00CF66E7">
        <w:rPr>
          <w:color w:val="000000"/>
        </w:rPr>
        <w:t>Steffan</w:t>
      </w:r>
      <w:proofErr w:type="spellEnd"/>
      <w:r w:rsidRPr="00CF66E7">
        <w:rPr>
          <w:color w:val="000000"/>
        </w:rPr>
        <w:t xml:space="preserve">, S. A., </w:t>
      </w:r>
      <w:proofErr w:type="spellStart"/>
      <w:r w:rsidRPr="00CF66E7">
        <w:rPr>
          <w:color w:val="000000"/>
        </w:rPr>
        <w:t>Dharampal</w:t>
      </w:r>
      <w:proofErr w:type="spellEnd"/>
      <w:r w:rsidRPr="00CF66E7">
        <w:rPr>
          <w:color w:val="000000"/>
        </w:rPr>
        <w:t xml:space="preserve">, P. S., &amp; Vander </w:t>
      </w:r>
      <w:proofErr w:type="spellStart"/>
      <w:r w:rsidRPr="00CF66E7">
        <w:rPr>
          <w:color w:val="000000"/>
        </w:rPr>
        <w:t>Zanden</w:t>
      </w:r>
      <w:proofErr w:type="spellEnd"/>
      <w:r w:rsidRPr="00CF66E7">
        <w:rPr>
          <w:color w:val="000000"/>
        </w:rPr>
        <w:t>, M. J. (2017). Comparing compound-specific and bulk stable nitrogen isotope trophic discrimination factors across multiple freshwater fish species and diets. </w:t>
      </w:r>
      <w:r w:rsidRPr="00CF66E7">
        <w:rPr>
          <w:i/>
          <w:iCs/>
          <w:color w:val="000000"/>
        </w:rPr>
        <w:t>Canadian journal of fisheries and aquatic sciences</w:t>
      </w:r>
      <w:r w:rsidRPr="00CF66E7">
        <w:rPr>
          <w:color w:val="000000"/>
        </w:rPr>
        <w:t>,</w:t>
      </w:r>
      <w:r w:rsidRPr="00CF66E7">
        <w:rPr>
          <w:i/>
          <w:iCs/>
          <w:color w:val="000000"/>
        </w:rPr>
        <w:t> 74</w:t>
      </w:r>
      <w:r w:rsidRPr="00CF66E7">
        <w:rPr>
          <w:color w:val="000000"/>
        </w:rPr>
        <w:t>(8), 1291-1297. </w:t>
      </w:r>
      <w:hyperlink r:id="rId13" w:history="1">
        <w:r w:rsidRPr="00CF66E7">
          <w:rPr>
            <w:rStyle w:val="Hyperlink"/>
            <w:color w:val="005A84"/>
          </w:rPr>
          <w:t>https://doi.org/10.1139/cjfas-2016-0420</w:t>
        </w:r>
      </w:hyperlink>
    </w:p>
    <w:p w14:paraId="7B32A793" w14:textId="77777777" w:rsidR="00CF66E7" w:rsidRPr="00CF66E7" w:rsidRDefault="00CF66E7" w:rsidP="00CF66E7">
      <w:pPr>
        <w:pStyle w:val="NormalWeb"/>
        <w:spacing w:after="0" w:afterAutospacing="0"/>
        <w:ind w:left="720" w:right="75" w:hanging="720"/>
        <w:rPr>
          <w:color w:val="000000"/>
        </w:rPr>
      </w:pPr>
      <w:r w:rsidRPr="00CF66E7">
        <w:rPr>
          <w:color w:val="000000"/>
        </w:rPr>
        <w:t>Bond, A. L., &amp; Diamond, A. W. (2011). Recent Bayesian stable-isotope mixing models are highly sensitive to variation in discrimination factors. </w:t>
      </w:r>
      <w:r w:rsidRPr="00CF66E7">
        <w:rPr>
          <w:i/>
          <w:iCs/>
          <w:color w:val="000000"/>
        </w:rPr>
        <w:t>Ecological applications</w:t>
      </w:r>
      <w:r w:rsidRPr="00CF66E7">
        <w:rPr>
          <w:color w:val="000000"/>
        </w:rPr>
        <w:t>,</w:t>
      </w:r>
      <w:r w:rsidRPr="00CF66E7">
        <w:rPr>
          <w:i/>
          <w:iCs/>
          <w:color w:val="000000"/>
        </w:rPr>
        <w:t> 21</w:t>
      </w:r>
      <w:r w:rsidRPr="00CF66E7">
        <w:rPr>
          <w:color w:val="000000"/>
        </w:rPr>
        <w:t>(4), 1017-1023. </w:t>
      </w:r>
      <w:hyperlink r:id="rId14" w:history="1">
        <w:r w:rsidRPr="00CF66E7">
          <w:rPr>
            <w:rStyle w:val="Hyperlink"/>
            <w:color w:val="005A84"/>
          </w:rPr>
          <w:t>https://doi.org/10.1890/09-2409.1</w:t>
        </w:r>
      </w:hyperlink>
    </w:p>
    <w:p w14:paraId="6153B3BA" w14:textId="77777777" w:rsidR="00CF66E7" w:rsidRPr="00CF66E7" w:rsidRDefault="00CF66E7" w:rsidP="00CF66E7">
      <w:pPr>
        <w:pStyle w:val="NormalWeb"/>
        <w:spacing w:after="0" w:afterAutospacing="0"/>
        <w:ind w:left="720" w:right="75" w:hanging="720"/>
        <w:rPr>
          <w:color w:val="000000"/>
        </w:rPr>
      </w:pPr>
      <w:r w:rsidRPr="00CF66E7">
        <w:rPr>
          <w:color w:val="000000"/>
        </w:rPr>
        <w:t xml:space="preserve">Bradley, C. J., Madigan, D. J., Block, B. A., &amp; Popp, B. N. (2014). Amino acid isotope incorporation and enrichment factors in Pacific bluefin tuna, </w:t>
      </w:r>
      <w:proofErr w:type="spellStart"/>
      <w:r w:rsidRPr="00CF66E7">
        <w:rPr>
          <w:color w:val="000000"/>
        </w:rPr>
        <w:t>Thunnus</w:t>
      </w:r>
      <w:proofErr w:type="spellEnd"/>
      <w:r w:rsidRPr="00CF66E7">
        <w:rPr>
          <w:color w:val="000000"/>
        </w:rPr>
        <w:t xml:space="preserve"> </w:t>
      </w:r>
      <w:proofErr w:type="spellStart"/>
      <w:r w:rsidRPr="00CF66E7">
        <w:rPr>
          <w:color w:val="000000"/>
        </w:rPr>
        <w:t>orientalis</w:t>
      </w:r>
      <w:proofErr w:type="spellEnd"/>
      <w:r w:rsidRPr="00CF66E7">
        <w:rPr>
          <w:color w:val="000000"/>
        </w:rPr>
        <w:t>. </w:t>
      </w:r>
      <w:proofErr w:type="spellStart"/>
      <w:r w:rsidRPr="00CF66E7">
        <w:rPr>
          <w:i/>
          <w:iCs/>
          <w:color w:val="000000"/>
        </w:rPr>
        <w:t>PloS</w:t>
      </w:r>
      <w:proofErr w:type="spellEnd"/>
      <w:r w:rsidRPr="00CF66E7">
        <w:rPr>
          <w:i/>
          <w:iCs/>
          <w:color w:val="000000"/>
        </w:rPr>
        <w:t xml:space="preserve"> one</w:t>
      </w:r>
      <w:r w:rsidRPr="00CF66E7">
        <w:rPr>
          <w:color w:val="000000"/>
        </w:rPr>
        <w:t>,</w:t>
      </w:r>
      <w:r w:rsidRPr="00CF66E7">
        <w:rPr>
          <w:i/>
          <w:iCs/>
          <w:color w:val="000000"/>
        </w:rPr>
        <w:t> 9</w:t>
      </w:r>
      <w:r w:rsidRPr="00CF66E7">
        <w:rPr>
          <w:color w:val="000000"/>
        </w:rPr>
        <w:t>(1), e85818-e85818. </w:t>
      </w:r>
      <w:hyperlink r:id="rId15" w:history="1">
        <w:r w:rsidRPr="00CF66E7">
          <w:rPr>
            <w:rStyle w:val="Hyperlink"/>
            <w:color w:val="005A84"/>
          </w:rPr>
          <w:t>https://doi.org/10.1371/journal.pone.0085818</w:t>
        </w:r>
      </w:hyperlink>
    </w:p>
    <w:p w14:paraId="6322D430" w14:textId="77777777" w:rsidR="00CF66E7" w:rsidRPr="00CF66E7" w:rsidRDefault="00CF66E7" w:rsidP="00CF66E7">
      <w:pPr>
        <w:pStyle w:val="NormalWeb"/>
        <w:spacing w:after="0" w:afterAutospacing="0"/>
        <w:ind w:left="720" w:right="75" w:hanging="720"/>
        <w:rPr>
          <w:color w:val="000000"/>
        </w:rPr>
      </w:pPr>
      <w:r w:rsidRPr="00CF66E7">
        <w:rPr>
          <w:color w:val="000000"/>
        </w:rPr>
        <w:t>Cabana, G., &amp; Rasmussen, J. B. (1996). Comparison of Aquatic Food Chains Using Nitrogen Isotopes. </w:t>
      </w:r>
      <w:r w:rsidRPr="00CF66E7">
        <w:rPr>
          <w:i/>
          <w:iCs/>
          <w:color w:val="000000"/>
        </w:rPr>
        <w:t>Proceedings of the National Academy of Sciences - PNAS</w:t>
      </w:r>
      <w:r w:rsidRPr="00CF66E7">
        <w:rPr>
          <w:color w:val="000000"/>
        </w:rPr>
        <w:t>,</w:t>
      </w:r>
      <w:r w:rsidRPr="00CF66E7">
        <w:rPr>
          <w:i/>
          <w:iCs/>
          <w:color w:val="000000"/>
        </w:rPr>
        <w:t> 93</w:t>
      </w:r>
      <w:r w:rsidRPr="00CF66E7">
        <w:rPr>
          <w:color w:val="000000"/>
        </w:rPr>
        <w:t>(20), 10844-10847. </w:t>
      </w:r>
      <w:hyperlink r:id="rId16" w:history="1">
        <w:r w:rsidRPr="00CF66E7">
          <w:rPr>
            <w:rStyle w:val="Hyperlink"/>
            <w:color w:val="005A84"/>
          </w:rPr>
          <w:t>https://doi.org/10.1073/pnas.93.20.10844</w:t>
        </w:r>
      </w:hyperlink>
    </w:p>
    <w:p w14:paraId="4A332BAD" w14:textId="77777777" w:rsidR="00CF66E7" w:rsidRPr="00CF66E7" w:rsidRDefault="00CF66E7" w:rsidP="00CF66E7">
      <w:pPr>
        <w:pStyle w:val="NormalWeb"/>
        <w:spacing w:after="0" w:afterAutospacing="0"/>
        <w:ind w:left="720" w:right="75" w:hanging="720"/>
        <w:rPr>
          <w:color w:val="000000"/>
        </w:rPr>
      </w:pPr>
      <w:r w:rsidRPr="00CF66E7">
        <w:rPr>
          <w:color w:val="000000"/>
        </w:rPr>
        <w:t xml:space="preserve">Casselman, J. M., Rasmussen, J. B., &amp; Vander </w:t>
      </w:r>
      <w:proofErr w:type="spellStart"/>
      <w:r w:rsidRPr="00CF66E7">
        <w:rPr>
          <w:color w:val="000000"/>
        </w:rPr>
        <w:t>Zanden</w:t>
      </w:r>
      <w:proofErr w:type="spellEnd"/>
      <w:r w:rsidRPr="00CF66E7">
        <w:rPr>
          <w:color w:val="000000"/>
        </w:rPr>
        <w:t>, M. J. (1999). Stable isotope evidence for the food web consequences of species invasions in lakes. </w:t>
      </w:r>
      <w:r w:rsidRPr="00CF66E7">
        <w:rPr>
          <w:i/>
          <w:iCs/>
          <w:color w:val="000000"/>
        </w:rPr>
        <w:t>Nature (London)</w:t>
      </w:r>
      <w:r w:rsidRPr="00CF66E7">
        <w:rPr>
          <w:color w:val="000000"/>
        </w:rPr>
        <w:t>,</w:t>
      </w:r>
      <w:r w:rsidRPr="00CF66E7">
        <w:rPr>
          <w:i/>
          <w:iCs/>
          <w:color w:val="000000"/>
        </w:rPr>
        <w:t> 401</w:t>
      </w:r>
      <w:r w:rsidRPr="00CF66E7">
        <w:rPr>
          <w:color w:val="000000"/>
        </w:rPr>
        <w:t>(6752), 464-467. </w:t>
      </w:r>
      <w:hyperlink r:id="rId17" w:history="1">
        <w:r w:rsidRPr="00CF66E7">
          <w:rPr>
            <w:rStyle w:val="Hyperlink"/>
            <w:color w:val="005A84"/>
          </w:rPr>
          <w:t>https://doi.org/10.1038/46762</w:t>
        </w:r>
      </w:hyperlink>
    </w:p>
    <w:p w14:paraId="281F5774" w14:textId="77777777" w:rsidR="00CF66E7" w:rsidRPr="00CF66E7" w:rsidRDefault="00CF66E7" w:rsidP="00CF66E7">
      <w:pPr>
        <w:pStyle w:val="NormalWeb"/>
        <w:spacing w:after="0" w:afterAutospacing="0"/>
        <w:ind w:left="720" w:right="75" w:hanging="720"/>
        <w:rPr>
          <w:color w:val="000000"/>
        </w:rPr>
      </w:pPr>
      <w:r w:rsidRPr="00CF66E7">
        <w:rPr>
          <w:color w:val="000000"/>
        </w:rPr>
        <w:t xml:space="preserve">Castellani, C., </w:t>
      </w:r>
      <w:proofErr w:type="spellStart"/>
      <w:r w:rsidRPr="00CF66E7">
        <w:rPr>
          <w:color w:val="000000"/>
        </w:rPr>
        <w:t>Irigoien</w:t>
      </w:r>
      <w:proofErr w:type="spellEnd"/>
      <w:r w:rsidRPr="00CF66E7">
        <w:rPr>
          <w:color w:val="000000"/>
        </w:rPr>
        <w:t xml:space="preserve">, X., Mayor, D. J., Harris, R. P., &amp; Wilson, D. (2008). Feeding of </w:t>
      </w:r>
      <w:proofErr w:type="spellStart"/>
      <w:r w:rsidRPr="00CF66E7">
        <w:rPr>
          <w:color w:val="000000"/>
        </w:rPr>
        <w:t>Calanus</w:t>
      </w:r>
      <w:proofErr w:type="spellEnd"/>
      <w:r w:rsidRPr="00CF66E7">
        <w:rPr>
          <w:color w:val="000000"/>
        </w:rPr>
        <w:t xml:space="preserve"> </w:t>
      </w:r>
      <w:proofErr w:type="spellStart"/>
      <w:r w:rsidRPr="00CF66E7">
        <w:rPr>
          <w:color w:val="000000"/>
        </w:rPr>
        <w:t>finmarchicus</w:t>
      </w:r>
      <w:proofErr w:type="spellEnd"/>
      <w:r w:rsidRPr="00CF66E7">
        <w:rPr>
          <w:color w:val="000000"/>
        </w:rPr>
        <w:t xml:space="preserve"> and </w:t>
      </w:r>
      <w:proofErr w:type="spellStart"/>
      <w:r w:rsidRPr="00CF66E7">
        <w:rPr>
          <w:color w:val="000000"/>
        </w:rPr>
        <w:t>Oithona</w:t>
      </w:r>
      <w:proofErr w:type="spellEnd"/>
      <w:r w:rsidRPr="00CF66E7">
        <w:rPr>
          <w:color w:val="000000"/>
        </w:rPr>
        <w:t xml:space="preserve"> </w:t>
      </w:r>
      <w:proofErr w:type="spellStart"/>
      <w:r w:rsidRPr="00CF66E7">
        <w:rPr>
          <w:color w:val="000000"/>
        </w:rPr>
        <w:t>similis</w:t>
      </w:r>
      <w:proofErr w:type="spellEnd"/>
      <w:r w:rsidRPr="00CF66E7">
        <w:rPr>
          <w:color w:val="000000"/>
        </w:rPr>
        <w:t xml:space="preserve"> on the microplankton assemblage in the </w:t>
      </w:r>
      <w:proofErr w:type="spellStart"/>
      <w:r w:rsidRPr="00CF66E7">
        <w:rPr>
          <w:color w:val="000000"/>
        </w:rPr>
        <w:lastRenderedPageBreak/>
        <w:t>Irminger</w:t>
      </w:r>
      <w:proofErr w:type="spellEnd"/>
      <w:r w:rsidRPr="00CF66E7">
        <w:rPr>
          <w:color w:val="000000"/>
        </w:rPr>
        <w:t xml:space="preserve"> Sea, North Atlantic. </w:t>
      </w:r>
      <w:r w:rsidRPr="00CF66E7">
        <w:rPr>
          <w:i/>
          <w:iCs/>
          <w:color w:val="000000"/>
        </w:rPr>
        <w:t>Journal of plankton research</w:t>
      </w:r>
      <w:r w:rsidRPr="00CF66E7">
        <w:rPr>
          <w:color w:val="000000"/>
        </w:rPr>
        <w:t>,</w:t>
      </w:r>
      <w:r w:rsidRPr="00CF66E7">
        <w:rPr>
          <w:i/>
          <w:iCs/>
          <w:color w:val="000000"/>
        </w:rPr>
        <w:t> 30</w:t>
      </w:r>
      <w:r w:rsidRPr="00CF66E7">
        <w:rPr>
          <w:color w:val="000000"/>
        </w:rPr>
        <w:t>(10), 1095-1116. </w:t>
      </w:r>
      <w:hyperlink r:id="rId18" w:history="1">
        <w:r w:rsidRPr="00CF66E7">
          <w:rPr>
            <w:rStyle w:val="Hyperlink"/>
            <w:color w:val="005A84"/>
          </w:rPr>
          <w:t>https://doi.org/10.1093/plankt/fbn074</w:t>
        </w:r>
      </w:hyperlink>
    </w:p>
    <w:p w14:paraId="556ABB2E" w14:textId="77777777" w:rsidR="00CF66E7" w:rsidRPr="00CF66E7" w:rsidRDefault="00CF66E7" w:rsidP="00CF66E7">
      <w:pPr>
        <w:pStyle w:val="NormalWeb"/>
        <w:spacing w:after="0" w:afterAutospacing="0"/>
        <w:ind w:left="720" w:right="75" w:hanging="720"/>
        <w:rPr>
          <w:color w:val="000000"/>
        </w:rPr>
      </w:pPr>
      <w:proofErr w:type="spellStart"/>
      <w:r w:rsidRPr="00CF66E7">
        <w:rPr>
          <w:color w:val="000000"/>
        </w:rPr>
        <w:t>Caut</w:t>
      </w:r>
      <w:proofErr w:type="spellEnd"/>
      <w:r w:rsidRPr="00CF66E7">
        <w:rPr>
          <w:color w:val="000000"/>
        </w:rPr>
        <w:t xml:space="preserve">, S., Angulo, E., &amp; </w:t>
      </w:r>
      <w:proofErr w:type="spellStart"/>
      <w:r w:rsidRPr="00CF66E7">
        <w:rPr>
          <w:color w:val="000000"/>
        </w:rPr>
        <w:t>Courchamp</w:t>
      </w:r>
      <w:proofErr w:type="spellEnd"/>
      <w:r w:rsidRPr="00CF66E7">
        <w:rPr>
          <w:color w:val="000000"/>
        </w:rPr>
        <w:t>, F. (2008). Caution on isotopic model use for analyses of consumer diet. </w:t>
      </w:r>
      <w:r w:rsidRPr="00CF66E7">
        <w:rPr>
          <w:i/>
          <w:iCs/>
          <w:color w:val="000000"/>
        </w:rPr>
        <w:t>Canadian journal of zoology</w:t>
      </w:r>
      <w:r w:rsidRPr="00CF66E7">
        <w:rPr>
          <w:color w:val="000000"/>
        </w:rPr>
        <w:t>,</w:t>
      </w:r>
      <w:r w:rsidRPr="00CF66E7">
        <w:rPr>
          <w:i/>
          <w:iCs/>
          <w:color w:val="000000"/>
        </w:rPr>
        <w:t> 86</w:t>
      </w:r>
      <w:r w:rsidRPr="00CF66E7">
        <w:rPr>
          <w:color w:val="000000"/>
        </w:rPr>
        <w:t>(5), 438-445. </w:t>
      </w:r>
      <w:hyperlink r:id="rId19" w:history="1">
        <w:r w:rsidRPr="00CF66E7">
          <w:rPr>
            <w:rStyle w:val="Hyperlink"/>
            <w:color w:val="005A84"/>
          </w:rPr>
          <w:t>https://doi.org/10.1139/Z08-012</w:t>
        </w:r>
      </w:hyperlink>
    </w:p>
    <w:p w14:paraId="7A9BBCD5" w14:textId="77777777" w:rsidR="00CF66E7" w:rsidRPr="00CF66E7" w:rsidRDefault="00CF66E7" w:rsidP="00CF66E7">
      <w:pPr>
        <w:pStyle w:val="NormalWeb"/>
        <w:spacing w:after="0" w:afterAutospacing="0"/>
        <w:ind w:left="720" w:right="75" w:hanging="720"/>
        <w:rPr>
          <w:color w:val="000000"/>
        </w:rPr>
      </w:pPr>
      <w:proofErr w:type="spellStart"/>
      <w:r w:rsidRPr="00CF66E7">
        <w:rPr>
          <w:color w:val="000000"/>
        </w:rPr>
        <w:t>Cerling</w:t>
      </w:r>
      <w:proofErr w:type="spellEnd"/>
      <w:r w:rsidRPr="00CF66E7">
        <w:rPr>
          <w:color w:val="000000"/>
        </w:rPr>
        <w:t xml:space="preserve">, T. E., </w:t>
      </w:r>
      <w:proofErr w:type="spellStart"/>
      <w:r w:rsidRPr="00CF66E7">
        <w:rPr>
          <w:color w:val="000000"/>
        </w:rPr>
        <w:t>Ayliffe</w:t>
      </w:r>
      <w:proofErr w:type="spellEnd"/>
      <w:r w:rsidRPr="00CF66E7">
        <w:rPr>
          <w:color w:val="000000"/>
        </w:rPr>
        <w:t xml:space="preserve">, L. K., Dearing, M. D., </w:t>
      </w:r>
      <w:proofErr w:type="spellStart"/>
      <w:r w:rsidRPr="00CF66E7">
        <w:rPr>
          <w:color w:val="000000"/>
        </w:rPr>
        <w:t>Ehleringer</w:t>
      </w:r>
      <w:proofErr w:type="spellEnd"/>
      <w:r w:rsidRPr="00CF66E7">
        <w:rPr>
          <w:color w:val="000000"/>
        </w:rPr>
        <w:t xml:space="preserve">, J. R., </w:t>
      </w:r>
      <w:proofErr w:type="spellStart"/>
      <w:r w:rsidRPr="00CF66E7">
        <w:rPr>
          <w:color w:val="000000"/>
        </w:rPr>
        <w:t>Passey</w:t>
      </w:r>
      <w:proofErr w:type="spellEnd"/>
      <w:r w:rsidRPr="00CF66E7">
        <w:rPr>
          <w:color w:val="000000"/>
        </w:rPr>
        <w:t xml:space="preserve">, B. H., </w:t>
      </w:r>
      <w:proofErr w:type="spellStart"/>
      <w:r w:rsidRPr="00CF66E7">
        <w:rPr>
          <w:color w:val="000000"/>
        </w:rPr>
        <w:t>Podlesak</w:t>
      </w:r>
      <w:proofErr w:type="spellEnd"/>
      <w:r w:rsidRPr="00CF66E7">
        <w:rPr>
          <w:color w:val="000000"/>
        </w:rPr>
        <w:t>, D. W., . . . West, A. G. (2007). Determining Biological Tissue Turnover Using Stable Isotopes: The Reaction Progress Variable. </w:t>
      </w:r>
      <w:proofErr w:type="spellStart"/>
      <w:r w:rsidRPr="00CF66E7">
        <w:rPr>
          <w:i/>
          <w:iCs/>
          <w:color w:val="000000"/>
        </w:rPr>
        <w:t>Oecologia</w:t>
      </w:r>
      <w:proofErr w:type="spellEnd"/>
      <w:r w:rsidRPr="00CF66E7">
        <w:rPr>
          <w:color w:val="000000"/>
        </w:rPr>
        <w:t>,</w:t>
      </w:r>
      <w:r w:rsidRPr="00CF66E7">
        <w:rPr>
          <w:i/>
          <w:iCs/>
          <w:color w:val="000000"/>
        </w:rPr>
        <w:t> 151</w:t>
      </w:r>
      <w:r w:rsidRPr="00CF66E7">
        <w:rPr>
          <w:color w:val="000000"/>
        </w:rPr>
        <w:t>(2), 175-189. </w:t>
      </w:r>
      <w:hyperlink r:id="rId20" w:history="1">
        <w:r w:rsidRPr="00CF66E7">
          <w:rPr>
            <w:rStyle w:val="Hyperlink"/>
            <w:color w:val="005A84"/>
          </w:rPr>
          <w:t>https://doi.org/10.1007/s00442-006-0571-4</w:t>
        </w:r>
      </w:hyperlink>
    </w:p>
    <w:p w14:paraId="43A83183" w14:textId="77777777" w:rsidR="00CF66E7" w:rsidRPr="00CF66E7" w:rsidRDefault="00CF66E7" w:rsidP="00CF66E7">
      <w:pPr>
        <w:pStyle w:val="NormalWeb"/>
        <w:spacing w:after="0" w:afterAutospacing="0"/>
        <w:ind w:left="720" w:right="75" w:hanging="720"/>
        <w:rPr>
          <w:color w:val="000000"/>
        </w:rPr>
      </w:pPr>
      <w:r w:rsidRPr="00CF66E7">
        <w:rPr>
          <w:color w:val="000000"/>
        </w:rPr>
        <w:t xml:space="preserve">Chiang, W.-C., Chang, C.-T., Madigan, D. J., Carlisle, A. B., </w:t>
      </w:r>
      <w:proofErr w:type="spellStart"/>
      <w:r w:rsidRPr="00CF66E7">
        <w:rPr>
          <w:color w:val="000000"/>
        </w:rPr>
        <w:t>Musyl</w:t>
      </w:r>
      <w:proofErr w:type="spellEnd"/>
      <w:r w:rsidRPr="00CF66E7">
        <w:rPr>
          <w:color w:val="000000"/>
        </w:rPr>
        <w:t>, M. K., Chang, Y.-C., . . . Tseng, C.-T. (2020). Stable isotope analysis reveals feeding ecology and trophic position of black marlin off eastern Taiwan. </w:t>
      </w:r>
      <w:r w:rsidRPr="00CF66E7">
        <w:rPr>
          <w:i/>
          <w:iCs/>
          <w:color w:val="000000"/>
        </w:rPr>
        <w:t>Deep-sea research. Part II, Topical studies in oceanography</w:t>
      </w:r>
      <w:r w:rsidRPr="00CF66E7">
        <w:rPr>
          <w:color w:val="000000"/>
        </w:rPr>
        <w:t>,</w:t>
      </w:r>
      <w:r w:rsidRPr="00CF66E7">
        <w:rPr>
          <w:i/>
          <w:iCs/>
          <w:color w:val="000000"/>
        </w:rPr>
        <w:t> 175</w:t>
      </w:r>
      <w:r w:rsidRPr="00CF66E7">
        <w:rPr>
          <w:color w:val="000000"/>
        </w:rPr>
        <w:t>, 104821. </w:t>
      </w:r>
      <w:hyperlink r:id="rId21" w:history="1">
        <w:r w:rsidRPr="00CF66E7">
          <w:rPr>
            <w:rStyle w:val="Hyperlink"/>
            <w:color w:val="005A84"/>
          </w:rPr>
          <w:t>https://doi.org/10.1016/j.dsr2.2020.104821</w:t>
        </w:r>
      </w:hyperlink>
    </w:p>
    <w:p w14:paraId="26804B6E" w14:textId="77777777" w:rsidR="00CF66E7" w:rsidRPr="00CF66E7" w:rsidRDefault="00CF66E7" w:rsidP="00CF66E7">
      <w:pPr>
        <w:pStyle w:val="NormalWeb"/>
        <w:spacing w:after="0" w:afterAutospacing="0"/>
        <w:ind w:left="720" w:right="75" w:hanging="720"/>
        <w:rPr>
          <w:color w:val="000000"/>
        </w:rPr>
      </w:pPr>
      <w:proofErr w:type="spellStart"/>
      <w:r w:rsidRPr="00CF66E7">
        <w:rPr>
          <w:color w:val="000000"/>
        </w:rPr>
        <w:t>Chikaraishi</w:t>
      </w:r>
      <w:proofErr w:type="spellEnd"/>
      <w:r w:rsidRPr="00CF66E7">
        <w:rPr>
          <w:color w:val="000000"/>
        </w:rPr>
        <w:t xml:space="preserve">, Y., Kashiyama, Y., Ogawa, N. O., </w:t>
      </w:r>
      <w:proofErr w:type="spellStart"/>
      <w:r w:rsidRPr="00CF66E7">
        <w:rPr>
          <w:color w:val="000000"/>
        </w:rPr>
        <w:t>Kitazato</w:t>
      </w:r>
      <w:proofErr w:type="spellEnd"/>
      <w:r w:rsidRPr="00CF66E7">
        <w:rPr>
          <w:color w:val="000000"/>
        </w:rPr>
        <w:t xml:space="preserve">, H., &amp; </w:t>
      </w:r>
      <w:proofErr w:type="spellStart"/>
      <w:r w:rsidRPr="00CF66E7">
        <w:rPr>
          <w:color w:val="000000"/>
        </w:rPr>
        <w:t>Ohkouchi</w:t>
      </w:r>
      <w:proofErr w:type="spellEnd"/>
      <w:r w:rsidRPr="00CF66E7">
        <w:rPr>
          <w:color w:val="000000"/>
        </w:rPr>
        <w:t>, N. (2007). Metabolic control of nitrogen isotope composition of amino acids in macroalgae and gastropods: implications for aquatic food web studies. </w:t>
      </w:r>
      <w:r w:rsidRPr="00CF66E7">
        <w:rPr>
          <w:i/>
          <w:iCs/>
          <w:color w:val="000000"/>
        </w:rPr>
        <w:t>Marine ecology. Progress series (</w:t>
      </w:r>
      <w:proofErr w:type="spellStart"/>
      <w:r w:rsidRPr="00CF66E7">
        <w:rPr>
          <w:i/>
          <w:iCs/>
          <w:color w:val="000000"/>
        </w:rPr>
        <w:t>Halstenbek</w:t>
      </w:r>
      <w:proofErr w:type="spellEnd"/>
      <w:r w:rsidRPr="00CF66E7">
        <w:rPr>
          <w:i/>
          <w:iCs/>
          <w:color w:val="000000"/>
        </w:rPr>
        <w:t>)</w:t>
      </w:r>
      <w:r w:rsidRPr="00CF66E7">
        <w:rPr>
          <w:color w:val="000000"/>
        </w:rPr>
        <w:t>,</w:t>
      </w:r>
      <w:r w:rsidRPr="00CF66E7">
        <w:rPr>
          <w:i/>
          <w:iCs/>
          <w:color w:val="000000"/>
        </w:rPr>
        <w:t> 342</w:t>
      </w:r>
      <w:r w:rsidRPr="00CF66E7">
        <w:rPr>
          <w:color w:val="000000"/>
        </w:rPr>
        <w:t>, 85-90. </w:t>
      </w:r>
      <w:hyperlink r:id="rId22" w:history="1">
        <w:r w:rsidRPr="00CF66E7">
          <w:rPr>
            <w:rStyle w:val="Hyperlink"/>
            <w:color w:val="005A84"/>
          </w:rPr>
          <w:t>https://doi.org/10.3354/meps342085</w:t>
        </w:r>
      </w:hyperlink>
    </w:p>
    <w:p w14:paraId="22DA7076" w14:textId="77777777" w:rsidR="00CF66E7" w:rsidRPr="00CF66E7" w:rsidRDefault="00CF66E7" w:rsidP="00CF66E7">
      <w:pPr>
        <w:pStyle w:val="NormalWeb"/>
        <w:spacing w:after="0" w:afterAutospacing="0"/>
        <w:ind w:left="720" w:right="75" w:hanging="720"/>
        <w:rPr>
          <w:color w:val="000000"/>
        </w:rPr>
      </w:pPr>
      <w:proofErr w:type="spellStart"/>
      <w:r w:rsidRPr="00CF66E7">
        <w:rPr>
          <w:color w:val="000000"/>
        </w:rPr>
        <w:t>Chikaraishi</w:t>
      </w:r>
      <w:proofErr w:type="spellEnd"/>
      <w:r w:rsidRPr="00CF66E7">
        <w:rPr>
          <w:color w:val="000000"/>
        </w:rPr>
        <w:t xml:space="preserve">, Y., Ogawa, N. O., Kashiyama, Y., Takano, Y., </w:t>
      </w:r>
      <w:proofErr w:type="spellStart"/>
      <w:r w:rsidRPr="00CF66E7">
        <w:rPr>
          <w:color w:val="000000"/>
        </w:rPr>
        <w:t>Suga</w:t>
      </w:r>
      <w:proofErr w:type="spellEnd"/>
      <w:r w:rsidRPr="00CF66E7">
        <w:rPr>
          <w:color w:val="000000"/>
        </w:rPr>
        <w:t xml:space="preserve">, H., </w:t>
      </w:r>
      <w:proofErr w:type="spellStart"/>
      <w:r w:rsidRPr="00CF66E7">
        <w:rPr>
          <w:color w:val="000000"/>
        </w:rPr>
        <w:t>Tomitani</w:t>
      </w:r>
      <w:proofErr w:type="spellEnd"/>
      <w:r w:rsidRPr="00CF66E7">
        <w:rPr>
          <w:color w:val="000000"/>
        </w:rPr>
        <w:t xml:space="preserve">, A., . . . </w:t>
      </w:r>
      <w:proofErr w:type="spellStart"/>
      <w:r w:rsidRPr="00CF66E7">
        <w:rPr>
          <w:color w:val="000000"/>
        </w:rPr>
        <w:t>Ohkouchi</w:t>
      </w:r>
      <w:proofErr w:type="spellEnd"/>
      <w:r w:rsidRPr="00CF66E7">
        <w:rPr>
          <w:color w:val="000000"/>
        </w:rPr>
        <w:t>, N. (2009). Determination of aquatic food</w:t>
      </w:r>
      <w:r w:rsidRPr="00CF66E7">
        <w:rPr>
          <w:rFonts w:ascii="Cambria Math" w:hAnsi="Cambria Math" w:cs="Cambria Math"/>
          <w:color w:val="000000"/>
        </w:rPr>
        <w:t>‐</w:t>
      </w:r>
      <w:r w:rsidRPr="00CF66E7">
        <w:rPr>
          <w:color w:val="000000"/>
        </w:rPr>
        <w:t>web structure based on compound</w:t>
      </w:r>
      <w:r w:rsidRPr="00CF66E7">
        <w:rPr>
          <w:rFonts w:ascii="Cambria Math" w:hAnsi="Cambria Math" w:cs="Cambria Math"/>
          <w:color w:val="000000"/>
        </w:rPr>
        <w:t>‐</w:t>
      </w:r>
      <w:r w:rsidRPr="00CF66E7">
        <w:rPr>
          <w:color w:val="000000"/>
        </w:rPr>
        <w:t>specific nitrogen isotopic composition of amino acids. </w:t>
      </w:r>
      <w:r w:rsidRPr="00CF66E7">
        <w:rPr>
          <w:i/>
          <w:iCs/>
          <w:color w:val="000000"/>
        </w:rPr>
        <w:t>Limnology and oceanography, methods</w:t>
      </w:r>
      <w:r w:rsidRPr="00CF66E7">
        <w:rPr>
          <w:color w:val="000000"/>
        </w:rPr>
        <w:t>,</w:t>
      </w:r>
      <w:r w:rsidRPr="00CF66E7">
        <w:rPr>
          <w:i/>
          <w:iCs/>
          <w:color w:val="000000"/>
        </w:rPr>
        <w:t> 7</w:t>
      </w:r>
      <w:r w:rsidRPr="00CF66E7">
        <w:rPr>
          <w:color w:val="000000"/>
        </w:rPr>
        <w:t>(11), 740-750. </w:t>
      </w:r>
      <w:hyperlink r:id="rId23" w:history="1">
        <w:r w:rsidRPr="00CF66E7">
          <w:rPr>
            <w:rStyle w:val="Hyperlink"/>
            <w:color w:val="005A84"/>
          </w:rPr>
          <w:t>https://doi.org/10.4319/lom.2009.7.740</w:t>
        </w:r>
      </w:hyperlink>
    </w:p>
    <w:p w14:paraId="31192CDE" w14:textId="77777777" w:rsidR="00CF66E7" w:rsidRPr="00CF66E7" w:rsidRDefault="00CF66E7" w:rsidP="00CF66E7">
      <w:pPr>
        <w:pStyle w:val="NormalWeb"/>
        <w:spacing w:after="0" w:afterAutospacing="0"/>
        <w:ind w:left="720" w:right="75" w:hanging="720"/>
        <w:rPr>
          <w:color w:val="000000"/>
        </w:rPr>
      </w:pPr>
      <w:proofErr w:type="spellStart"/>
      <w:r w:rsidRPr="00CF66E7">
        <w:rPr>
          <w:color w:val="000000"/>
        </w:rPr>
        <w:t>Criss</w:t>
      </w:r>
      <w:proofErr w:type="spellEnd"/>
      <w:r w:rsidRPr="00CF66E7">
        <w:rPr>
          <w:color w:val="000000"/>
        </w:rPr>
        <w:t>, R. E. (1999). </w:t>
      </w:r>
      <w:r w:rsidRPr="00CF66E7">
        <w:rPr>
          <w:i/>
          <w:iCs/>
          <w:color w:val="000000"/>
        </w:rPr>
        <w:t>Principles of Stable Isotope Distribution</w:t>
      </w:r>
      <w:r w:rsidRPr="00CF66E7">
        <w:rPr>
          <w:color w:val="000000"/>
        </w:rPr>
        <w:t>. Cary: Oxford University Press, Incorporated.</w:t>
      </w:r>
    </w:p>
    <w:p w14:paraId="2DDB1DDC" w14:textId="77777777" w:rsidR="00CF66E7" w:rsidRPr="00CF66E7" w:rsidRDefault="00CF66E7" w:rsidP="00CF66E7">
      <w:pPr>
        <w:pStyle w:val="NormalWeb"/>
        <w:spacing w:after="0" w:afterAutospacing="0"/>
        <w:ind w:left="720" w:right="75" w:hanging="720"/>
        <w:rPr>
          <w:color w:val="000000"/>
        </w:rPr>
      </w:pPr>
      <w:r w:rsidRPr="00CF66E7">
        <w:rPr>
          <w:color w:val="000000"/>
        </w:rPr>
        <w:t xml:space="preserve">Dale, J. J., </w:t>
      </w:r>
      <w:proofErr w:type="spellStart"/>
      <w:r w:rsidRPr="00CF66E7">
        <w:rPr>
          <w:color w:val="000000"/>
        </w:rPr>
        <w:t>Wallsgrove</w:t>
      </w:r>
      <w:proofErr w:type="spellEnd"/>
      <w:r w:rsidRPr="00CF66E7">
        <w:rPr>
          <w:color w:val="000000"/>
        </w:rPr>
        <w:t xml:space="preserve">, N. J., Popp, B. N., &amp; Holland, K. N. (2011). Nursery habitat use and foraging ecology of the brown stingray </w:t>
      </w:r>
      <w:proofErr w:type="spellStart"/>
      <w:r w:rsidRPr="00CF66E7">
        <w:rPr>
          <w:color w:val="000000"/>
        </w:rPr>
        <w:t>Dasyatis</w:t>
      </w:r>
      <w:proofErr w:type="spellEnd"/>
      <w:r w:rsidRPr="00CF66E7">
        <w:rPr>
          <w:color w:val="000000"/>
        </w:rPr>
        <w:t xml:space="preserve"> </w:t>
      </w:r>
      <w:proofErr w:type="spellStart"/>
      <w:r w:rsidRPr="00CF66E7">
        <w:rPr>
          <w:color w:val="000000"/>
        </w:rPr>
        <w:t>lata</w:t>
      </w:r>
      <w:proofErr w:type="spellEnd"/>
      <w:r w:rsidRPr="00CF66E7">
        <w:rPr>
          <w:color w:val="000000"/>
        </w:rPr>
        <w:t xml:space="preserve"> determined from stomach contents, bulk and amino acid stable isotopes. </w:t>
      </w:r>
      <w:r w:rsidRPr="00CF66E7">
        <w:rPr>
          <w:i/>
          <w:iCs/>
          <w:color w:val="000000"/>
        </w:rPr>
        <w:t>Marine ecology. Progress series (</w:t>
      </w:r>
      <w:proofErr w:type="spellStart"/>
      <w:r w:rsidRPr="00CF66E7">
        <w:rPr>
          <w:i/>
          <w:iCs/>
          <w:color w:val="000000"/>
        </w:rPr>
        <w:t>Halstenbek</w:t>
      </w:r>
      <w:proofErr w:type="spellEnd"/>
      <w:r w:rsidRPr="00CF66E7">
        <w:rPr>
          <w:i/>
          <w:iCs/>
          <w:color w:val="000000"/>
        </w:rPr>
        <w:t>)</w:t>
      </w:r>
      <w:r w:rsidRPr="00CF66E7">
        <w:rPr>
          <w:color w:val="000000"/>
        </w:rPr>
        <w:t>,</w:t>
      </w:r>
      <w:r w:rsidRPr="00CF66E7">
        <w:rPr>
          <w:i/>
          <w:iCs/>
          <w:color w:val="000000"/>
        </w:rPr>
        <w:t> 433</w:t>
      </w:r>
      <w:r w:rsidRPr="00CF66E7">
        <w:rPr>
          <w:color w:val="000000"/>
        </w:rPr>
        <w:t>, 221-236. </w:t>
      </w:r>
      <w:hyperlink r:id="rId24" w:history="1">
        <w:r w:rsidRPr="00CF66E7">
          <w:rPr>
            <w:rStyle w:val="Hyperlink"/>
            <w:color w:val="005A84"/>
          </w:rPr>
          <w:t>https://doi.org/10.3354/meps09171</w:t>
        </w:r>
      </w:hyperlink>
    </w:p>
    <w:p w14:paraId="4A155943" w14:textId="77777777" w:rsidR="00CF66E7" w:rsidRPr="00CF66E7" w:rsidRDefault="00CF66E7" w:rsidP="00CF66E7">
      <w:pPr>
        <w:pStyle w:val="NormalWeb"/>
        <w:spacing w:after="0" w:afterAutospacing="0"/>
        <w:ind w:left="720" w:right="75" w:hanging="720"/>
        <w:rPr>
          <w:color w:val="000000"/>
        </w:rPr>
      </w:pPr>
      <w:proofErr w:type="spellStart"/>
      <w:r w:rsidRPr="00CF66E7">
        <w:rPr>
          <w:color w:val="000000"/>
        </w:rPr>
        <w:t>Dalerum</w:t>
      </w:r>
      <w:proofErr w:type="spellEnd"/>
      <w:r w:rsidRPr="00CF66E7">
        <w:rPr>
          <w:color w:val="000000"/>
        </w:rPr>
        <w:t xml:space="preserve">, F., &amp; </w:t>
      </w:r>
      <w:proofErr w:type="spellStart"/>
      <w:r w:rsidRPr="00CF66E7">
        <w:rPr>
          <w:color w:val="000000"/>
        </w:rPr>
        <w:t>Angerbjörn</w:t>
      </w:r>
      <w:proofErr w:type="spellEnd"/>
      <w:r w:rsidRPr="00CF66E7">
        <w:rPr>
          <w:color w:val="000000"/>
        </w:rPr>
        <w:t>, A. (2005). Resolving Temporal Variation in Vertebrate Diets Using Naturally Occurring Stable Isotopes. </w:t>
      </w:r>
      <w:proofErr w:type="spellStart"/>
      <w:r w:rsidRPr="00CF66E7">
        <w:rPr>
          <w:i/>
          <w:iCs/>
          <w:color w:val="000000"/>
        </w:rPr>
        <w:t>Oecologia</w:t>
      </w:r>
      <w:proofErr w:type="spellEnd"/>
      <w:r w:rsidRPr="00CF66E7">
        <w:rPr>
          <w:color w:val="000000"/>
        </w:rPr>
        <w:t>,</w:t>
      </w:r>
      <w:r w:rsidRPr="00CF66E7">
        <w:rPr>
          <w:i/>
          <w:iCs/>
          <w:color w:val="000000"/>
        </w:rPr>
        <w:t> 144</w:t>
      </w:r>
      <w:r w:rsidRPr="00CF66E7">
        <w:rPr>
          <w:color w:val="000000"/>
        </w:rPr>
        <w:t>(4), 647-658. </w:t>
      </w:r>
      <w:hyperlink r:id="rId25" w:history="1">
        <w:r w:rsidRPr="00CF66E7">
          <w:rPr>
            <w:rStyle w:val="Hyperlink"/>
            <w:color w:val="005A84"/>
          </w:rPr>
          <w:t>https://doi.org/10.1007/s00442-005-0118-0</w:t>
        </w:r>
      </w:hyperlink>
    </w:p>
    <w:p w14:paraId="300E3F19" w14:textId="77777777" w:rsidR="00CF66E7" w:rsidRPr="00CF66E7" w:rsidRDefault="00CF66E7" w:rsidP="00CF66E7">
      <w:pPr>
        <w:pStyle w:val="NormalWeb"/>
        <w:spacing w:after="0" w:afterAutospacing="0"/>
        <w:ind w:left="720" w:right="75" w:hanging="720"/>
        <w:rPr>
          <w:color w:val="000000"/>
        </w:rPr>
      </w:pPr>
      <w:r w:rsidRPr="00CF66E7">
        <w:rPr>
          <w:color w:val="000000"/>
        </w:rPr>
        <w:t>Del Rio, C. M., &amp; Carleton, S. A. (2012). How fast and how faithful: the dynamics of isotopic incorporation into animal tissues. </w:t>
      </w:r>
      <w:r w:rsidRPr="00CF66E7">
        <w:rPr>
          <w:i/>
          <w:iCs/>
          <w:color w:val="000000"/>
        </w:rPr>
        <w:t>Journal of Mammalogy</w:t>
      </w:r>
      <w:r w:rsidRPr="00CF66E7">
        <w:rPr>
          <w:color w:val="000000"/>
        </w:rPr>
        <w:t>,</w:t>
      </w:r>
      <w:r w:rsidRPr="00CF66E7">
        <w:rPr>
          <w:i/>
          <w:iCs/>
          <w:color w:val="000000"/>
        </w:rPr>
        <w:t> 93</w:t>
      </w:r>
      <w:r w:rsidRPr="00CF66E7">
        <w:rPr>
          <w:color w:val="000000"/>
        </w:rPr>
        <w:t>(2), 353-359. </w:t>
      </w:r>
      <w:hyperlink r:id="rId26" w:history="1">
        <w:r w:rsidRPr="00CF66E7">
          <w:rPr>
            <w:rStyle w:val="Hyperlink"/>
            <w:color w:val="005A84"/>
          </w:rPr>
          <w:t>https://doi.org/10.1644/11-MAMM-S-165.1</w:t>
        </w:r>
      </w:hyperlink>
    </w:p>
    <w:p w14:paraId="2D97812B" w14:textId="77777777" w:rsidR="00CF66E7" w:rsidRPr="00CF66E7" w:rsidRDefault="00CF66E7" w:rsidP="00CF66E7">
      <w:pPr>
        <w:pStyle w:val="NormalWeb"/>
        <w:spacing w:after="0" w:afterAutospacing="0"/>
        <w:ind w:left="720" w:right="75" w:hanging="720"/>
        <w:rPr>
          <w:color w:val="000000"/>
        </w:rPr>
      </w:pPr>
      <w:proofErr w:type="spellStart"/>
      <w:r w:rsidRPr="00CF66E7">
        <w:rPr>
          <w:color w:val="000000"/>
        </w:rPr>
        <w:t>Deniro</w:t>
      </w:r>
      <w:proofErr w:type="spellEnd"/>
      <w:r w:rsidRPr="00CF66E7">
        <w:rPr>
          <w:color w:val="000000"/>
        </w:rPr>
        <w:t>, M. J., &amp; Epstein, S. (1981). Influence of diet on the distribution of nitrogen isotopes in animals. </w:t>
      </w:r>
      <w:proofErr w:type="spellStart"/>
      <w:r w:rsidRPr="00CF66E7">
        <w:rPr>
          <w:i/>
          <w:iCs/>
          <w:color w:val="000000"/>
        </w:rPr>
        <w:t>Geochimica</w:t>
      </w:r>
      <w:proofErr w:type="spellEnd"/>
      <w:r w:rsidRPr="00CF66E7">
        <w:rPr>
          <w:i/>
          <w:iCs/>
          <w:color w:val="000000"/>
        </w:rPr>
        <w:t xml:space="preserve"> et </w:t>
      </w:r>
      <w:proofErr w:type="spellStart"/>
      <w:r w:rsidRPr="00CF66E7">
        <w:rPr>
          <w:i/>
          <w:iCs/>
          <w:color w:val="000000"/>
        </w:rPr>
        <w:t>cosmochimica</w:t>
      </w:r>
      <w:proofErr w:type="spellEnd"/>
      <w:r w:rsidRPr="00CF66E7">
        <w:rPr>
          <w:i/>
          <w:iCs/>
          <w:color w:val="000000"/>
        </w:rPr>
        <w:t xml:space="preserve"> acta</w:t>
      </w:r>
      <w:r w:rsidRPr="00CF66E7">
        <w:rPr>
          <w:color w:val="000000"/>
        </w:rPr>
        <w:t>,</w:t>
      </w:r>
      <w:r w:rsidRPr="00CF66E7">
        <w:rPr>
          <w:i/>
          <w:iCs/>
          <w:color w:val="000000"/>
        </w:rPr>
        <w:t> 45</w:t>
      </w:r>
      <w:r w:rsidRPr="00CF66E7">
        <w:rPr>
          <w:color w:val="000000"/>
        </w:rPr>
        <w:t>(3), 341-351. </w:t>
      </w:r>
      <w:hyperlink r:id="rId27" w:history="1">
        <w:r w:rsidRPr="00CF66E7">
          <w:rPr>
            <w:rStyle w:val="Hyperlink"/>
            <w:color w:val="005A84"/>
          </w:rPr>
          <w:t>https://doi.org/10.1016/0016-7037(81)90244-1</w:t>
        </w:r>
      </w:hyperlink>
    </w:p>
    <w:p w14:paraId="2843155B" w14:textId="77777777" w:rsidR="00CF66E7" w:rsidRPr="00CF66E7" w:rsidRDefault="00CF66E7" w:rsidP="00CF66E7">
      <w:pPr>
        <w:pStyle w:val="NormalWeb"/>
        <w:spacing w:after="0" w:afterAutospacing="0"/>
        <w:ind w:left="720" w:right="75" w:hanging="720"/>
        <w:rPr>
          <w:color w:val="000000"/>
        </w:rPr>
      </w:pPr>
      <w:r w:rsidRPr="00CF66E7">
        <w:rPr>
          <w:color w:val="000000"/>
        </w:rPr>
        <w:t xml:space="preserve">Downs, E. E., Popp, B. N., &amp; </w:t>
      </w:r>
      <w:proofErr w:type="spellStart"/>
      <w:r w:rsidRPr="00CF66E7">
        <w:rPr>
          <w:color w:val="000000"/>
        </w:rPr>
        <w:t>Holl</w:t>
      </w:r>
      <w:proofErr w:type="spellEnd"/>
      <w:r w:rsidRPr="00CF66E7">
        <w:rPr>
          <w:color w:val="000000"/>
        </w:rPr>
        <w:t xml:space="preserve">, C. M. (2014). Nitrogen isotope fractionation and amino acid turnover rates in the Pacific white shrimp </w:t>
      </w:r>
      <w:proofErr w:type="spellStart"/>
      <w:r w:rsidRPr="00CF66E7">
        <w:rPr>
          <w:color w:val="000000"/>
        </w:rPr>
        <w:t>Litopenaeus</w:t>
      </w:r>
      <w:proofErr w:type="spellEnd"/>
      <w:r w:rsidRPr="00CF66E7">
        <w:rPr>
          <w:color w:val="000000"/>
        </w:rPr>
        <w:t xml:space="preserve"> </w:t>
      </w:r>
      <w:proofErr w:type="spellStart"/>
      <w:r w:rsidRPr="00CF66E7">
        <w:rPr>
          <w:color w:val="000000"/>
        </w:rPr>
        <w:t>vannamei</w:t>
      </w:r>
      <w:proofErr w:type="spellEnd"/>
      <w:r w:rsidRPr="00CF66E7">
        <w:rPr>
          <w:color w:val="000000"/>
        </w:rPr>
        <w:t>. </w:t>
      </w:r>
      <w:r w:rsidRPr="00CF66E7">
        <w:rPr>
          <w:i/>
          <w:iCs/>
          <w:color w:val="000000"/>
        </w:rPr>
        <w:t xml:space="preserve">Marine </w:t>
      </w:r>
      <w:r w:rsidRPr="00CF66E7">
        <w:rPr>
          <w:i/>
          <w:iCs/>
          <w:color w:val="000000"/>
        </w:rPr>
        <w:lastRenderedPageBreak/>
        <w:t>ecology. Progress series (</w:t>
      </w:r>
      <w:proofErr w:type="spellStart"/>
      <w:r w:rsidRPr="00CF66E7">
        <w:rPr>
          <w:i/>
          <w:iCs/>
          <w:color w:val="000000"/>
        </w:rPr>
        <w:t>Halstenbek</w:t>
      </w:r>
      <w:proofErr w:type="spellEnd"/>
      <w:r w:rsidRPr="00CF66E7">
        <w:rPr>
          <w:i/>
          <w:iCs/>
          <w:color w:val="000000"/>
        </w:rPr>
        <w:t>)</w:t>
      </w:r>
      <w:r w:rsidRPr="00CF66E7">
        <w:rPr>
          <w:color w:val="000000"/>
        </w:rPr>
        <w:t>,</w:t>
      </w:r>
      <w:r w:rsidRPr="00CF66E7">
        <w:rPr>
          <w:i/>
          <w:iCs/>
          <w:color w:val="000000"/>
        </w:rPr>
        <w:t> 516</w:t>
      </w:r>
      <w:r w:rsidRPr="00CF66E7">
        <w:rPr>
          <w:color w:val="000000"/>
        </w:rPr>
        <w:t>, 239-250. </w:t>
      </w:r>
      <w:hyperlink r:id="rId28" w:history="1">
        <w:r w:rsidRPr="00CF66E7">
          <w:rPr>
            <w:rStyle w:val="Hyperlink"/>
            <w:color w:val="005A84"/>
          </w:rPr>
          <w:t>https://doi.org/10.3354/meps11030</w:t>
        </w:r>
      </w:hyperlink>
    </w:p>
    <w:p w14:paraId="30970985" w14:textId="77777777" w:rsidR="00CF66E7" w:rsidRPr="00CF66E7" w:rsidRDefault="00CF66E7" w:rsidP="00CF66E7">
      <w:pPr>
        <w:pStyle w:val="NormalWeb"/>
        <w:spacing w:after="0" w:afterAutospacing="0"/>
        <w:ind w:left="720" w:right="75" w:hanging="720"/>
        <w:rPr>
          <w:color w:val="000000"/>
        </w:rPr>
      </w:pPr>
      <w:r w:rsidRPr="00CF66E7">
        <w:rPr>
          <w:color w:val="000000"/>
        </w:rPr>
        <w:t xml:space="preserve">Estrada, J. A., Rice, A. N., </w:t>
      </w:r>
      <w:proofErr w:type="spellStart"/>
      <w:r w:rsidRPr="00CF66E7">
        <w:rPr>
          <w:color w:val="000000"/>
        </w:rPr>
        <w:t>Lutcavage</w:t>
      </w:r>
      <w:proofErr w:type="spellEnd"/>
      <w:r w:rsidRPr="00CF66E7">
        <w:rPr>
          <w:color w:val="000000"/>
        </w:rPr>
        <w:t xml:space="preserve">, M. E., &amp; </w:t>
      </w:r>
      <w:proofErr w:type="spellStart"/>
      <w:r w:rsidRPr="00CF66E7">
        <w:rPr>
          <w:color w:val="000000"/>
        </w:rPr>
        <w:t>Skomal</w:t>
      </w:r>
      <w:proofErr w:type="spellEnd"/>
      <w:r w:rsidRPr="00CF66E7">
        <w:rPr>
          <w:color w:val="000000"/>
        </w:rPr>
        <w:t>, G. B. (2003). Predicting trophic position in sharks of the north-west Atlantic Ocean using stable isotope analysis. </w:t>
      </w:r>
      <w:r w:rsidRPr="00CF66E7">
        <w:rPr>
          <w:i/>
          <w:iCs/>
          <w:color w:val="000000"/>
        </w:rPr>
        <w:t>Journal of the Marine Biological Association of the United Kingdom</w:t>
      </w:r>
      <w:r w:rsidRPr="00CF66E7">
        <w:rPr>
          <w:color w:val="000000"/>
        </w:rPr>
        <w:t>,</w:t>
      </w:r>
      <w:r w:rsidRPr="00CF66E7">
        <w:rPr>
          <w:i/>
          <w:iCs/>
          <w:color w:val="000000"/>
        </w:rPr>
        <w:t> 83</w:t>
      </w:r>
      <w:r w:rsidRPr="00CF66E7">
        <w:rPr>
          <w:color w:val="000000"/>
        </w:rPr>
        <w:t>(6), 1347-1350. </w:t>
      </w:r>
      <w:hyperlink r:id="rId29" w:history="1">
        <w:r w:rsidRPr="00CF66E7">
          <w:rPr>
            <w:rStyle w:val="Hyperlink"/>
            <w:color w:val="005A84"/>
          </w:rPr>
          <w:t>https://doi.org/10.1017/S0025315403008798</w:t>
        </w:r>
      </w:hyperlink>
    </w:p>
    <w:p w14:paraId="2D54F568" w14:textId="77777777" w:rsidR="00CF66E7" w:rsidRPr="00CF66E7" w:rsidRDefault="00CF66E7" w:rsidP="00CF66E7">
      <w:pPr>
        <w:pStyle w:val="NormalWeb"/>
        <w:spacing w:after="0" w:afterAutospacing="0"/>
        <w:ind w:left="720" w:right="75" w:hanging="720"/>
        <w:rPr>
          <w:color w:val="000000"/>
        </w:rPr>
      </w:pPr>
      <w:r w:rsidRPr="00CF66E7">
        <w:rPr>
          <w:color w:val="000000"/>
        </w:rPr>
        <w:t xml:space="preserve">Feddern, M. L., </w:t>
      </w:r>
      <w:proofErr w:type="spellStart"/>
      <w:r w:rsidRPr="00CF66E7">
        <w:rPr>
          <w:color w:val="000000"/>
        </w:rPr>
        <w:t>Holtgrieve</w:t>
      </w:r>
      <w:proofErr w:type="spellEnd"/>
      <w:r w:rsidRPr="00CF66E7">
        <w:rPr>
          <w:color w:val="000000"/>
        </w:rPr>
        <w:t>, G. W., &amp; Ward, E. J. (2021). Stable isotope signatures in historic harbor seal bone link food web</w:t>
      </w:r>
      <w:r w:rsidRPr="00CF66E7">
        <w:rPr>
          <w:rFonts w:ascii="Cambria Math" w:hAnsi="Cambria Math" w:cs="Cambria Math"/>
          <w:color w:val="000000"/>
        </w:rPr>
        <w:t>‐</w:t>
      </w:r>
      <w:r w:rsidRPr="00CF66E7">
        <w:rPr>
          <w:color w:val="000000"/>
        </w:rPr>
        <w:t>assimilated carbon and nitrogen resources to a century of environmental change. </w:t>
      </w:r>
      <w:r w:rsidRPr="00CF66E7">
        <w:rPr>
          <w:i/>
          <w:iCs/>
          <w:color w:val="000000"/>
        </w:rPr>
        <w:t>Global change biology</w:t>
      </w:r>
      <w:r w:rsidRPr="00CF66E7">
        <w:rPr>
          <w:color w:val="000000"/>
        </w:rPr>
        <w:t>,</w:t>
      </w:r>
      <w:r w:rsidRPr="00CF66E7">
        <w:rPr>
          <w:i/>
          <w:iCs/>
          <w:color w:val="000000"/>
        </w:rPr>
        <w:t> 27</w:t>
      </w:r>
      <w:r w:rsidRPr="00CF66E7">
        <w:rPr>
          <w:color w:val="000000"/>
        </w:rPr>
        <w:t>(11), 2328-2342. </w:t>
      </w:r>
      <w:hyperlink r:id="rId30" w:history="1">
        <w:r w:rsidRPr="00CF66E7">
          <w:rPr>
            <w:rStyle w:val="Hyperlink"/>
            <w:color w:val="005A84"/>
          </w:rPr>
          <w:t>https://doi.org/10.1111/gcb.15551</w:t>
        </w:r>
      </w:hyperlink>
    </w:p>
    <w:p w14:paraId="2F575233" w14:textId="77777777" w:rsidR="00CF66E7" w:rsidRPr="00CF66E7" w:rsidRDefault="00CF66E7" w:rsidP="00CF66E7">
      <w:pPr>
        <w:pStyle w:val="NormalWeb"/>
        <w:spacing w:after="0" w:afterAutospacing="0"/>
        <w:ind w:left="720" w:right="75" w:hanging="720"/>
        <w:rPr>
          <w:color w:val="000000"/>
        </w:rPr>
      </w:pPr>
      <w:r w:rsidRPr="00CF66E7">
        <w:rPr>
          <w:color w:val="000000"/>
        </w:rPr>
        <w:t xml:space="preserve">Ferreira, A., Sá, C., Silva, N., </w:t>
      </w:r>
      <w:proofErr w:type="spellStart"/>
      <w:r w:rsidRPr="00CF66E7">
        <w:rPr>
          <w:color w:val="000000"/>
        </w:rPr>
        <w:t>Beltrán</w:t>
      </w:r>
      <w:proofErr w:type="spellEnd"/>
      <w:r w:rsidRPr="00CF66E7">
        <w:rPr>
          <w:color w:val="000000"/>
        </w:rPr>
        <w:t>, C., Dias, A. M., &amp; Brito, A. C. (2020). Phytoplankton community dynamics in a coastal bay under upwelling influence (Central Chile). </w:t>
      </w:r>
      <w:r w:rsidRPr="00CF66E7">
        <w:rPr>
          <w:i/>
          <w:iCs/>
          <w:color w:val="000000"/>
        </w:rPr>
        <w:t>Estuarine, coastal and shelf science</w:t>
      </w:r>
      <w:r w:rsidRPr="00CF66E7">
        <w:rPr>
          <w:color w:val="000000"/>
        </w:rPr>
        <w:t>,</w:t>
      </w:r>
      <w:r w:rsidRPr="00CF66E7">
        <w:rPr>
          <w:i/>
          <w:iCs/>
          <w:color w:val="000000"/>
        </w:rPr>
        <w:t> 245</w:t>
      </w:r>
      <w:r w:rsidRPr="00CF66E7">
        <w:rPr>
          <w:color w:val="000000"/>
        </w:rPr>
        <w:t>, 106968. </w:t>
      </w:r>
      <w:hyperlink r:id="rId31" w:history="1">
        <w:r w:rsidRPr="00CF66E7">
          <w:rPr>
            <w:rStyle w:val="Hyperlink"/>
            <w:color w:val="005A84"/>
          </w:rPr>
          <w:t>https://doi.org/10.1016/j.ecss.2020.106968</w:t>
        </w:r>
      </w:hyperlink>
    </w:p>
    <w:p w14:paraId="43F949F1" w14:textId="77777777" w:rsidR="00CF66E7" w:rsidRPr="00CF66E7" w:rsidRDefault="00CF66E7" w:rsidP="00CF66E7">
      <w:pPr>
        <w:pStyle w:val="NormalWeb"/>
        <w:spacing w:after="0" w:afterAutospacing="0"/>
        <w:ind w:left="720" w:right="75" w:hanging="720"/>
        <w:rPr>
          <w:color w:val="000000"/>
        </w:rPr>
      </w:pPr>
      <w:r w:rsidRPr="00CF66E7">
        <w:rPr>
          <w:color w:val="000000"/>
        </w:rPr>
        <w:t>Germain, L. R., Koch, P. L., Harvey, J., &amp; McCarthy, M. D. (2013). Nitrogen isotope fractionation in amino acids from harbor seals: implications for compound-specific trophic position calculations. </w:t>
      </w:r>
      <w:r w:rsidRPr="00CF66E7">
        <w:rPr>
          <w:i/>
          <w:iCs/>
          <w:color w:val="000000"/>
        </w:rPr>
        <w:t>Marine ecology. Progress series (</w:t>
      </w:r>
      <w:proofErr w:type="spellStart"/>
      <w:r w:rsidRPr="00CF66E7">
        <w:rPr>
          <w:i/>
          <w:iCs/>
          <w:color w:val="000000"/>
        </w:rPr>
        <w:t>Halstenbek</w:t>
      </w:r>
      <w:proofErr w:type="spellEnd"/>
      <w:r w:rsidRPr="00CF66E7">
        <w:rPr>
          <w:i/>
          <w:iCs/>
          <w:color w:val="000000"/>
        </w:rPr>
        <w:t>)</w:t>
      </w:r>
      <w:r w:rsidRPr="00CF66E7">
        <w:rPr>
          <w:color w:val="000000"/>
        </w:rPr>
        <w:t>,</w:t>
      </w:r>
      <w:r w:rsidRPr="00CF66E7">
        <w:rPr>
          <w:i/>
          <w:iCs/>
          <w:color w:val="000000"/>
        </w:rPr>
        <w:t> 482</w:t>
      </w:r>
      <w:r w:rsidRPr="00CF66E7">
        <w:rPr>
          <w:color w:val="000000"/>
        </w:rPr>
        <w:t>, 265-277. </w:t>
      </w:r>
      <w:hyperlink r:id="rId32" w:history="1">
        <w:r w:rsidRPr="00CF66E7">
          <w:rPr>
            <w:rStyle w:val="Hyperlink"/>
            <w:color w:val="005A84"/>
          </w:rPr>
          <w:t>https://doi.org/10.3354/meps10257</w:t>
        </w:r>
      </w:hyperlink>
    </w:p>
    <w:p w14:paraId="4D966D1B" w14:textId="77777777" w:rsidR="00CF66E7" w:rsidRPr="00CF66E7" w:rsidRDefault="00CF66E7" w:rsidP="00CF66E7">
      <w:pPr>
        <w:pStyle w:val="NormalWeb"/>
        <w:spacing w:after="0" w:afterAutospacing="0"/>
        <w:ind w:left="720" w:right="75" w:hanging="720"/>
        <w:rPr>
          <w:color w:val="000000"/>
        </w:rPr>
      </w:pPr>
      <w:r w:rsidRPr="00CF66E7">
        <w:rPr>
          <w:color w:val="000000"/>
        </w:rPr>
        <w:t>Gu, B. (2009). Variations and Controls of Nitrogen Stable Isotopes in Particulate Organic Matter of Lakes. </w:t>
      </w:r>
      <w:proofErr w:type="spellStart"/>
      <w:r w:rsidRPr="00CF66E7">
        <w:rPr>
          <w:i/>
          <w:iCs/>
          <w:color w:val="000000"/>
        </w:rPr>
        <w:t>Oecologia</w:t>
      </w:r>
      <w:proofErr w:type="spellEnd"/>
      <w:r w:rsidRPr="00CF66E7">
        <w:rPr>
          <w:color w:val="000000"/>
        </w:rPr>
        <w:t>,</w:t>
      </w:r>
      <w:r w:rsidRPr="00CF66E7">
        <w:rPr>
          <w:i/>
          <w:iCs/>
          <w:color w:val="000000"/>
        </w:rPr>
        <w:t> 160</w:t>
      </w:r>
      <w:r w:rsidRPr="00CF66E7">
        <w:rPr>
          <w:color w:val="000000"/>
        </w:rPr>
        <w:t>(3), 421-431. </w:t>
      </w:r>
      <w:hyperlink r:id="rId33" w:history="1">
        <w:r w:rsidRPr="00CF66E7">
          <w:rPr>
            <w:rStyle w:val="Hyperlink"/>
            <w:color w:val="005A84"/>
          </w:rPr>
          <w:t>https://doi.org/10.1007/s00442-009-1323-z</w:t>
        </w:r>
      </w:hyperlink>
    </w:p>
    <w:p w14:paraId="1EE47463" w14:textId="77777777" w:rsidR="00CF66E7" w:rsidRPr="00CF66E7" w:rsidRDefault="00CF66E7" w:rsidP="00CF66E7">
      <w:pPr>
        <w:pStyle w:val="NormalWeb"/>
        <w:spacing w:after="0" w:afterAutospacing="0"/>
        <w:ind w:left="720" w:right="75" w:hanging="720"/>
        <w:rPr>
          <w:color w:val="000000"/>
        </w:rPr>
      </w:pPr>
      <w:r w:rsidRPr="00CF66E7">
        <w:rPr>
          <w:color w:val="000000"/>
        </w:rPr>
        <w:t>Gu, B., Schell, D. M., &amp; Alexander, V. (1994). Stable Carbon and Nitrogen Isotopic Analysis of the Plankton Food Web in a Subarctic Lake. </w:t>
      </w:r>
      <w:r w:rsidRPr="00CF66E7">
        <w:rPr>
          <w:i/>
          <w:iCs/>
          <w:color w:val="000000"/>
        </w:rPr>
        <w:t>Canadian journal of fisheries and aquatic sciences</w:t>
      </w:r>
      <w:r w:rsidRPr="00CF66E7">
        <w:rPr>
          <w:color w:val="000000"/>
        </w:rPr>
        <w:t>,</w:t>
      </w:r>
      <w:r w:rsidRPr="00CF66E7">
        <w:rPr>
          <w:i/>
          <w:iCs/>
          <w:color w:val="000000"/>
        </w:rPr>
        <w:t> 51</w:t>
      </w:r>
      <w:r w:rsidRPr="00CF66E7">
        <w:rPr>
          <w:color w:val="000000"/>
        </w:rPr>
        <w:t>(6), 1338-1344. </w:t>
      </w:r>
      <w:hyperlink r:id="rId34" w:history="1">
        <w:r w:rsidRPr="00CF66E7">
          <w:rPr>
            <w:rStyle w:val="Hyperlink"/>
            <w:color w:val="005A84"/>
          </w:rPr>
          <w:t>https://doi.org/10.1139/f94-133</w:t>
        </w:r>
      </w:hyperlink>
    </w:p>
    <w:p w14:paraId="3D51A9B2" w14:textId="77777777" w:rsidR="00CF66E7" w:rsidRPr="00CF66E7" w:rsidRDefault="00CF66E7" w:rsidP="00CF66E7">
      <w:pPr>
        <w:pStyle w:val="NormalWeb"/>
        <w:spacing w:after="0" w:afterAutospacing="0"/>
        <w:ind w:left="720" w:right="75" w:hanging="720"/>
        <w:rPr>
          <w:color w:val="000000"/>
        </w:rPr>
      </w:pPr>
      <w:proofErr w:type="spellStart"/>
      <w:r w:rsidRPr="00CF66E7">
        <w:rPr>
          <w:color w:val="000000"/>
        </w:rPr>
        <w:t>Hannides</w:t>
      </w:r>
      <w:proofErr w:type="spellEnd"/>
      <w:r w:rsidRPr="00CF66E7">
        <w:rPr>
          <w:color w:val="000000"/>
        </w:rPr>
        <w:t xml:space="preserve">, C. C. S., Popp, B. N., Choy, C. A., &amp; </w:t>
      </w:r>
      <w:proofErr w:type="spellStart"/>
      <w:r w:rsidRPr="00CF66E7">
        <w:rPr>
          <w:color w:val="000000"/>
        </w:rPr>
        <w:t>Drazen</w:t>
      </w:r>
      <w:proofErr w:type="spellEnd"/>
      <w:r w:rsidRPr="00CF66E7">
        <w:rPr>
          <w:color w:val="000000"/>
        </w:rPr>
        <w:t>, J. C. (2013). Midwater zooplankton and suspended particle dynamics in the North Pacific Subtropical Gyre: A stable isotope perspective. </w:t>
      </w:r>
      <w:r w:rsidRPr="00CF66E7">
        <w:rPr>
          <w:i/>
          <w:iCs/>
          <w:color w:val="000000"/>
        </w:rPr>
        <w:t>Limnology and oceanography</w:t>
      </w:r>
      <w:r w:rsidRPr="00CF66E7">
        <w:rPr>
          <w:color w:val="000000"/>
        </w:rPr>
        <w:t>,</w:t>
      </w:r>
      <w:r w:rsidRPr="00CF66E7">
        <w:rPr>
          <w:i/>
          <w:iCs/>
          <w:color w:val="000000"/>
        </w:rPr>
        <w:t> 58</w:t>
      </w:r>
      <w:r w:rsidRPr="00CF66E7">
        <w:rPr>
          <w:color w:val="000000"/>
        </w:rPr>
        <w:t>(6), 1931-1946. </w:t>
      </w:r>
      <w:hyperlink r:id="rId35" w:history="1">
        <w:r w:rsidRPr="00CF66E7">
          <w:rPr>
            <w:rStyle w:val="Hyperlink"/>
            <w:color w:val="005A84"/>
          </w:rPr>
          <w:t>https://doi.org/10.4319/lo.2013.58.6.1931</w:t>
        </w:r>
      </w:hyperlink>
    </w:p>
    <w:p w14:paraId="00E7E031" w14:textId="77777777" w:rsidR="00CF66E7" w:rsidRPr="00CF66E7" w:rsidRDefault="00CF66E7" w:rsidP="00CF66E7">
      <w:pPr>
        <w:pStyle w:val="NormalWeb"/>
        <w:spacing w:after="0" w:afterAutospacing="0"/>
        <w:ind w:left="720" w:right="75" w:hanging="720"/>
        <w:rPr>
          <w:color w:val="000000"/>
        </w:rPr>
      </w:pPr>
      <w:r w:rsidRPr="00CF66E7">
        <w:rPr>
          <w:color w:val="000000"/>
        </w:rPr>
        <w:t xml:space="preserve">Jardine, T. D., </w:t>
      </w:r>
      <w:proofErr w:type="spellStart"/>
      <w:r w:rsidRPr="00CF66E7">
        <w:rPr>
          <w:color w:val="000000"/>
        </w:rPr>
        <w:t>Hadwen</w:t>
      </w:r>
      <w:proofErr w:type="spellEnd"/>
      <w:r w:rsidRPr="00CF66E7">
        <w:rPr>
          <w:color w:val="000000"/>
        </w:rPr>
        <w:t xml:space="preserve">, W. L., Hamilton, S. K., </w:t>
      </w:r>
      <w:proofErr w:type="spellStart"/>
      <w:r w:rsidRPr="00CF66E7">
        <w:rPr>
          <w:color w:val="000000"/>
        </w:rPr>
        <w:t>Hladyz</w:t>
      </w:r>
      <w:proofErr w:type="spellEnd"/>
      <w:r w:rsidRPr="00CF66E7">
        <w:rPr>
          <w:color w:val="000000"/>
        </w:rPr>
        <w:t xml:space="preserve">, S., </w:t>
      </w:r>
      <w:proofErr w:type="spellStart"/>
      <w:r w:rsidRPr="00CF66E7">
        <w:rPr>
          <w:color w:val="000000"/>
        </w:rPr>
        <w:t>Mitrovic</w:t>
      </w:r>
      <w:proofErr w:type="spellEnd"/>
      <w:r w:rsidRPr="00CF66E7">
        <w:rPr>
          <w:color w:val="000000"/>
        </w:rPr>
        <w:t>, S. M., Kidd, K. A., . . . Bunn, S. E. (2014). UNDERSTANDING AND OVERCOMING BASELINE ISOTOPIC VARIABILITY IN RUNNING WATERS. </w:t>
      </w:r>
      <w:r w:rsidRPr="00CF66E7">
        <w:rPr>
          <w:i/>
          <w:iCs/>
          <w:color w:val="000000"/>
        </w:rPr>
        <w:t>River research and applications</w:t>
      </w:r>
      <w:r w:rsidRPr="00CF66E7">
        <w:rPr>
          <w:color w:val="000000"/>
        </w:rPr>
        <w:t>,</w:t>
      </w:r>
      <w:r w:rsidRPr="00CF66E7">
        <w:rPr>
          <w:i/>
          <w:iCs/>
          <w:color w:val="000000"/>
        </w:rPr>
        <w:t> 30</w:t>
      </w:r>
      <w:r w:rsidRPr="00CF66E7">
        <w:rPr>
          <w:color w:val="000000"/>
        </w:rPr>
        <w:t>(2), 155-165. </w:t>
      </w:r>
      <w:hyperlink r:id="rId36" w:history="1">
        <w:r w:rsidRPr="00CF66E7">
          <w:rPr>
            <w:rStyle w:val="Hyperlink"/>
            <w:color w:val="005A84"/>
          </w:rPr>
          <w:t>https://doi.org/10.1002/rra.2630</w:t>
        </w:r>
      </w:hyperlink>
    </w:p>
    <w:p w14:paraId="5A907910" w14:textId="77777777" w:rsidR="00CF66E7" w:rsidRPr="00CF66E7" w:rsidRDefault="00CF66E7" w:rsidP="00CF66E7">
      <w:pPr>
        <w:pStyle w:val="NormalWeb"/>
        <w:spacing w:after="0" w:afterAutospacing="0"/>
        <w:ind w:left="720" w:right="75" w:hanging="720"/>
        <w:rPr>
          <w:color w:val="000000"/>
        </w:rPr>
      </w:pPr>
      <w:proofErr w:type="spellStart"/>
      <w:r w:rsidRPr="00CF66E7">
        <w:rPr>
          <w:color w:val="000000"/>
        </w:rPr>
        <w:t>Khangaonkar</w:t>
      </w:r>
      <w:proofErr w:type="spellEnd"/>
      <w:r w:rsidRPr="00CF66E7">
        <w:rPr>
          <w:color w:val="000000"/>
        </w:rPr>
        <w:t xml:space="preserve">, T., </w:t>
      </w:r>
      <w:proofErr w:type="spellStart"/>
      <w:r w:rsidRPr="00CF66E7">
        <w:rPr>
          <w:color w:val="000000"/>
        </w:rPr>
        <w:t>Nugraha</w:t>
      </w:r>
      <w:proofErr w:type="spellEnd"/>
      <w:r w:rsidRPr="00CF66E7">
        <w:rPr>
          <w:color w:val="000000"/>
        </w:rPr>
        <w:t xml:space="preserve">, A., Xu, W., &amp; </w:t>
      </w:r>
      <w:proofErr w:type="spellStart"/>
      <w:r w:rsidRPr="00CF66E7">
        <w:rPr>
          <w:color w:val="000000"/>
        </w:rPr>
        <w:t>Balaguru</w:t>
      </w:r>
      <w:proofErr w:type="spellEnd"/>
      <w:r w:rsidRPr="00CF66E7">
        <w:rPr>
          <w:color w:val="000000"/>
        </w:rPr>
        <w:t>, K. (2019). Salish Sea Response to Global Climate Change, Sea Level Rise, and Future Nutrient Loads. </w:t>
      </w:r>
      <w:r w:rsidRPr="00CF66E7">
        <w:rPr>
          <w:i/>
          <w:iCs/>
          <w:color w:val="000000"/>
        </w:rPr>
        <w:t>Journal of geophysical research. Oceans</w:t>
      </w:r>
      <w:r w:rsidRPr="00CF66E7">
        <w:rPr>
          <w:color w:val="000000"/>
        </w:rPr>
        <w:t>,</w:t>
      </w:r>
      <w:r w:rsidRPr="00CF66E7">
        <w:rPr>
          <w:i/>
          <w:iCs/>
          <w:color w:val="000000"/>
        </w:rPr>
        <w:t> 124</w:t>
      </w:r>
      <w:r w:rsidRPr="00CF66E7">
        <w:rPr>
          <w:color w:val="000000"/>
        </w:rPr>
        <w:t>(6), 3876-3904. </w:t>
      </w:r>
      <w:hyperlink r:id="rId37" w:history="1">
        <w:r w:rsidRPr="00CF66E7">
          <w:rPr>
            <w:rStyle w:val="Hyperlink"/>
            <w:color w:val="005A84"/>
          </w:rPr>
          <w:t>https://doi.org/10.1029/2018JC014670</w:t>
        </w:r>
      </w:hyperlink>
    </w:p>
    <w:p w14:paraId="73813CAB" w14:textId="77777777" w:rsidR="00CF66E7" w:rsidRPr="00CF66E7" w:rsidRDefault="00CF66E7" w:rsidP="00CF66E7">
      <w:pPr>
        <w:pStyle w:val="NormalWeb"/>
        <w:spacing w:after="0" w:afterAutospacing="0"/>
        <w:ind w:left="720" w:right="75" w:hanging="720"/>
        <w:rPr>
          <w:color w:val="000000"/>
        </w:rPr>
      </w:pPr>
      <w:proofErr w:type="spellStart"/>
      <w:r w:rsidRPr="00CF66E7">
        <w:rPr>
          <w:color w:val="000000"/>
        </w:rPr>
        <w:t>Kjeldgaard</w:t>
      </w:r>
      <w:proofErr w:type="spellEnd"/>
      <w:r w:rsidRPr="00CF66E7">
        <w:rPr>
          <w:color w:val="000000"/>
        </w:rPr>
        <w:t>, M. K., Hewlett, J. A., &amp; Eubanks, M. D. (2021). Widespread variation in stable isotope trophic position estimates: patterns, causes, and potential consequences. </w:t>
      </w:r>
      <w:r w:rsidRPr="00CF66E7">
        <w:rPr>
          <w:i/>
          <w:iCs/>
          <w:color w:val="000000"/>
        </w:rPr>
        <w:t>Ecological monographs</w:t>
      </w:r>
      <w:r w:rsidRPr="00CF66E7">
        <w:rPr>
          <w:color w:val="000000"/>
        </w:rPr>
        <w:t>,</w:t>
      </w:r>
      <w:r w:rsidRPr="00CF66E7">
        <w:rPr>
          <w:i/>
          <w:iCs/>
          <w:color w:val="000000"/>
        </w:rPr>
        <w:t> 91</w:t>
      </w:r>
      <w:r w:rsidRPr="00CF66E7">
        <w:rPr>
          <w:color w:val="000000"/>
        </w:rPr>
        <w:t>(3), n/a. </w:t>
      </w:r>
      <w:hyperlink r:id="rId38" w:history="1">
        <w:r w:rsidRPr="00CF66E7">
          <w:rPr>
            <w:rStyle w:val="Hyperlink"/>
            <w:color w:val="005A84"/>
          </w:rPr>
          <w:t>https://doi.org/10.1002/ecm.1451</w:t>
        </w:r>
      </w:hyperlink>
    </w:p>
    <w:p w14:paraId="400159F7" w14:textId="77777777" w:rsidR="00CF66E7" w:rsidRPr="00CF66E7" w:rsidRDefault="00CF66E7" w:rsidP="00CF66E7">
      <w:pPr>
        <w:pStyle w:val="NormalWeb"/>
        <w:spacing w:after="0" w:afterAutospacing="0"/>
        <w:ind w:left="720" w:right="75" w:hanging="720"/>
        <w:rPr>
          <w:color w:val="000000"/>
        </w:rPr>
      </w:pPr>
      <w:proofErr w:type="spellStart"/>
      <w:r w:rsidRPr="00CF66E7">
        <w:rPr>
          <w:color w:val="000000"/>
        </w:rPr>
        <w:lastRenderedPageBreak/>
        <w:t>Kolzau</w:t>
      </w:r>
      <w:proofErr w:type="spellEnd"/>
      <w:r w:rsidRPr="00CF66E7">
        <w:rPr>
          <w:color w:val="000000"/>
        </w:rPr>
        <w:t xml:space="preserve">, S., </w:t>
      </w:r>
      <w:proofErr w:type="spellStart"/>
      <w:r w:rsidRPr="00CF66E7">
        <w:rPr>
          <w:color w:val="000000"/>
        </w:rPr>
        <w:t>Wiedner</w:t>
      </w:r>
      <w:proofErr w:type="spellEnd"/>
      <w:r w:rsidRPr="00CF66E7">
        <w:rPr>
          <w:color w:val="000000"/>
        </w:rPr>
        <w:t xml:space="preserve">, C., </w:t>
      </w:r>
      <w:proofErr w:type="spellStart"/>
      <w:r w:rsidRPr="00CF66E7">
        <w:rPr>
          <w:color w:val="000000"/>
        </w:rPr>
        <w:t>Rücker</w:t>
      </w:r>
      <w:proofErr w:type="spellEnd"/>
      <w:r w:rsidRPr="00CF66E7">
        <w:rPr>
          <w:color w:val="000000"/>
        </w:rPr>
        <w:t>, J., Köhler, J., Köhler, A., &amp; Dolman, A. M. (2014). Seasonal patterns of nitrogen and phosphorus limitation in four German lakes and the predictability of limitation status from ambient nutrient concentrations. </w:t>
      </w:r>
      <w:proofErr w:type="spellStart"/>
      <w:r w:rsidRPr="00CF66E7">
        <w:rPr>
          <w:i/>
          <w:iCs/>
          <w:color w:val="000000"/>
        </w:rPr>
        <w:t>PloS</w:t>
      </w:r>
      <w:proofErr w:type="spellEnd"/>
      <w:r w:rsidRPr="00CF66E7">
        <w:rPr>
          <w:i/>
          <w:iCs/>
          <w:color w:val="000000"/>
        </w:rPr>
        <w:t xml:space="preserve"> one</w:t>
      </w:r>
      <w:r w:rsidRPr="00CF66E7">
        <w:rPr>
          <w:color w:val="000000"/>
        </w:rPr>
        <w:t>,</w:t>
      </w:r>
      <w:r w:rsidRPr="00CF66E7">
        <w:rPr>
          <w:i/>
          <w:iCs/>
          <w:color w:val="000000"/>
        </w:rPr>
        <w:t> 9</w:t>
      </w:r>
      <w:r w:rsidRPr="00CF66E7">
        <w:rPr>
          <w:color w:val="000000"/>
        </w:rPr>
        <w:t>(4), e96065-e96065. </w:t>
      </w:r>
      <w:hyperlink r:id="rId39" w:history="1">
        <w:r w:rsidRPr="00CF66E7">
          <w:rPr>
            <w:rStyle w:val="Hyperlink"/>
            <w:color w:val="005A84"/>
          </w:rPr>
          <w:t>https://doi.org/10.1371/journal.pone.0096065</w:t>
        </w:r>
      </w:hyperlink>
    </w:p>
    <w:p w14:paraId="0EE53DAA" w14:textId="77777777" w:rsidR="00CF66E7" w:rsidRPr="00CF66E7" w:rsidRDefault="00CF66E7" w:rsidP="00CF66E7">
      <w:pPr>
        <w:pStyle w:val="NormalWeb"/>
        <w:spacing w:after="0" w:afterAutospacing="0"/>
        <w:ind w:left="720" w:right="75" w:hanging="720"/>
        <w:rPr>
          <w:color w:val="000000"/>
        </w:rPr>
      </w:pPr>
      <w:r w:rsidRPr="00CF66E7">
        <w:rPr>
          <w:color w:val="000000"/>
        </w:rPr>
        <w:t xml:space="preserve">Lorrain, A., Graham, B. S., Popp, B. N., Allain, V., Olson, R. J., Hunt, B. P. V., . . . </w:t>
      </w:r>
      <w:proofErr w:type="spellStart"/>
      <w:r w:rsidRPr="00CF66E7">
        <w:rPr>
          <w:color w:val="000000"/>
        </w:rPr>
        <w:t>Ménard</w:t>
      </w:r>
      <w:proofErr w:type="spellEnd"/>
      <w:r w:rsidRPr="00CF66E7">
        <w:rPr>
          <w:color w:val="000000"/>
        </w:rPr>
        <w:t>, F. (2015). Nitrogen isotopic baselines and implications for estimating foraging habitat and trophic position of yellowfin tuna in the Indian and Pacific Oceans. </w:t>
      </w:r>
      <w:r w:rsidRPr="00CF66E7">
        <w:rPr>
          <w:i/>
          <w:iCs/>
          <w:color w:val="000000"/>
        </w:rPr>
        <w:t>Deep-sea research. Part II, Topical studies in oceanography</w:t>
      </w:r>
      <w:r w:rsidRPr="00CF66E7">
        <w:rPr>
          <w:color w:val="000000"/>
        </w:rPr>
        <w:t>,</w:t>
      </w:r>
      <w:r w:rsidRPr="00CF66E7">
        <w:rPr>
          <w:i/>
          <w:iCs/>
          <w:color w:val="000000"/>
        </w:rPr>
        <w:t> 113</w:t>
      </w:r>
      <w:r w:rsidRPr="00CF66E7">
        <w:rPr>
          <w:color w:val="000000"/>
        </w:rPr>
        <w:t>, 188-198. </w:t>
      </w:r>
      <w:hyperlink r:id="rId40" w:history="1">
        <w:r w:rsidRPr="00CF66E7">
          <w:rPr>
            <w:rStyle w:val="Hyperlink"/>
            <w:color w:val="005A84"/>
          </w:rPr>
          <w:t>https://doi.org/10.1016/j.dsr2.2014.02.003</w:t>
        </w:r>
      </w:hyperlink>
    </w:p>
    <w:p w14:paraId="0B7B4993" w14:textId="77777777" w:rsidR="00CF66E7" w:rsidRPr="00CF66E7" w:rsidRDefault="00CF66E7" w:rsidP="00CF66E7">
      <w:pPr>
        <w:pStyle w:val="NormalWeb"/>
        <w:spacing w:after="0" w:afterAutospacing="0"/>
        <w:ind w:left="720" w:right="75" w:hanging="720"/>
        <w:rPr>
          <w:color w:val="000000"/>
        </w:rPr>
      </w:pPr>
      <w:proofErr w:type="spellStart"/>
      <w:r w:rsidRPr="00CF66E7">
        <w:rPr>
          <w:color w:val="000000"/>
        </w:rPr>
        <w:t>Mancinelli</w:t>
      </w:r>
      <w:proofErr w:type="spellEnd"/>
      <w:r w:rsidRPr="00CF66E7">
        <w:rPr>
          <w:color w:val="000000"/>
        </w:rPr>
        <w:t xml:space="preserve">, G., </w:t>
      </w:r>
      <w:proofErr w:type="spellStart"/>
      <w:r w:rsidRPr="00CF66E7">
        <w:rPr>
          <w:color w:val="000000"/>
        </w:rPr>
        <w:t>Vizzini</w:t>
      </w:r>
      <w:proofErr w:type="spellEnd"/>
      <w:r w:rsidRPr="00CF66E7">
        <w:rPr>
          <w:color w:val="000000"/>
        </w:rPr>
        <w:t xml:space="preserve">, S., Mazzola, A., Maci, S., &amp; Basset, A. (2013). Cross-validation of δ15N and </w:t>
      </w:r>
      <w:proofErr w:type="spellStart"/>
      <w:r w:rsidRPr="00CF66E7">
        <w:rPr>
          <w:color w:val="000000"/>
        </w:rPr>
        <w:t>FishBase</w:t>
      </w:r>
      <w:proofErr w:type="spellEnd"/>
      <w:r w:rsidRPr="00CF66E7">
        <w:rPr>
          <w:color w:val="000000"/>
        </w:rPr>
        <w:t xml:space="preserve"> estimates of fish trophic position in a Mediterranean lagoon: The importance of the isotopic baseline. </w:t>
      </w:r>
      <w:r w:rsidRPr="00CF66E7">
        <w:rPr>
          <w:i/>
          <w:iCs/>
          <w:color w:val="000000"/>
        </w:rPr>
        <w:t>Estuarine, coastal and shelf science</w:t>
      </w:r>
      <w:r w:rsidRPr="00CF66E7">
        <w:rPr>
          <w:color w:val="000000"/>
        </w:rPr>
        <w:t>,</w:t>
      </w:r>
      <w:r w:rsidRPr="00CF66E7">
        <w:rPr>
          <w:i/>
          <w:iCs/>
          <w:color w:val="000000"/>
        </w:rPr>
        <w:t> 135</w:t>
      </w:r>
      <w:r w:rsidRPr="00CF66E7">
        <w:rPr>
          <w:color w:val="000000"/>
        </w:rPr>
        <w:t>, 77-85. </w:t>
      </w:r>
      <w:hyperlink r:id="rId41" w:history="1">
        <w:r w:rsidRPr="00CF66E7">
          <w:rPr>
            <w:rStyle w:val="Hyperlink"/>
            <w:color w:val="005A84"/>
          </w:rPr>
          <w:t>https://doi.org/10.1016/j.ecss.2013.04.004</w:t>
        </w:r>
      </w:hyperlink>
    </w:p>
    <w:p w14:paraId="13C24354" w14:textId="77777777" w:rsidR="00CF66E7" w:rsidRPr="00CF66E7" w:rsidRDefault="00CF66E7" w:rsidP="00CF66E7">
      <w:pPr>
        <w:pStyle w:val="NormalWeb"/>
        <w:spacing w:after="0" w:afterAutospacing="0"/>
        <w:ind w:left="720" w:right="75" w:hanging="720"/>
        <w:rPr>
          <w:color w:val="000000"/>
        </w:rPr>
      </w:pPr>
      <w:r w:rsidRPr="00CF66E7">
        <w:rPr>
          <w:color w:val="000000"/>
        </w:rPr>
        <w:t xml:space="preserve">Martinez del Rio, C., Wolf, N., Carleton, S. A., &amp; </w:t>
      </w:r>
      <w:proofErr w:type="spellStart"/>
      <w:r w:rsidRPr="00CF66E7">
        <w:rPr>
          <w:color w:val="000000"/>
        </w:rPr>
        <w:t>Gannes</w:t>
      </w:r>
      <w:proofErr w:type="spellEnd"/>
      <w:r w:rsidRPr="00CF66E7">
        <w:rPr>
          <w:color w:val="000000"/>
        </w:rPr>
        <w:t>, L. Z. (2009). Isotopic ecology ten years after a call for more laboratory experiments. </w:t>
      </w:r>
      <w:r w:rsidRPr="00CF66E7">
        <w:rPr>
          <w:i/>
          <w:iCs/>
          <w:color w:val="000000"/>
        </w:rPr>
        <w:t>Biological reviews of the Cambridge Philosophical Society</w:t>
      </w:r>
      <w:r w:rsidRPr="00CF66E7">
        <w:rPr>
          <w:color w:val="000000"/>
        </w:rPr>
        <w:t>,</w:t>
      </w:r>
      <w:r w:rsidRPr="00CF66E7">
        <w:rPr>
          <w:i/>
          <w:iCs/>
          <w:color w:val="000000"/>
        </w:rPr>
        <w:t> 84</w:t>
      </w:r>
      <w:r w:rsidRPr="00CF66E7">
        <w:rPr>
          <w:color w:val="000000"/>
        </w:rPr>
        <w:t>(1), 91-111. </w:t>
      </w:r>
      <w:hyperlink r:id="rId42" w:history="1">
        <w:r w:rsidRPr="00CF66E7">
          <w:rPr>
            <w:rStyle w:val="Hyperlink"/>
            <w:color w:val="005A84"/>
          </w:rPr>
          <w:t>https://doi.org/10.1111/j.1469-185X.2008.00064.x</w:t>
        </w:r>
      </w:hyperlink>
    </w:p>
    <w:p w14:paraId="1E9DA677" w14:textId="77777777" w:rsidR="00CF66E7" w:rsidRPr="00CF66E7" w:rsidRDefault="00CF66E7" w:rsidP="00CF66E7">
      <w:pPr>
        <w:pStyle w:val="NormalWeb"/>
        <w:spacing w:after="0" w:afterAutospacing="0"/>
        <w:ind w:left="720" w:right="75" w:hanging="720"/>
        <w:rPr>
          <w:color w:val="000000"/>
        </w:rPr>
      </w:pPr>
      <w:r w:rsidRPr="00CF66E7">
        <w:rPr>
          <w:color w:val="000000"/>
        </w:rPr>
        <w:t xml:space="preserve">Matthews, B., &amp; </w:t>
      </w:r>
      <w:proofErr w:type="spellStart"/>
      <w:r w:rsidRPr="00CF66E7">
        <w:rPr>
          <w:color w:val="000000"/>
        </w:rPr>
        <w:t>Mazumder</w:t>
      </w:r>
      <w:proofErr w:type="spellEnd"/>
      <w:r w:rsidRPr="00CF66E7">
        <w:rPr>
          <w:color w:val="000000"/>
        </w:rPr>
        <w:t>, A. (2007). Distinguishing trophic variation from seasonal and size-based isotopic (15N) variation of zooplankton. </w:t>
      </w:r>
      <w:r w:rsidRPr="00CF66E7">
        <w:rPr>
          <w:i/>
          <w:iCs/>
          <w:color w:val="000000"/>
        </w:rPr>
        <w:t>Canadian journal of fisheries and aquatic sciences</w:t>
      </w:r>
      <w:r w:rsidRPr="00CF66E7">
        <w:rPr>
          <w:color w:val="000000"/>
        </w:rPr>
        <w:t>,</w:t>
      </w:r>
      <w:r w:rsidRPr="00CF66E7">
        <w:rPr>
          <w:i/>
          <w:iCs/>
          <w:color w:val="000000"/>
        </w:rPr>
        <w:t> 64</w:t>
      </w:r>
      <w:r w:rsidRPr="00CF66E7">
        <w:rPr>
          <w:color w:val="000000"/>
        </w:rPr>
        <w:t>(1), 74-83. </w:t>
      </w:r>
      <w:hyperlink r:id="rId43" w:history="1">
        <w:r w:rsidRPr="00CF66E7">
          <w:rPr>
            <w:rStyle w:val="Hyperlink"/>
            <w:color w:val="005A84"/>
          </w:rPr>
          <w:t>https://doi.org/10.1139/f06-168</w:t>
        </w:r>
      </w:hyperlink>
    </w:p>
    <w:p w14:paraId="2107D882" w14:textId="77777777" w:rsidR="00CF66E7" w:rsidRPr="00CF66E7" w:rsidRDefault="00CF66E7" w:rsidP="00CF66E7">
      <w:pPr>
        <w:pStyle w:val="NormalWeb"/>
        <w:spacing w:after="0" w:afterAutospacing="0"/>
        <w:ind w:left="720" w:right="75" w:hanging="720"/>
        <w:rPr>
          <w:color w:val="000000"/>
        </w:rPr>
      </w:pPr>
      <w:r w:rsidRPr="00CF66E7">
        <w:rPr>
          <w:color w:val="000000"/>
        </w:rPr>
        <w:t>McCarthy, M. D., Benner, R., Lee, C., &amp; Fogel, M. L. (2007). Amino acid nitrogen isotopic fractionation patterns as indicators of heterotrophy in plankton, particulate, and dissolved organic matter. </w:t>
      </w:r>
      <w:proofErr w:type="spellStart"/>
      <w:r w:rsidRPr="00CF66E7">
        <w:rPr>
          <w:i/>
          <w:iCs/>
          <w:color w:val="000000"/>
        </w:rPr>
        <w:t>Geochimica</w:t>
      </w:r>
      <w:proofErr w:type="spellEnd"/>
      <w:r w:rsidRPr="00CF66E7">
        <w:rPr>
          <w:i/>
          <w:iCs/>
          <w:color w:val="000000"/>
        </w:rPr>
        <w:t xml:space="preserve"> et </w:t>
      </w:r>
      <w:proofErr w:type="spellStart"/>
      <w:r w:rsidRPr="00CF66E7">
        <w:rPr>
          <w:i/>
          <w:iCs/>
          <w:color w:val="000000"/>
        </w:rPr>
        <w:t>cosmochimica</w:t>
      </w:r>
      <w:proofErr w:type="spellEnd"/>
      <w:r w:rsidRPr="00CF66E7">
        <w:rPr>
          <w:i/>
          <w:iCs/>
          <w:color w:val="000000"/>
        </w:rPr>
        <w:t xml:space="preserve"> acta</w:t>
      </w:r>
      <w:r w:rsidRPr="00CF66E7">
        <w:rPr>
          <w:color w:val="000000"/>
        </w:rPr>
        <w:t>,</w:t>
      </w:r>
      <w:r w:rsidRPr="00CF66E7">
        <w:rPr>
          <w:i/>
          <w:iCs/>
          <w:color w:val="000000"/>
        </w:rPr>
        <w:t> 71</w:t>
      </w:r>
      <w:r w:rsidRPr="00CF66E7">
        <w:rPr>
          <w:color w:val="000000"/>
        </w:rPr>
        <w:t>(19), 4727-4744. </w:t>
      </w:r>
      <w:hyperlink r:id="rId44" w:history="1">
        <w:r w:rsidRPr="00CF66E7">
          <w:rPr>
            <w:rStyle w:val="Hyperlink"/>
            <w:color w:val="005A84"/>
          </w:rPr>
          <w:t>https://doi.org/10.1016/j.gca.2007.06.061</w:t>
        </w:r>
      </w:hyperlink>
    </w:p>
    <w:p w14:paraId="4509AC52" w14:textId="77777777" w:rsidR="00CF66E7" w:rsidRPr="00CF66E7" w:rsidRDefault="00CF66E7" w:rsidP="00CF66E7">
      <w:pPr>
        <w:pStyle w:val="NormalWeb"/>
        <w:spacing w:after="0" w:afterAutospacing="0"/>
        <w:ind w:left="720" w:right="75" w:hanging="720"/>
        <w:rPr>
          <w:color w:val="000000"/>
        </w:rPr>
      </w:pPr>
      <w:r w:rsidRPr="00CF66E7">
        <w:rPr>
          <w:color w:val="000000"/>
        </w:rPr>
        <w:t xml:space="preserve">McClelland, J. W., </w:t>
      </w:r>
      <w:proofErr w:type="spellStart"/>
      <w:r w:rsidRPr="00CF66E7">
        <w:rPr>
          <w:color w:val="000000"/>
        </w:rPr>
        <w:t>Holl</w:t>
      </w:r>
      <w:proofErr w:type="spellEnd"/>
      <w:r w:rsidRPr="00CF66E7">
        <w:rPr>
          <w:color w:val="000000"/>
        </w:rPr>
        <w:t>, C. M., &amp; Montoya, J. P. (2003). Relating low δ15N values of zooplankton to N2-fixation in the tropical North Atlantic: insights provided by stable isotope ratios of amino acids. </w:t>
      </w:r>
      <w:r w:rsidRPr="00CF66E7">
        <w:rPr>
          <w:i/>
          <w:iCs/>
          <w:color w:val="000000"/>
        </w:rPr>
        <w:t>Deep-sea research. Part I, Oceanographic research papers</w:t>
      </w:r>
      <w:r w:rsidRPr="00CF66E7">
        <w:rPr>
          <w:color w:val="000000"/>
        </w:rPr>
        <w:t>,</w:t>
      </w:r>
      <w:r w:rsidRPr="00CF66E7">
        <w:rPr>
          <w:i/>
          <w:iCs/>
          <w:color w:val="000000"/>
        </w:rPr>
        <w:t> 50</w:t>
      </w:r>
      <w:r w:rsidRPr="00CF66E7">
        <w:rPr>
          <w:color w:val="000000"/>
        </w:rPr>
        <w:t>(7), 849-861. </w:t>
      </w:r>
      <w:hyperlink r:id="rId45" w:history="1">
        <w:r w:rsidRPr="00CF66E7">
          <w:rPr>
            <w:rStyle w:val="Hyperlink"/>
            <w:color w:val="005A84"/>
          </w:rPr>
          <w:t>https://doi.org/10.1016/S0967-0637(03)00073-6</w:t>
        </w:r>
      </w:hyperlink>
    </w:p>
    <w:p w14:paraId="1F24AF5E" w14:textId="77777777" w:rsidR="00CF66E7" w:rsidRPr="00CF66E7" w:rsidRDefault="00CF66E7" w:rsidP="00CF66E7">
      <w:pPr>
        <w:pStyle w:val="NormalWeb"/>
        <w:spacing w:after="0" w:afterAutospacing="0"/>
        <w:ind w:left="720" w:right="75" w:hanging="720"/>
        <w:rPr>
          <w:color w:val="000000"/>
        </w:rPr>
      </w:pPr>
      <w:proofErr w:type="spellStart"/>
      <w:r w:rsidRPr="00CF66E7">
        <w:rPr>
          <w:color w:val="000000"/>
        </w:rPr>
        <w:t>McCrackin</w:t>
      </w:r>
      <w:proofErr w:type="spellEnd"/>
      <w:r w:rsidRPr="00CF66E7">
        <w:rPr>
          <w:color w:val="000000"/>
        </w:rPr>
        <w:t>, M. L., Jones, H. P., Jones, P. C., &amp; Moreno</w:t>
      </w:r>
      <w:r w:rsidRPr="00CF66E7">
        <w:rPr>
          <w:rFonts w:ascii="Cambria Math" w:hAnsi="Cambria Math" w:cs="Cambria Math"/>
          <w:color w:val="000000"/>
        </w:rPr>
        <w:t>‐</w:t>
      </w:r>
      <w:proofErr w:type="spellStart"/>
      <w:r w:rsidRPr="00CF66E7">
        <w:rPr>
          <w:color w:val="000000"/>
        </w:rPr>
        <w:t>Mateos</w:t>
      </w:r>
      <w:proofErr w:type="spellEnd"/>
      <w:r w:rsidRPr="00CF66E7">
        <w:rPr>
          <w:color w:val="000000"/>
        </w:rPr>
        <w:t>, D. (2017). Recovery of lakes and coastal marine ecosystems from eutrophication: A global meta-analysis. </w:t>
      </w:r>
      <w:r w:rsidRPr="00CF66E7">
        <w:rPr>
          <w:i/>
          <w:iCs/>
          <w:color w:val="000000"/>
        </w:rPr>
        <w:t>Limnology and oceanography</w:t>
      </w:r>
      <w:r w:rsidRPr="00CF66E7">
        <w:rPr>
          <w:color w:val="000000"/>
        </w:rPr>
        <w:t>,</w:t>
      </w:r>
      <w:r w:rsidRPr="00CF66E7">
        <w:rPr>
          <w:i/>
          <w:iCs/>
          <w:color w:val="000000"/>
        </w:rPr>
        <w:t> 62</w:t>
      </w:r>
      <w:r w:rsidRPr="00CF66E7">
        <w:rPr>
          <w:color w:val="000000"/>
        </w:rPr>
        <w:t>(2), 507-518. </w:t>
      </w:r>
      <w:hyperlink r:id="rId46" w:history="1">
        <w:r w:rsidRPr="00CF66E7">
          <w:rPr>
            <w:rStyle w:val="Hyperlink"/>
            <w:color w:val="005A84"/>
          </w:rPr>
          <w:t>https://doi.org/10.1002/lno.10441</w:t>
        </w:r>
      </w:hyperlink>
    </w:p>
    <w:p w14:paraId="5D685A00" w14:textId="77777777" w:rsidR="00CF66E7" w:rsidRPr="00CF66E7" w:rsidRDefault="00CF66E7" w:rsidP="00CF66E7">
      <w:pPr>
        <w:pStyle w:val="NormalWeb"/>
        <w:spacing w:after="0" w:afterAutospacing="0"/>
        <w:ind w:left="720" w:right="75" w:hanging="720"/>
        <w:rPr>
          <w:color w:val="000000"/>
        </w:rPr>
      </w:pPr>
      <w:r w:rsidRPr="00CF66E7">
        <w:rPr>
          <w:color w:val="000000"/>
        </w:rPr>
        <w:t xml:space="preserve">McMahon, K. W., </w:t>
      </w:r>
      <w:proofErr w:type="spellStart"/>
      <w:r w:rsidRPr="00CF66E7">
        <w:rPr>
          <w:color w:val="000000"/>
        </w:rPr>
        <w:t>Polito</w:t>
      </w:r>
      <w:proofErr w:type="spellEnd"/>
      <w:r w:rsidRPr="00CF66E7">
        <w:rPr>
          <w:color w:val="000000"/>
        </w:rPr>
        <w:t xml:space="preserve">, M. J., Abel, S., McCarthy, M. D., &amp; </w:t>
      </w:r>
      <w:proofErr w:type="spellStart"/>
      <w:r w:rsidRPr="00CF66E7">
        <w:rPr>
          <w:color w:val="000000"/>
        </w:rPr>
        <w:t>Thorrold</w:t>
      </w:r>
      <w:proofErr w:type="spellEnd"/>
      <w:r w:rsidRPr="00CF66E7">
        <w:rPr>
          <w:color w:val="000000"/>
        </w:rPr>
        <w:t xml:space="preserve">, S. R. (2015). Carbon and nitrogen isotope fractionation of amino acids in an avian marine predator, the </w:t>
      </w:r>
      <w:proofErr w:type="spellStart"/>
      <w:r w:rsidRPr="00CF66E7">
        <w:rPr>
          <w:color w:val="000000"/>
        </w:rPr>
        <w:t>gentoo</w:t>
      </w:r>
      <w:proofErr w:type="spellEnd"/>
      <w:r w:rsidRPr="00CF66E7">
        <w:rPr>
          <w:color w:val="000000"/>
        </w:rPr>
        <w:t xml:space="preserve"> penguin (</w:t>
      </w:r>
      <w:proofErr w:type="spellStart"/>
      <w:r w:rsidRPr="00CF66E7">
        <w:rPr>
          <w:color w:val="000000"/>
        </w:rPr>
        <w:t>Pygoscelis</w:t>
      </w:r>
      <w:proofErr w:type="spellEnd"/>
      <w:r w:rsidRPr="00CF66E7">
        <w:rPr>
          <w:color w:val="000000"/>
        </w:rPr>
        <w:t xml:space="preserve"> </w:t>
      </w:r>
      <w:proofErr w:type="spellStart"/>
      <w:r w:rsidRPr="00CF66E7">
        <w:rPr>
          <w:color w:val="000000"/>
        </w:rPr>
        <w:t>papua</w:t>
      </w:r>
      <w:proofErr w:type="spellEnd"/>
      <w:r w:rsidRPr="00CF66E7">
        <w:rPr>
          <w:color w:val="000000"/>
        </w:rPr>
        <w:t>). </w:t>
      </w:r>
      <w:r w:rsidRPr="00CF66E7">
        <w:rPr>
          <w:i/>
          <w:iCs/>
          <w:color w:val="000000"/>
        </w:rPr>
        <w:t>Ecology and evolution</w:t>
      </w:r>
      <w:r w:rsidRPr="00CF66E7">
        <w:rPr>
          <w:color w:val="000000"/>
        </w:rPr>
        <w:t>,</w:t>
      </w:r>
      <w:r w:rsidRPr="00CF66E7">
        <w:rPr>
          <w:i/>
          <w:iCs/>
          <w:color w:val="000000"/>
        </w:rPr>
        <w:t> 5</w:t>
      </w:r>
      <w:r w:rsidRPr="00CF66E7">
        <w:rPr>
          <w:color w:val="000000"/>
        </w:rPr>
        <w:t>(6), 1278-1290. </w:t>
      </w:r>
      <w:hyperlink r:id="rId47" w:history="1">
        <w:r w:rsidRPr="00CF66E7">
          <w:rPr>
            <w:rStyle w:val="Hyperlink"/>
            <w:color w:val="005A84"/>
          </w:rPr>
          <w:t>https://doi.org/10.1002/ece3.1437</w:t>
        </w:r>
      </w:hyperlink>
    </w:p>
    <w:p w14:paraId="07519C54" w14:textId="77777777" w:rsidR="00CF66E7" w:rsidRPr="00CF66E7" w:rsidRDefault="00CF66E7" w:rsidP="00CF66E7">
      <w:pPr>
        <w:pStyle w:val="NormalWeb"/>
        <w:spacing w:after="0" w:afterAutospacing="0"/>
        <w:ind w:left="720" w:right="75" w:hanging="720"/>
        <w:rPr>
          <w:color w:val="000000"/>
        </w:rPr>
      </w:pPr>
      <w:proofErr w:type="spellStart"/>
      <w:r w:rsidRPr="00CF66E7">
        <w:rPr>
          <w:color w:val="000000"/>
        </w:rPr>
        <w:t>McMeans</w:t>
      </w:r>
      <w:proofErr w:type="spellEnd"/>
      <w:r w:rsidRPr="00CF66E7">
        <w:rPr>
          <w:color w:val="000000"/>
        </w:rPr>
        <w:t>, B. C., McCann, K. S., Humphries, M., Rooney, N., &amp; Fisk, A. T. (2015). Food Web Structure in Temporally-Forced Ecosystems. </w:t>
      </w:r>
      <w:r w:rsidRPr="00CF66E7">
        <w:rPr>
          <w:i/>
          <w:iCs/>
          <w:color w:val="000000"/>
        </w:rPr>
        <w:t>Trends in ecology &amp; evolution (Amsterdam)</w:t>
      </w:r>
      <w:r w:rsidRPr="00CF66E7">
        <w:rPr>
          <w:color w:val="000000"/>
        </w:rPr>
        <w:t>,</w:t>
      </w:r>
      <w:r w:rsidRPr="00CF66E7">
        <w:rPr>
          <w:i/>
          <w:iCs/>
          <w:color w:val="000000"/>
        </w:rPr>
        <w:t> 30</w:t>
      </w:r>
      <w:r w:rsidRPr="00CF66E7">
        <w:rPr>
          <w:color w:val="000000"/>
        </w:rPr>
        <w:t>(11), 662-672. </w:t>
      </w:r>
      <w:hyperlink r:id="rId48" w:history="1">
        <w:r w:rsidRPr="00CF66E7">
          <w:rPr>
            <w:rStyle w:val="Hyperlink"/>
            <w:color w:val="005A84"/>
          </w:rPr>
          <w:t>https://doi.org/10.1016/j.tree.2015.09.001</w:t>
        </w:r>
      </w:hyperlink>
    </w:p>
    <w:p w14:paraId="60E6EC53" w14:textId="77777777" w:rsidR="00CF66E7" w:rsidRPr="00CF66E7" w:rsidRDefault="00CF66E7" w:rsidP="00CF66E7">
      <w:pPr>
        <w:pStyle w:val="NormalWeb"/>
        <w:spacing w:after="0" w:afterAutospacing="0"/>
        <w:ind w:left="720" w:right="75" w:hanging="720"/>
        <w:rPr>
          <w:color w:val="000000"/>
        </w:rPr>
      </w:pPr>
      <w:proofErr w:type="spellStart"/>
      <w:r w:rsidRPr="00CF66E7">
        <w:rPr>
          <w:color w:val="000000"/>
        </w:rPr>
        <w:lastRenderedPageBreak/>
        <w:t>Misarti</w:t>
      </w:r>
      <w:proofErr w:type="spellEnd"/>
      <w:r w:rsidRPr="00CF66E7">
        <w:rPr>
          <w:color w:val="000000"/>
        </w:rPr>
        <w:t xml:space="preserve">, N., Finney, B., </w:t>
      </w:r>
      <w:proofErr w:type="spellStart"/>
      <w:r w:rsidRPr="00CF66E7">
        <w:rPr>
          <w:color w:val="000000"/>
        </w:rPr>
        <w:t>Maschner</w:t>
      </w:r>
      <w:proofErr w:type="spellEnd"/>
      <w:r w:rsidRPr="00CF66E7">
        <w:rPr>
          <w:color w:val="000000"/>
        </w:rPr>
        <w:t xml:space="preserve">, H., &amp; </w:t>
      </w:r>
      <w:proofErr w:type="spellStart"/>
      <w:r w:rsidRPr="00CF66E7">
        <w:rPr>
          <w:color w:val="000000"/>
        </w:rPr>
        <w:t>Wooller</w:t>
      </w:r>
      <w:proofErr w:type="spellEnd"/>
      <w:r w:rsidRPr="00CF66E7">
        <w:rPr>
          <w:color w:val="000000"/>
        </w:rPr>
        <w:t>, M. J. (2009). Changes in northeast Pacific marine ecosystems over the last 4500 years: evidence from stable isotope analysis of bone collagen from archeological middens. </w:t>
      </w:r>
      <w:r w:rsidRPr="00CF66E7">
        <w:rPr>
          <w:i/>
          <w:iCs/>
          <w:color w:val="000000"/>
        </w:rPr>
        <w:t>Holocene (</w:t>
      </w:r>
      <w:proofErr w:type="spellStart"/>
      <w:r w:rsidRPr="00CF66E7">
        <w:rPr>
          <w:i/>
          <w:iCs/>
          <w:color w:val="000000"/>
        </w:rPr>
        <w:t>Sevenoaks</w:t>
      </w:r>
      <w:proofErr w:type="spellEnd"/>
      <w:r w:rsidRPr="00CF66E7">
        <w:rPr>
          <w:i/>
          <w:iCs/>
          <w:color w:val="000000"/>
        </w:rPr>
        <w:t>)</w:t>
      </w:r>
      <w:r w:rsidRPr="00CF66E7">
        <w:rPr>
          <w:color w:val="000000"/>
        </w:rPr>
        <w:t>,</w:t>
      </w:r>
      <w:r w:rsidRPr="00CF66E7">
        <w:rPr>
          <w:i/>
          <w:iCs/>
          <w:color w:val="000000"/>
        </w:rPr>
        <w:t> 19</w:t>
      </w:r>
      <w:r w:rsidRPr="00CF66E7">
        <w:rPr>
          <w:color w:val="000000"/>
        </w:rPr>
        <w:t>(8), 1139-1151. </w:t>
      </w:r>
      <w:hyperlink r:id="rId49" w:history="1">
        <w:r w:rsidRPr="00CF66E7">
          <w:rPr>
            <w:rStyle w:val="Hyperlink"/>
            <w:color w:val="005A84"/>
          </w:rPr>
          <w:t>https://doi.org/10.1177/0959683609345075</w:t>
        </w:r>
      </w:hyperlink>
    </w:p>
    <w:p w14:paraId="160513A2" w14:textId="77777777" w:rsidR="00CF66E7" w:rsidRPr="00CF66E7" w:rsidRDefault="00CF66E7" w:rsidP="00CF66E7">
      <w:pPr>
        <w:pStyle w:val="NormalWeb"/>
        <w:spacing w:after="0" w:afterAutospacing="0"/>
        <w:ind w:left="720" w:right="75" w:hanging="720"/>
        <w:rPr>
          <w:color w:val="000000"/>
        </w:rPr>
      </w:pPr>
      <w:r w:rsidRPr="00CF66E7">
        <w:rPr>
          <w:color w:val="000000"/>
        </w:rPr>
        <w:t>Moon, J. B., &amp; Carrick, H. J. (2007). Seasonal variation of phytoplankton nutrient limitation in Lake Erie. </w:t>
      </w:r>
      <w:r w:rsidRPr="00CF66E7">
        <w:rPr>
          <w:i/>
          <w:iCs/>
          <w:color w:val="000000"/>
        </w:rPr>
        <w:t xml:space="preserve">Aquatic microbial </w:t>
      </w:r>
      <w:proofErr w:type="gramStart"/>
      <w:r w:rsidRPr="00CF66E7">
        <w:rPr>
          <w:i/>
          <w:iCs/>
          <w:color w:val="000000"/>
        </w:rPr>
        <w:t>ecology :</w:t>
      </w:r>
      <w:proofErr w:type="gramEnd"/>
      <w:r w:rsidRPr="00CF66E7">
        <w:rPr>
          <w:i/>
          <w:iCs/>
          <w:color w:val="000000"/>
        </w:rPr>
        <w:t xml:space="preserve"> international journal</w:t>
      </w:r>
      <w:r w:rsidRPr="00CF66E7">
        <w:rPr>
          <w:color w:val="000000"/>
        </w:rPr>
        <w:t>,</w:t>
      </w:r>
      <w:r w:rsidRPr="00CF66E7">
        <w:rPr>
          <w:i/>
          <w:iCs/>
          <w:color w:val="000000"/>
        </w:rPr>
        <w:t> 48</w:t>
      </w:r>
      <w:r w:rsidRPr="00CF66E7">
        <w:rPr>
          <w:color w:val="000000"/>
        </w:rPr>
        <w:t>(1), 61-71. </w:t>
      </w:r>
      <w:hyperlink r:id="rId50" w:history="1">
        <w:r w:rsidRPr="00CF66E7">
          <w:rPr>
            <w:rStyle w:val="Hyperlink"/>
            <w:color w:val="005A84"/>
          </w:rPr>
          <w:t>https://doi.org/10.3354/ame048061</w:t>
        </w:r>
      </w:hyperlink>
    </w:p>
    <w:p w14:paraId="5BCEDB68" w14:textId="77777777" w:rsidR="00CF66E7" w:rsidRPr="00CF66E7" w:rsidRDefault="00CF66E7" w:rsidP="00CF66E7">
      <w:pPr>
        <w:pStyle w:val="NormalWeb"/>
        <w:spacing w:after="0" w:afterAutospacing="0"/>
        <w:ind w:left="720" w:right="75" w:hanging="720"/>
        <w:rPr>
          <w:color w:val="000000"/>
        </w:rPr>
      </w:pPr>
      <w:r w:rsidRPr="00CF66E7">
        <w:rPr>
          <w:color w:val="000000"/>
        </w:rPr>
        <w:t>Nielsen, J. M., Popp, B. N., &amp; Winder, M. (2015). Meta-analysis of amino acid stable nitrogen isotope ratios for estimating trophic position in marine organisms. </w:t>
      </w:r>
      <w:proofErr w:type="spellStart"/>
      <w:r w:rsidRPr="00CF66E7">
        <w:rPr>
          <w:i/>
          <w:iCs/>
          <w:color w:val="000000"/>
        </w:rPr>
        <w:t>Oecologia</w:t>
      </w:r>
      <w:proofErr w:type="spellEnd"/>
      <w:r w:rsidRPr="00CF66E7">
        <w:rPr>
          <w:color w:val="000000"/>
        </w:rPr>
        <w:t>,</w:t>
      </w:r>
      <w:r w:rsidRPr="00CF66E7">
        <w:rPr>
          <w:i/>
          <w:iCs/>
          <w:color w:val="000000"/>
        </w:rPr>
        <w:t> 178</w:t>
      </w:r>
      <w:r w:rsidRPr="00CF66E7">
        <w:rPr>
          <w:color w:val="000000"/>
        </w:rPr>
        <w:t>(3), 631-642. </w:t>
      </w:r>
      <w:hyperlink r:id="rId51" w:history="1">
        <w:r w:rsidRPr="00CF66E7">
          <w:rPr>
            <w:rStyle w:val="Hyperlink"/>
            <w:color w:val="005A84"/>
          </w:rPr>
          <w:t>https://doi.org/10.1007/s00442-015-3305-7</w:t>
        </w:r>
      </w:hyperlink>
    </w:p>
    <w:p w14:paraId="29C40F68" w14:textId="77777777" w:rsidR="00CF66E7" w:rsidRPr="00CF66E7" w:rsidRDefault="00CF66E7" w:rsidP="00CF66E7">
      <w:pPr>
        <w:pStyle w:val="NormalWeb"/>
        <w:spacing w:after="0" w:afterAutospacing="0"/>
        <w:ind w:left="720" w:right="75" w:hanging="720"/>
        <w:rPr>
          <w:color w:val="000000"/>
        </w:rPr>
      </w:pPr>
      <w:proofErr w:type="spellStart"/>
      <w:r w:rsidRPr="00CF66E7">
        <w:rPr>
          <w:color w:val="000000"/>
        </w:rPr>
        <w:t>Ohkouchi</w:t>
      </w:r>
      <w:proofErr w:type="spellEnd"/>
      <w:r w:rsidRPr="00CF66E7">
        <w:rPr>
          <w:color w:val="000000"/>
        </w:rPr>
        <w:t xml:space="preserve">, N., Ogawa, N. O., </w:t>
      </w:r>
      <w:proofErr w:type="spellStart"/>
      <w:r w:rsidRPr="00CF66E7">
        <w:rPr>
          <w:color w:val="000000"/>
        </w:rPr>
        <w:t>Chikaraishi</w:t>
      </w:r>
      <w:proofErr w:type="spellEnd"/>
      <w:r w:rsidRPr="00CF66E7">
        <w:rPr>
          <w:color w:val="000000"/>
        </w:rPr>
        <w:t>, Y., Tanaka, H., &amp; Wada, E. (2015). Biochemical and physiological bases for the use of carbon and nitrogen isotopes in environmental and ecological studies. </w:t>
      </w:r>
      <w:r w:rsidRPr="00CF66E7">
        <w:rPr>
          <w:i/>
          <w:iCs/>
          <w:color w:val="000000"/>
        </w:rPr>
        <w:t>Progress in earth and planetary science</w:t>
      </w:r>
      <w:r w:rsidRPr="00CF66E7">
        <w:rPr>
          <w:color w:val="000000"/>
        </w:rPr>
        <w:t>,</w:t>
      </w:r>
      <w:r w:rsidRPr="00CF66E7">
        <w:rPr>
          <w:i/>
          <w:iCs/>
          <w:color w:val="000000"/>
        </w:rPr>
        <w:t> 2</w:t>
      </w:r>
      <w:r w:rsidRPr="00CF66E7">
        <w:rPr>
          <w:color w:val="000000"/>
        </w:rPr>
        <w:t>(1), 1-17. </w:t>
      </w:r>
      <w:hyperlink r:id="rId52" w:history="1">
        <w:r w:rsidRPr="00CF66E7">
          <w:rPr>
            <w:rStyle w:val="Hyperlink"/>
            <w:color w:val="005A84"/>
          </w:rPr>
          <w:t>https://doi.org/10.1186/s40645-015-0032-y</w:t>
        </w:r>
      </w:hyperlink>
    </w:p>
    <w:p w14:paraId="618FCE76" w14:textId="77777777" w:rsidR="00CF66E7" w:rsidRPr="00CF66E7" w:rsidRDefault="00CF66E7" w:rsidP="00CF66E7">
      <w:pPr>
        <w:pStyle w:val="NormalWeb"/>
        <w:spacing w:after="0" w:afterAutospacing="0"/>
        <w:ind w:left="720" w:right="75" w:hanging="720"/>
        <w:rPr>
          <w:color w:val="000000"/>
        </w:rPr>
      </w:pPr>
      <w:r w:rsidRPr="00CF66E7">
        <w:rPr>
          <w:color w:val="000000"/>
        </w:rPr>
        <w:t xml:space="preserve">Olson, R. J., Popp, B. N., Graham, B. S., López-Ibarra, G. A., </w:t>
      </w:r>
      <w:proofErr w:type="spellStart"/>
      <w:r w:rsidRPr="00CF66E7">
        <w:rPr>
          <w:color w:val="000000"/>
        </w:rPr>
        <w:t>Galván-Magaña</w:t>
      </w:r>
      <w:proofErr w:type="spellEnd"/>
      <w:r w:rsidRPr="00CF66E7">
        <w:rPr>
          <w:color w:val="000000"/>
        </w:rPr>
        <w:t xml:space="preserve">, F., </w:t>
      </w:r>
      <w:proofErr w:type="spellStart"/>
      <w:r w:rsidRPr="00CF66E7">
        <w:rPr>
          <w:color w:val="000000"/>
        </w:rPr>
        <w:t>Lennert</w:t>
      </w:r>
      <w:proofErr w:type="spellEnd"/>
      <w:r w:rsidRPr="00CF66E7">
        <w:rPr>
          <w:color w:val="000000"/>
        </w:rPr>
        <w:t>-Cody, C. E., . . . Fry, B. (2010). Food-web inferences of stable isotope spatial patterns in copepods and yellowfin tuna in the pelagic eastern Pacific Ocean. </w:t>
      </w:r>
      <w:r w:rsidRPr="00CF66E7">
        <w:rPr>
          <w:i/>
          <w:iCs/>
          <w:color w:val="000000"/>
        </w:rPr>
        <w:t>Progress in oceanography</w:t>
      </w:r>
      <w:r w:rsidRPr="00CF66E7">
        <w:rPr>
          <w:color w:val="000000"/>
        </w:rPr>
        <w:t>,</w:t>
      </w:r>
      <w:r w:rsidRPr="00CF66E7">
        <w:rPr>
          <w:i/>
          <w:iCs/>
          <w:color w:val="000000"/>
        </w:rPr>
        <w:t> 86</w:t>
      </w:r>
      <w:r w:rsidRPr="00CF66E7">
        <w:rPr>
          <w:color w:val="000000"/>
        </w:rPr>
        <w:t>(1-2), 124-138. </w:t>
      </w:r>
      <w:hyperlink r:id="rId53" w:history="1">
        <w:r w:rsidRPr="00CF66E7">
          <w:rPr>
            <w:rStyle w:val="Hyperlink"/>
            <w:color w:val="005A84"/>
          </w:rPr>
          <w:t>https://doi.org/10.1016/j.pocean.2010.04.026</w:t>
        </w:r>
      </w:hyperlink>
    </w:p>
    <w:p w14:paraId="64F08238" w14:textId="77777777" w:rsidR="00CF66E7" w:rsidRPr="00CF66E7" w:rsidRDefault="00CF66E7" w:rsidP="00CF66E7">
      <w:pPr>
        <w:pStyle w:val="NormalWeb"/>
        <w:spacing w:after="0" w:afterAutospacing="0"/>
        <w:ind w:left="720" w:right="75" w:hanging="720"/>
        <w:rPr>
          <w:color w:val="000000"/>
        </w:rPr>
      </w:pPr>
      <w:r w:rsidRPr="00CF66E7">
        <w:rPr>
          <w:color w:val="000000"/>
        </w:rPr>
        <w:t xml:space="preserve">Popp, B. N., Graham, B. S., Olson, R. J., </w:t>
      </w:r>
      <w:proofErr w:type="spellStart"/>
      <w:r w:rsidRPr="00CF66E7">
        <w:rPr>
          <w:color w:val="000000"/>
        </w:rPr>
        <w:t>Hannides</w:t>
      </w:r>
      <w:proofErr w:type="spellEnd"/>
      <w:r w:rsidRPr="00CF66E7">
        <w:rPr>
          <w:color w:val="000000"/>
        </w:rPr>
        <w:t>, C. C. S., Lott, M. J., López</w:t>
      </w:r>
      <w:r w:rsidRPr="00CF66E7">
        <w:rPr>
          <w:rFonts w:ascii="Cambria Math" w:hAnsi="Cambria Math" w:cs="Cambria Math"/>
          <w:color w:val="000000"/>
        </w:rPr>
        <w:t>‐</w:t>
      </w:r>
      <w:r w:rsidRPr="00CF66E7">
        <w:rPr>
          <w:color w:val="000000"/>
        </w:rPr>
        <w:t xml:space="preserve">Ibarra, G. A., . . . Fry, B. (2007). Insight into the Trophic Ecology of Yellowfin Tuna, </w:t>
      </w:r>
      <w:proofErr w:type="spellStart"/>
      <w:r w:rsidRPr="00CF66E7">
        <w:rPr>
          <w:color w:val="000000"/>
        </w:rPr>
        <w:t>Thunnus</w:t>
      </w:r>
      <w:proofErr w:type="spellEnd"/>
      <w:r w:rsidRPr="00CF66E7">
        <w:rPr>
          <w:color w:val="000000"/>
        </w:rPr>
        <w:t xml:space="preserve"> </w:t>
      </w:r>
      <w:proofErr w:type="spellStart"/>
      <w:r w:rsidRPr="00CF66E7">
        <w:rPr>
          <w:color w:val="000000"/>
        </w:rPr>
        <w:t>albacares</w:t>
      </w:r>
      <w:proofErr w:type="spellEnd"/>
      <w:r w:rsidRPr="00CF66E7">
        <w:rPr>
          <w:color w:val="000000"/>
        </w:rPr>
        <w:t>, from Compound</w:t>
      </w:r>
      <w:r w:rsidRPr="00CF66E7">
        <w:rPr>
          <w:rFonts w:ascii="Cambria Math" w:hAnsi="Cambria Math" w:cs="Cambria Math"/>
          <w:color w:val="000000"/>
        </w:rPr>
        <w:t>‐</w:t>
      </w:r>
      <w:r w:rsidRPr="00CF66E7">
        <w:rPr>
          <w:color w:val="000000"/>
        </w:rPr>
        <w:t>Specific Nitrogen Isotope Analysis of Proteinaceous Amino Acids. In (Vol. 1, pp. 173-190): Elsevier Science &amp; Technology.</w:t>
      </w:r>
    </w:p>
    <w:p w14:paraId="79C09A1F" w14:textId="77777777" w:rsidR="00CF66E7" w:rsidRPr="00CF66E7" w:rsidRDefault="00CF66E7" w:rsidP="00CF66E7">
      <w:pPr>
        <w:pStyle w:val="NormalWeb"/>
        <w:spacing w:after="0" w:afterAutospacing="0"/>
        <w:ind w:left="720" w:right="75" w:hanging="720"/>
        <w:rPr>
          <w:color w:val="000000"/>
        </w:rPr>
      </w:pPr>
      <w:proofErr w:type="spellStart"/>
      <w:r w:rsidRPr="00CF66E7">
        <w:rPr>
          <w:color w:val="000000"/>
        </w:rPr>
        <w:t>Possamai</w:t>
      </w:r>
      <w:proofErr w:type="spellEnd"/>
      <w:r w:rsidRPr="00CF66E7">
        <w:rPr>
          <w:color w:val="000000"/>
        </w:rPr>
        <w:t xml:space="preserve">, B., </w:t>
      </w:r>
      <w:proofErr w:type="spellStart"/>
      <w:r w:rsidRPr="00CF66E7">
        <w:rPr>
          <w:color w:val="000000"/>
        </w:rPr>
        <w:t>Hoeinghaus</w:t>
      </w:r>
      <w:proofErr w:type="spellEnd"/>
      <w:r w:rsidRPr="00CF66E7">
        <w:rPr>
          <w:color w:val="000000"/>
        </w:rPr>
        <w:t>, D. J., &amp; Garcia, A. M. (2021). Shifting baselines: Integrating ecological and isotopic time lags improves trophic position estimates in aquatic consumers. </w:t>
      </w:r>
      <w:r w:rsidRPr="00CF66E7">
        <w:rPr>
          <w:i/>
          <w:iCs/>
          <w:color w:val="000000"/>
        </w:rPr>
        <w:t>Marine ecology. Progress series (</w:t>
      </w:r>
      <w:proofErr w:type="spellStart"/>
      <w:r w:rsidRPr="00CF66E7">
        <w:rPr>
          <w:i/>
          <w:iCs/>
          <w:color w:val="000000"/>
        </w:rPr>
        <w:t>Halstenbek</w:t>
      </w:r>
      <w:proofErr w:type="spellEnd"/>
      <w:r w:rsidRPr="00CF66E7">
        <w:rPr>
          <w:i/>
          <w:iCs/>
          <w:color w:val="000000"/>
        </w:rPr>
        <w:t>)</w:t>
      </w:r>
      <w:r w:rsidRPr="00CF66E7">
        <w:rPr>
          <w:color w:val="000000"/>
        </w:rPr>
        <w:t>,</w:t>
      </w:r>
      <w:r w:rsidRPr="00CF66E7">
        <w:rPr>
          <w:i/>
          <w:iCs/>
          <w:color w:val="000000"/>
        </w:rPr>
        <w:t> 666</w:t>
      </w:r>
      <w:r w:rsidRPr="00CF66E7">
        <w:rPr>
          <w:color w:val="000000"/>
        </w:rPr>
        <w:t>, 19-30. </w:t>
      </w:r>
      <w:hyperlink r:id="rId54" w:history="1">
        <w:r w:rsidRPr="00CF66E7">
          <w:rPr>
            <w:rStyle w:val="Hyperlink"/>
            <w:color w:val="005A84"/>
          </w:rPr>
          <w:t>https://doi.org/10.3354/meps13682</w:t>
        </w:r>
      </w:hyperlink>
    </w:p>
    <w:p w14:paraId="6CE59A29" w14:textId="77777777" w:rsidR="00CF66E7" w:rsidRPr="00CF66E7" w:rsidRDefault="00CF66E7" w:rsidP="00CF66E7">
      <w:pPr>
        <w:pStyle w:val="NormalWeb"/>
        <w:spacing w:after="0" w:afterAutospacing="0"/>
        <w:ind w:left="720" w:right="75" w:hanging="720"/>
        <w:rPr>
          <w:color w:val="000000"/>
        </w:rPr>
      </w:pPr>
      <w:r w:rsidRPr="00CF66E7">
        <w:rPr>
          <w:color w:val="000000"/>
        </w:rPr>
        <w:t>Post, D. M. (2002). Using Stable Isotopes to Estimate Trophic Position: Models, Methods, and Assumptions. </w:t>
      </w:r>
      <w:r w:rsidRPr="00CF66E7">
        <w:rPr>
          <w:i/>
          <w:iCs/>
          <w:color w:val="000000"/>
        </w:rPr>
        <w:t>Ecology (Durham)</w:t>
      </w:r>
      <w:r w:rsidRPr="00CF66E7">
        <w:rPr>
          <w:color w:val="000000"/>
        </w:rPr>
        <w:t>,</w:t>
      </w:r>
      <w:r w:rsidRPr="00CF66E7">
        <w:rPr>
          <w:i/>
          <w:iCs/>
          <w:color w:val="000000"/>
        </w:rPr>
        <w:t> 83</w:t>
      </w:r>
      <w:r w:rsidRPr="00CF66E7">
        <w:rPr>
          <w:color w:val="000000"/>
        </w:rPr>
        <w:t>(3), 703-718. </w:t>
      </w:r>
      <w:hyperlink r:id="rId55" w:history="1">
        <w:r w:rsidRPr="00CF66E7">
          <w:rPr>
            <w:rStyle w:val="Hyperlink"/>
            <w:color w:val="005A84"/>
          </w:rPr>
          <w:t>https://doi.org/10.1890/0012-9658(2002)083[0703:USITET]2.0.CO;2</w:t>
        </w:r>
      </w:hyperlink>
    </w:p>
    <w:p w14:paraId="3F57FD52" w14:textId="77777777" w:rsidR="00CF66E7" w:rsidRPr="00CF66E7" w:rsidRDefault="00CF66E7" w:rsidP="00CF66E7">
      <w:pPr>
        <w:pStyle w:val="NormalWeb"/>
        <w:spacing w:after="0" w:afterAutospacing="0"/>
        <w:ind w:left="720" w:right="75" w:hanging="720"/>
        <w:rPr>
          <w:color w:val="000000"/>
        </w:rPr>
      </w:pPr>
      <w:proofErr w:type="spellStart"/>
      <w:r w:rsidRPr="00CF66E7">
        <w:rPr>
          <w:color w:val="000000"/>
        </w:rPr>
        <w:t>Rolff</w:t>
      </w:r>
      <w:proofErr w:type="spellEnd"/>
      <w:r w:rsidRPr="00CF66E7">
        <w:rPr>
          <w:color w:val="000000"/>
        </w:rPr>
        <w:t xml:space="preserve">, C., &amp; </w:t>
      </w:r>
      <w:proofErr w:type="spellStart"/>
      <w:r w:rsidRPr="00CF66E7">
        <w:rPr>
          <w:color w:val="000000"/>
        </w:rPr>
        <w:t>Elmgren</w:t>
      </w:r>
      <w:proofErr w:type="spellEnd"/>
      <w:r w:rsidRPr="00CF66E7">
        <w:rPr>
          <w:color w:val="000000"/>
        </w:rPr>
        <w:t>, R. (2000). Use of riverine organic matter in plankton food webs of the Baltic Sea. </w:t>
      </w:r>
      <w:r w:rsidRPr="00CF66E7">
        <w:rPr>
          <w:i/>
          <w:iCs/>
          <w:color w:val="000000"/>
        </w:rPr>
        <w:t>Marine ecology. Progress series (</w:t>
      </w:r>
      <w:proofErr w:type="spellStart"/>
      <w:r w:rsidRPr="00CF66E7">
        <w:rPr>
          <w:i/>
          <w:iCs/>
          <w:color w:val="000000"/>
        </w:rPr>
        <w:t>Halstenbek</w:t>
      </w:r>
      <w:proofErr w:type="spellEnd"/>
      <w:r w:rsidRPr="00CF66E7">
        <w:rPr>
          <w:i/>
          <w:iCs/>
          <w:color w:val="000000"/>
        </w:rPr>
        <w:t>)</w:t>
      </w:r>
      <w:r w:rsidRPr="00CF66E7">
        <w:rPr>
          <w:color w:val="000000"/>
        </w:rPr>
        <w:t>,</w:t>
      </w:r>
      <w:r w:rsidRPr="00CF66E7">
        <w:rPr>
          <w:i/>
          <w:iCs/>
          <w:color w:val="000000"/>
        </w:rPr>
        <w:t> 197</w:t>
      </w:r>
      <w:r w:rsidRPr="00CF66E7">
        <w:rPr>
          <w:color w:val="000000"/>
        </w:rPr>
        <w:t>, 81-101. </w:t>
      </w:r>
      <w:hyperlink r:id="rId56" w:history="1">
        <w:r w:rsidRPr="00CF66E7">
          <w:rPr>
            <w:rStyle w:val="Hyperlink"/>
            <w:color w:val="005A84"/>
          </w:rPr>
          <w:t>https://doi.org/10.3354/meps197081</w:t>
        </w:r>
      </w:hyperlink>
    </w:p>
    <w:p w14:paraId="2D9E1851" w14:textId="77777777" w:rsidR="00CF66E7" w:rsidRPr="00CF66E7" w:rsidRDefault="00CF66E7" w:rsidP="00CF66E7">
      <w:pPr>
        <w:pStyle w:val="NormalWeb"/>
        <w:spacing w:after="0" w:afterAutospacing="0"/>
        <w:ind w:left="720" w:right="75" w:hanging="720"/>
        <w:rPr>
          <w:color w:val="000000"/>
        </w:rPr>
      </w:pPr>
      <w:r w:rsidRPr="00CF66E7">
        <w:rPr>
          <w:color w:val="000000"/>
        </w:rPr>
        <w:t xml:space="preserve">Ruiz-Cooley, R. I., </w:t>
      </w:r>
      <w:proofErr w:type="spellStart"/>
      <w:r w:rsidRPr="00CF66E7">
        <w:rPr>
          <w:color w:val="000000"/>
        </w:rPr>
        <w:t>Markaida</w:t>
      </w:r>
      <w:proofErr w:type="spellEnd"/>
      <w:r w:rsidRPr="00CF66E7">
        <w:rPr>
          <w:color w:val="000000"/>
        </w:rPr>
        <w:t xml:space="preserve">, U., Gendron, D., &amp; </w:t>
      </w:r>
      <w:proofErr w:type="spellStart"/>
      <w:r w:rsidRPr="00CF66E7">
        <w:rPr>
          <w:color w:val="000000"/>
        </w:rPr>
        <w:t>Aguíñiga</w:t>
      </w:r>
      <w:proofErr w:type="spellEnd"/>
      <w:r w:rsidRPr="00CF66E7">
        <w:rPr>
          <w:color w:val="000000"/>
        </w:rPr>
        <w:t>, S. (2006). Stable isotopes in jumbo squid (</w:t>
      </w:r>
      <w:proofErr w:type="spellStart"/>
      <w:r w:rsidRPr="00CF66E7">
        <w:rPr>
          <w:color w:val="000000"/>
        </w:rPr>
        <w:t>Dosidicus</w:t>
      </w:r>
      <w:proofErr w:type="spellEnd"/>
      <w:r w:rsidRPr="00CF66E7">
        <w:rPr>
          <w:color w:val="000000"/>
        </w:rPr>
        <w:t xml:space="preserve"> </w:t>
      </w:r>
      <w:proofErr w:type="spellStart"/>
      <w:r w:rsidRPr="00CF66E7">
        <w:rPr>
          <w:color w:val="000000"/>
        </w:rPr>
        <w:t>gigas</w:t>
      </w:r>
      <w:proofErr w:type="spellEnd"/>
      <w:r w:rsidRPr="00CF66E7">
        <w:rPr>
          <w:color w:val="000000"/>
        </w:rPr>
        <w:t>) beaks to estimate its trophic position: comparison between stomach contents and stable isotopes. </w:t>
      </w:r>
      <w:r w:rsidRPr="00CF66E7">
        <w:rPr>
          <w:i/>
          <w:iCs/>
          <w:color w:val="000000"/>
        </w:rPr>
        <w:t>Journal of the Marine Biological Association of the United Kingdom</w:t>
      </w:r>
      <w:r w:rsidRPr="00CF66E7">
        <w:rPr>
          <w:color w:val="000000"/>
        </w:rPr>
        <w:t>,</w:t>
      </w:r>
      <w:r w:rsidRPr="00CF66E7">
        <w:rPr>
          <w:i/>
          <w:iCs/>
          <w:color w:val="000000"/>
        </w:rPr>
        <w:t> 86</w:t>
      </w:r>
      <w:r w:rsidRPr="00CF66E7">
        <w:rPr>
          <w:color w:val="000000"/>
        </w:rPr>
        <w:t>(2), 437-445. </w:t>
      </w:r>
      <w:hyperlink r:id="rId57" w:history="1">
        <w:r w:rsidRPr="00CF66E7">
          <w:rPr>
            <w:rStyle w:val="Hyperlink"/>
            <w:color w:val="005A84"/>
          </w:rPr>
          <w:t>https://doi.org/10.1017/S0025315406013324</w:t>
        </w:r>
      </w:hyperlink>
    </w:p>
    <w:p w14:paraId="2517B9FD" w14:textId="77777777" w:rsidR="00CF66E7" w:rsidRPr="00CF66E7" w:rsidRDefault="00CF66E7" w:rsidP="00CF66E7">
      <w:pPr>
        <w:pStyle w:val="NormalWeb"/>
        <w:spacing w:after="0" w:afterAutospacing="0"/>
        <w:ind w:left="720" w:right="75" w:hanging="720"/>
        <w:rPr>
          <w:color w:val="000000"/>
        </w:rPr>
      </w:pPr>
      <w:r w:rsidRPr="00CF66E7">
        <w:rPr>
          <w:color w:val="000000"/>
        </w:rPr>
        <w:t xml:space="preserve">Sherwood, O. A., </w:t>
      </w:r>
      <w:proofErr w:type="spellStart"/>
      <w:r w:rsidRPr="00CF66E7">
        <w:rPr>
          <w:color w:val="000000"/>
        </w:rPr>
        <w:t>Heikoop</w:t>
      </w:r>
      <w:proofErr w:type="spellEnd"/>
      <w:r w:rsidRPr="00CF66E7">
        <w:rPr>
          <w:color w:val="000000"/>
        </w:rPr>
        <w:t xml:space="preserve">, J. M., Scott, D. B., Risk, M. J., </w:t>
      </w:r>
      <w:proofErr w:type="spellStart"/>
      <w:r w:rsidRPr="00CF66E7">
        <w:rPr>
          <w:color w:val="000000"/>
        </w:rPr>
        <w:t>Guilderson</w:t>
      </w:r>
      <w:proofErr w:type="spellEnd"/>
      <w:r w:rsidRPr="00CF66E7">
        <w:rPr>
          <w:color w:val="000000"/>
        </w:rPr>
        <w:t xml:space="preserve">, T. P., &amp; McKinney, R. A. (2005). Stable isotopic composition of deep-sea gorgonian corals </w:t>
      </w:r>
      <w:proofErr w:type="spellStart"/>
      <w:r w:rsidRPr="00CF66E7">
        <w:rPr>
          <w:color w:val="000000"/>
        </w:rPr>
        <w:t>Primnoa</w:t>
      </w:r>
      <w:proofErr w:type="spellEnd"/>
      <w:r w:rsidRPr="00CF66E7">
        <w:rPr>
          <w:color w:val="000000"/>
        </w:rPr>
        <w:t xml:space="preserve"> spp.: </w:t>
      </w:r>
      <w:r w:rsidRPr="00CF66E7">
        <w:rPr>
          <w:color w:val="000000"/>
        </w:rPr>
        <w:lastRenderedPageBreak/>
        <w:t>a new archive of surface processes. </w:t>
      </w:r>
      <w:r w:rsidRPr="00CF66E7">
        <w:rPr>
          <w:i/>
          <w:iCs/>
          <w:color w:val="000000"/>
        </w:rPr>
        <w:t>Marine ecology. Progress series (</w:t>
      </w:r>
      <w:proofErr w:type="spellStart"/>
      <w:r w:rsidRPr="00CF66E7">
        <w:rPr>
          <w:i/>
          <w:iCs/>
          <w:color w:val="000000"/>
        </w:rPr>
        <w:t>Halstenbek</w:t>
      </w:r>
      <w:proofErr w:type="spellEnd"/>
      <w:r w:rsidRPr="00CF66E7">
        <w:rPr>
          <w:i/>
          <w:iCs/>
          <w:color w:val="000000"/>
        </w:rPr>
        <w:t>)</w:t>
      </w:r>
      <w:r w:rsidRPr="00CF66E7">
        <w:rPr>
          <w:color w:val="000000"/>
        </w:rPr>
        <w:t>,</w:t>
      </w:r>
      <w:r w:rsidRPr="00CF66E7">
        <w:rPr>
          <w:i/>
          <w:iCs/>
          <w:color w:val="000000"/>
        </w:rPr>
        <w:t> 301</w:t>
      </w:r>
      <w:r w:rsidRPr="00CF66E7">
        <w:rPr>
          <w:color w:val="000000"/>
        </w:rPr>
        <w:t>, 135-148. </w:t>
      </w:r>
      <w:hyperlink r:id="rId58" w:history="1">
        <w:r w:rsidRPr="00CF66E7">
          <w:rPr>
            <w:rStyle w:val="Hyperlink"/>
            <w:color w:val="005A84"/>
          </w:rPr>
          <w:t>https://doi.org/10.3354/meps301135</w:t>
        </w:r>
      </w:hyperlink>
    </w:p>
    <w:p w14:paraId="1A46DB3B" w14:textId="77777777" w:rsidR="00CF66E7" w:rsidRPr="00CF66E7" w:rsidRDefault="00CF66E7" w:rsidP="00CF66E7">
      <w:pPr>
        <w:pStyle w:val="NormalWeb"/>
        <w:spacing w:after="0" w:afterAutospacing="0"/>
        <w:ind w:left="720" w:right="75" w:hanging="720"/>
        <w:rPr>
          <w:color w:val="000000"/>
        </w:rPr>
      </w:pPr>
      <w:r w:rsidRPr="00CF66E7">
        <w:rPr>
          <w:color w:val="000000"/>
        </w:rPr>
        <w:t>Sherwood, O. A., Jamieson, R. E., Edinger, E. N., &amp; Wareham, V. E. (2008). Stable C and N isotopic composition of cold-water corals from the Newfoundland and Labrador continental slope: Examination of trophic, depth and spatial effects. </w:t>
      </w:r>
      <w:r w:rsidRPr="00CF66E7">
        <w:rPr>
          <w:i/>
          <w:iCs/>
          <w:color w:val="000000"/>
        </w:rPr>
        <w:t>Deep-sea research. Part I, Oceanographic research papers</w:t>
      </w:r>
      <w:r w:rsidRPr="00CF66E7">
        <w:rPr>
          <w:color w:val="000000"/>
        </w:rPr>
        <w:t>,</w:t>
      </w:r>
      <w:r w:rsidRPr="00CF66E7">
        <w:rPr>
          <w:i/>
          <w:iCs/>
          <w:color w:val="000000"/>
        </w:rPr>
        <w:t> 55</w:t>
      </w:r>
      <w:r w:rsidRPr="00CF66E7">
        <w:rPr>
          <w:color w:val="000000"/>
        </w:rPr>
        <w:t>(10), 1392-1402. </w:t>
      </w:r>
      <w:hyperlink r:id="rId59" w:history="1">
        <w:r w:rsidRPr="00CF66E7">
          <w:rPr>
            <w:rStyle w:val="Hyperlink"/>
            <w:color w:val="005A84"/>
          </w:rPr>
          <w:t>https://doi.org/10.1016/j.dsr.2008.05.013</w:t>
        </w:r>
      </w:hyperlink>
    </w:p>
    <w:p w14:paraId="2B552261" w14:textId="77777777" w:rsidR="00CF66E7" w:rsidRPr="00CF66E7" w:rsidRDefault="00CF66E7" w:rsidP="00CF66E7">
      <w:pPr>
        <w:pStyle w:val="NormalWeb"/>
        <w:spacing w:after="0" w:afterAutospacing="0"/>
        <w:ind w:left="720" w:right="75" w:hanging="720"/>
        <w:rPr>
          <w:color w:val="000000"/>
        </w:rPr>
      </w:pPr>
      <w:r w:rsidRPr="00CF66E7">
        <w:rPr>
          <w:color w:val="000000"/>
        </w:rPr>
        <w:t>Sherwood, O. A., Lehmann, M. F., Schubert, C. J., Scott, D. B., &amp; McCarthy, M. D. (2011). Nutrient regime shift in the western North Atlantic indicated by compound-specific δ15N of deep-sea gorgonian corals. </w:t>
      </w:r>
      <w:r w:rsidRPr="00CF66E7">
        <w:rPr>
          <w:i/>
          <w:iCs/>
          <w:color w:val="000000"/>
        </w:rPr>
        <w:t>Proceedings of the National Academy of Sciences - PNAS</w:t>
      </w:r>
      <w:r w:rsidRPr="00CF66E7">
        <w:rPr>
          <w:color w:val="000000"/>
        </w:rPr>
        <w:t>,</w:t>
      </w:r>
      <w:r w:rsidRPr="00CF66E7">
        <w:rPr>
          <w:i/>
          <w:iCs/>
          <w:color w:val="000000"/>
        </w:rPr>
        <w:t> 108</w:t>
      </w:r>
      <w:r w:rsidRPr="00CF66E7">
        <w:rPr>
          <w:color w:val="000000"/>
        </w:rPr>
        <w:t>(3), 1011-1015. </w:t>
      </w:r>
      <w:hyperlink r:id="rId60" w:history="1">
        <w:r w:rsidRPr="00CF66E7">
          <w:rPr>
            <w:rStyle w:val="Hyperlink"/>
            <w:color w:val="005A84"/>
          </w:rPr>
          <w:t>https://doi.org/10.1073/pnas.1004904108</w:t>
        </w:r>
      </w:hyperlink>
    </w:p>
    <w:p w14:paraId="7C14A2B3" w14:textId="77777777" w:rsidR="00CF66E7" w:rsidRPr="00CF66E7" w:rsidRDefault="00CF66E7" w:rsidP="00CF66E7">
      <w:pPr>
        <w:pStyle w:val="NormalWeb"/>
        <w:spacing w:after="0" w:afterAutospacing="0"/>
        <w:ind w:left="720" w:right="75" w:hanging="720"/>
        <w:rPr>
          <w:color w:val="000000"/>
        </w:rPr>
      </w:pPr>
      <w:proofErr w:type="spellStart"/>
      <w:r w:rsidRPr="00CF66E7">
        <w:rPr>
          <w:color w:val="000000"/>
        </w:rPr>
        <w:t>Sigman</w:t>
      </w:r>
      <w:proofErr w:type="spellEnd"/>
      <w:r w:rsidRPr="00CF66E7">
        <w:rPr>
          <w:color w:val="000000"/>
        </w:rPr>
        <w:t xml:space="preserve">, D. M., Karsh, K. L., &amp; </w:t>
      </w:r>
      <w:proofErr w:type="spellStart"/>
      <w:r w:rsidRPr="00CF66E7">
        <w:rPr>
          <w:color w:val="000000"/>
        </w:rPr>
        <w:t>Casciotti</w:t>
      </w:r>
      <w:proofErr w:type="spellEnd"/>
      <w:r w:rsidRPr="00CF66E7">
        <w:rPr>
          <w:color w:val="000000"/>
        </w:rPr>
        <w:t>, K. L. (2009). Nitrogen Isotopes in the Ocean. In (Second Edition ed., pp. 40-54): Elsevier Ltd.</w:t>
      </w:r>
    </w:p>
    <w:p w14:paraId="3EB2A776" w14:textId="77777777" w:rsidR="00CF66E7" w:rsidRPr="00CF66E7" w:rsidRDefault="00CF66E7" w:rsidP="00CF66E7">
      <w:pPr>
        <w:pStyle w:val="NormalWeb"/>
        <w:spacing w:after="0" w:afterAutospacing="0"/>
        <w:ind w:left="720" w:right="75" w:hanging="720"/>
        <w:rPr>
          <w:color w:val="000000"/>
        </w:rPr>
      </w:pPr>
      <w:proofErr w:type="spellStart"/>
      <w:r w:rsidRPr="00CF66E7">
        <w:rPr>
          <w:color w:val="000000"/>
        </w:rPr>
        <w:t>Stiling</w:t>
      </w:r>
      <w:proofErr w:type="spellEnd"/>
      <w:r w:rsidRPr="00CF66E7">
        <w:rPr>
          <w:color w:val="000000"/>
        </w:rPr>
        <w:t xml:space="preserve">, R. R., </w:t>
      </w:r>
      <w:proofErr w:type="spellStart"/>
      <w:r w:rsidRPr="00CF66E7">
        <w:rPr>
          <w:color w:val="000000"/>
        </w:rPr>
        <w:t>Holtgrieve</w:t>
      </w:r>
      <w:proofErr w:type="spellEnd"/>
      <w:r w:rsidRPr="00CF66E7">
        <w:rPr>
          <w:color w:val="000000"/>
        </w:rPr>
        <w:t>, G. W., &amp; Olden, J. D. (2021). Population structure and habitat availability determine resource use by Rainbow Trout in high elevation lakes. </w:t>
      </w:r>
      <w:r w:rsidRPr="00CF66E7">
        <w:rPr>
          <w:i/>
          <w:iCs/>
          <w:color w:val="000000"/>
        </w:rPr>
        <w:t>Freshwater science</w:t>
      </w:r>
      <w:r w:rsidRPr="00CF66E7">
        <w:rPr>
          <w:color w:val="000000"/>
        </w:rPr>
        <w:t>,</w:t>
      </w:r>
      <w:r w:rsidRPr="00CF66E7">
        <w:rPr>
          <w:i/>
          <w:iCs/>
          <w:color w:val="000000"/>
        </w:rPr>
        <w:t> 40</w:t>
      </w:r>
      <w:r w:rsidRPr="00CF66E7">
        <w:rPr>
          <w:color w:val="000000"/>
        </w:rPr>
        <w:t>(3), 508-523. </w:t>
      </w:r>
      <w:hyperlink r:id="rId61" w:history="1">
        <w:r w:rsidRPr="00CF66E7">
          <w:rPr>
            <w:rStyle w:val="Hyperlink"/>
            <w:color w:val="005A84"/>
          </w:rPr>
          <w:t>https://doi.org/10.1086/716184</w:t>
        </w:r>
      </w:hyperlink>
    </w:p>
    <w:p w14:paraId="66CF2C36" w14:textId="77777777" w:rsidR="00CF66E7" w:rsidRPr="00CF66E7" w:rsidRDefault="00CF66E7" w:rsidP="00CF66E7">
      <w:pPr>
        <w:pStyle w:val="NormalWeb"/>
        <w:spacing w:after="0" w:afterAutospacing="0"/>
        <w:ind w:left="720" w:right="75" w:hanging="720"/>
        <w:rPr>
          <w:color w:val="000000"/>
        </w:rPr>
      </w:pPr>
      <w:proofErr w:type="spellStart"/>
      <w:r w:rsidRPr="00CF66E7">
        <w:rPr>
          <w:color w:val="000000"/>
        </w:rPr>
        <w:t>SyvÄRanta</w:t>
      </w:r>
      <w:proofErr w:type="spellEnd"/>
      <w:r w:rsidRPr="00CF66E7">
        <w:rPr>
          <w:color w:val="000000"/>
        </w:rPr>
        <w:t xml:space="preserve">, J., </w:t>
      </w:r>
      <w:proofErr w:type="spellStart"/>
      <w:r w:rsidRPr="00CF66E7">
        <w:rPr>
          <w:color w:val="000000"/>
        </w:rPr>
        <w:t>HÄMÄLÄInen</w:t>
      </w:r>
      <w:proofErr w:type="spellEnd"/>
      <w:r w:rsidRPr="00CF66E7">
        <w:rPr>
          <w:color w:val="000000"/>
        </w:rPr>
        <w:t>, H., &amp; Jones, R. I. (2006a). Within-lake variability in carbon and nitrogen stable isotope signatures. </w:t>
      </w:r>
      <w:r w:rsidRPr="00CF66E7">
        <w:rPr>
          <w:i/>
          <w:iCs/>
          <w:color w:val="000000"/>
        </w:rPr>
        <w:t>Freshwater biology</w:t>
      </w:r>
      <w:r w:rsidRPr="00CF66E7">
        <w:rPr>
          <w:color w:val="000000"/>
        </w:rPr>
        <w:t>,</w:t>
      </w:r>
      <w:r w:rsidRPr="00CF66E7">
        <w:rPr>
          <w:i/>
          <w:iCs/>
          <w:color w:val="000000"/>
        </w:rPr>
        <w:t> 51</w:t>
      </w:r>
      <w:r w:rsidRPr="00CF66E7">
        <w:rPr>
          <w:color w:val="000000"/>
        </w:rPr>
        <w:t>(6), 1090-1102. </w:t>
      </w:r>
      <w:hyperlink r:id="rId62" w:history="1">
        <w:r w:rsidRPr="00CF66E7">
          <w:rPr>
            <w:rStyle w:val="Hyperlink"/>
            <w:color w:val="005A84"/>
          </w:rPr>
          <w:t>https://doi.org/10.1111/j.1365-2427.2006.01557.x</w:t>
        </w:r>
      </w:hyperlink>
    </w:p>
    <w:p w14:paraId="34E0055C" w14:textId="77777777" w:rsidR="00CF66E7" w:rsidRPr="00CF66E7" w:rsidRDefault="00CF66E7" w:rsidP="00CF66E7">
      <w:pPr>
        <w:pStyle w:val="NormalWeb"/>
        <w:spacing w:after="0" w:afterAutospacing="0"/>
        <w:ind w:left="720" w:right="75" w:hanging="720"/>
        <w:rPr>
          <w:color w:val="000000"/>
        </w:rPr>
      </w:pPr>
      <w:proofErr w:type="spellStart"/>
      <w:r w:rsidRPr="00CF66E7">
        <w:rPr>
          <w:color w:val="000000"/>
        </w:rPr>
        <w:t>SyvÄRanta</w:t>
      </w:r>
      <w:proofErr w:type="spellEnd"/>
      <w:r w:rsidRPr="00CF66E7">
        <w:rPr>
          <w:color w:val="000000"/>
        </w:rPr>
        <w:t xml:space="preserve">, J., </w:t>
      </w:r>
      <w:proofErr w:type="spellStart"/>
      <w:r w:rsidRPr="00CF66E7">
        <w:rPr>
          <w:color w:val="000000"/>
        </w:rPr>
        <w:t>HÄMÄLÄInen</w:t>
      </w:r>
      <w:proofErr w:type="spellEnd"/>
      <w:r w:rsidRPr="00CF66E7">
        <w:rPr>
          <w:color w:val="000000"/>
        </w:rPr>
        <w:t>, H., &amp; Jones, R. I. (2006b). Within-lake variability in carbon and nitrogen stable isotope signatures. </w:t>
      </w:r>
      <w:r w:rsidRPr="00CF66E7">
        <w:rPr>
          <w:i/>
          <w:iCs/>
          <w:color w:val="000000"/>
        </w:rPr>
        <w:t>Freshwater biology</w:t>
      </w:r>
      <w:r w:rsidRPr="00CF66E7">
        <w:rPr>
          <w:color w:val="000000"/>
        </w:rPr>
        <w:t>,</w:t>
      </w:r>
      <w:r w:rsidRPr="00CF66E7">
        <w:rPr>
          <w:i/>
          <w:iCs/>
          <w:color w:val="000000"/>
        </w:rPr>
        <w:t> 51</w:t>
      </w:r>
      <w:r w:rsidRPr="00CF66E7">
        <w:rPr>
          <w:color w:val="000000"/>
        </w:rPr>
        <w:t>(6), 1090-1102. </w:t>
      </w:r>
      <w:hyperlink r:id="rId63" w:history="1">
        <w:r w:rsidRPr="00CF66E7">
          <w:rPr>
            <w:rStyle w:val="Hyperlink"/>
            <w:color w:val="005A84"/>
          </w:rPr>
          <w:t>https://doi.org/10.1111/j.1365-2427.2006.01557.x</w:t>
        </w:r>
      </w:hyperlink>
    </w:p>
    <w:p w14:paraId="113A69ED" w14:textId="77777777" w:rsidR="00CF66E7" w:rsidRPr="00CF66E7" w:rsidRDefault="00CF66E7" w:rsidP="00CF66E7">
      <w:pPr>
        <w:pStyle w:val="NormalWeb"/>
        <w:spacing w:after="0" w:afterAutospacing="0"/>
        <w:ind w:left="720" w:right="75" w:hanging="720"/>
        <w:rPr>
          <w:color w:val="000000"/>
        </w:rPr>
      </w:pPr>
      <w:proofErr w:type="spellStart"/>
      <w:r w:rsidRPr="00CF66E7">
        <w:rPr>
          <w:color w:val="000000"/>
        </w:rPr>
        <w:t>SyvÄRanta</w:t>
      </w:r>
      <w:proofErr w:type="spellEnd"/>
      <w:r w:rsidRPr="00CF66E7">
        <w:rPr>
          <w:color w:val="000000"/>
        </w:rPr>
        <w:t xml:space="preserve">, J., </w:t>
      </w:r>
      <w:proofErr w:type="spellStart"/>
      <w:r w:rsidRPr="00CF66E7">
        <w:rPr>
          <w:color w:val="000000"/>
        </w:rPr>
        <w:t>Tiirola</w:t>
      </w:r>
      <w:proofErr w:type="spellEnd"/>
      <w:r w:rsidRPr="00CF66E7">
        <w:rPr>
          <w:color w:val="000000"/>
        </w:rPr>
        <w:t xml:space="preserve">, M., &amp; Jones, R. I. (2008). Seasonality in lake pelagic δ15N </w:t>
      </w:r>
      <w:proofErr w:type="gramStart"/>
      <w:r w:rsidRPr="00CF66E7">
        <w:rPr>
          <w:color w:val="000000"/>
        </w:rPr>
        <w:t>values :</w:t>
      </w:r>
      <w:proofErr w:type="gramEnd"/>
      <w:r w:rsidRPr="00CF66E7">
        <w:rPr>
          <w:color w:val="000000"/>
        </w:rPr>
        <w:t xml:space="preserve"> patterns, possible explanations, and implications for food web baselines. </w:t>
      </w:r>
      <w:r w:rsidRPr="00CF66E7">
        <w:rPr>
          <w:i/>
          <w:iCs/>
          <w:color w:val="000000"/>
        </w:rPr>
        <w:t>Fundamental and applied limnology</w:t>
      </w:r>
      <w:r w:rsidRPr="00CF66E7">
        <w:rPr>
          <w:color w:val="000000"/>
        </w:rPr>
        <w:t>,</w:t>
      </w:r>
      <w:r w:rsidRPr="00CF66E7">
        <w:rPr>
          <w:i/>
          <w:iCs/>
          <w:color w:val="000000"/>
        </w:rPr>
        <w:t> 172</w:t>
      </w:r>
      <w:r w:rsidRPr="00CF66E7">
        <w:rPr>
          <w:color w:val="000000"/>
        </w:rPr>
        <w:t>(3), 255-262. </w:t>
      </w:r>
      <w:hyperlink r:id="rId64" w:history="1">
        <w:r w:rsidRPr="00CF66E7">
          <w:rPr>
            <w:rStyle w:val="Hyperlink"/>
            <w:color w:val="005A84"/>
          </w:rPr>
          <w:t>https://doi.org/10.1127/1863-9135/2008/0172-0255</w:t>
        </w:r>
      </w:hyperlink>
    </w:p>
    <w:p w14:paraId="08FE51DD" w14:textId="77777777" w:rsidR="00CF66E7" w:rsidRPr="00CF66E7" w:rsidRDefault="00CF66E7" w:rsidP="00CF66E7">
      <w:pPr>
        <w:pStyle w:val="NormalWeb"/>
        <w:spacing w:after="0" w:afterAutospacing="0"/>
        <w:ind w:left="720" w:right="75" w:hanging="720"/>
        <w:rPr>
          <w:color w:val="000000"/>
        </w:rPr>
      </w:pPr>
      <w:proofErr w:type="spellStart"/>
      <w:r w:rsidRPr="00CF66E7">
        <w:rPr>
          <w:color w:val="000000"/>
        </w:rPr>
        <w:t>Søndergaard</w:t>
      </w:r>
      <w:proofErr w:type="spellEnd"/>
      <w:r w:rsidRPr="00CF66E7">
        <w:rPr>
          <w:color w:val="000000"/>
        </w:rPr>
        <w:t xml:space="preserve">, M., </w:t>
      </w:r>
      <w:proofErr w:type="spellStart"/>
      <w:r w:rsidRPr="00CF66E7">
        <w:rPr>
          <w:color w:val="000000"/>
        </w:rPr>
        <w:t>Lauridsen</w:t>
      </w:r>
      <w:proofErr w:type="spellEnd"/>
      <w:r w:rsidRPr="00CF66E7">
        <w:rPr>
          <w:color w:val="000000"/>
        </w:rPr>
        <w:t>, T. L., Johansson, L. S., &amp; Jeppesen, E. (2017). Nitrogen or phosphorus limitation in lakes and its impact on phytoplankton biomass and submerged macrophyte cover. </w:t>
      </w:r>
      <w:proofErr w:type="spellStart"/>
      <w:r w:rsidRPr="00CF66E7">
        <w:rPr>
          <w:i/>
          <w:iCs/>
          <w:color w:val="000000"/>
        </w:rPr>
        <w:t>Hydrobiologia</w:t>
      </w:r>
      <w:proofErr w:type="spellEnd"/>
      <w:r w:rsidRPr="00CF66E7">
        <w:rPr>
          <w:color w:val="000000"/>
        </w:rPr>
        <w:t>,</w:t>
      </w:r>
      <w:r w:rsidRPr="00CF66E7">
        <w:rPr>
          <w:i/>
          <w:iCs/>
          <w:color w:val="000000"/>
        </w:rPr>
        <w:t> 795</w:t>
      </w:r>
      <w:r w:rsidRPr="00CF66E7">
        <w:rPr>
          <w:color w:val="000000"/>
        </w:rPr>
        <w:t>(1), 35-48. </w:t>
      </w:r>
      <w:hyperlink r:id="rId65" w:history="1">
        <w:r w:rsidRPr="00CF66E7">
          <w:rPr>
            <w:rStyle w:val="Hyperlink"/>
            <w:color w:val="005A84"/>
          </w:rPr>
          <w:t>https://doi.org/10.1007/s10750-017-3110-x</w:t>
        </w:r>
      </w:hyperlink>
    </w:p>
    <w:p w14:paraId="1F973792" w14:textId="77777777" w:rsidR="00CF66E7" w:rsidRPr="00CF66E7" w:rsidRDefault="00CF66E7" w:rsidP="00CF66E7">
      <w:pPr>
        <w:pStyle w:val="NormalWeb"/>
        <w:spacing w:after="0" w:afterAutospacing="0"/>
        <w:ind w:left="720" w:right="75" w:hanging="720"/>
        <w:rPr>
          <w:color w:val="000000"/>
        </w:rPr>
      </w:pPr>
      <w:r w:rsidRPr="00CF66E7">
        <w:rPr>
          <w:color w:val="000000"/>
        </w:rPr>
        <w:t xml:space="preserve">Thomas, S. M., Crowther, T. W., &amp; </w:t>
      </w:r>
      <w:proofErr w:type="spellStart"/>
      <w:r w:rsidRPr="00CF66E7">
        <w:rPr>
          <w:color w:val="000000"/>
        </w:rPr>
        <w:t>Bearhop</w:t>
      </w:r>
      <w:proofErr w:type="spellEnd"/>
      <w:r w:rsidRPr="00CF66E7">
        <w:rPr>
          <w:color w:val="000000"/>
        </w:rPr>
        <w:t>, S. (2015). Predicting rates of isotopic turnover across the animal kingdom: a synthesis of existing data. </w:t>
      </w:r>
      <w:r w:rsidRPr="00CF66E7">
        <w:rPr>
          <w:i/>
          <w:iCs/>
          <w:color w:val="000000"/>
        </w:rPr>
        <w:t>The Journal of animal ecology</w:t>
      </w:r>
      <w:r w:rsidRPr="00CF66E7">
        <w:rPr>
          <w:color w:val="000000"/>
        </w:rPr>
        <w:t>,</w:t>
      </w:r>
      <w:r w:rsidRPr="00CF66E7">
        <w:rPr>
          <w:i/>
          <w:iCs/>
          <w:color w:val="000000"/>
        </w:rPr>
        <w:t> 84</w:t>
      </w:r>
      <w:r w:rsidRPr="00CF66E7">
        <w:rPr>
          <w:color w:val="000000"/>
        </w:rPr>
        <w:t>(3), 861-870. </w:t>
      </w:r>
      <w:hyperlink r:id="rId66" w:history="1">
        <w:r w:rsidRPr="00CF66E7">
          <w:rPr>
            <w:rStyle w:val="Hyperlink"/>
            <w:color w:val="005A84"/>
          </w:rPr>
          <w:t>https://doi.org/10.1111/1365-2656.12326</w:t>
        </w:r>
      </w:hyperlink>
    </w:p>
    <w:p w14:paraId="073B9CEE" w14:textId="77777777" w:rsidR="00CF66E7" w:rsidRPr="00CF66E7" w:rsidRDefault="00CF66E7" w:rsidP="00CF66E7">
      <w:pPr>
        <w:pStyle w:val="NormalWeb"/>
        <w:spacing w:after="0" w:afterAutospacing="0"/>
        <w:ind w:left="720" w:right="75" w:hanging="720"/>
        <w:rPr>
          <w:color w:val="000000"/>
        </w:rPr>
      </w:pPr>
      <w:r w:rsidRPr="00CF66E7">
        <w:rPr>
          <w:color w:val="000000"/>
        </w:rPr>
        <w:t xml:space="preserve">Vander </w:t>
      </w:r>
      <w:proofErr w:type="spellStart"/>
      <w:r w:rsidRPr="00CF66E7">
        <w:rPr>
          <w:color w:val="000000"/>
        </w:rPr>
        <w:t>Zanden</w:t>
      </w:r>
      <w:proofErr w:type="spellEnd"/>
      <w:r w:rsidRPr="00CF66E7">
        <w:rPr>
          <w:color w:val="000000"/>
        </w:rPr>
        <w:t xml:space="preserve">, M. J., Clayton, M. K., Moody, E. K., Solomon, C. T., &amp; </w:t>
      </w:r>
      <w:proofErr w:type="spellStart"/>
      <w:r w:rsidRPr="00CF66E7">
        <w:rPr>
          <w:color w:val="000000"/>
        </w:rPr>
        <w:t>Weidel</w:t>
      </w:r>
      <w:proofErr w:type="spellEnd"/>
      <w:r w:rsidRPr="00CF66E7">
        <w:rPr>
          <w:color w:val="000000"/>
        </w:rPr>
        <w:t>, B. C. (2015). Stable isotope turnover and half-life in animal tissues: a literature synthesis. </w:t>
      </w:r>
      <w:proofErr w:type="spellStart"/>
      <w:r w:rsidRPr="00CF66E7">
        <w:rPr>
          <w:i/>
          <w:iCs/>
          <w:color w:val="000000"/>
        </w:rPr>
        <w:t>PloS</w:t>
      </w:r>
      <w:proofErr w:type="spellEnd"/>
      <w:r w:rsidRPr="00CF66E7">
        <w:rPr>
          <w:i/>
          <w:iCs/>
          <w:color w:val="000000"/>
        </w:rPr>
        <w:t xml:space="preserve"> one</w:t>
      </w:r>
      <w:r w:rsidRPr="00CF66E7">
        <w:rPr>
          <w:color w:val="000000"/>
        </w:rPr>
        <w:t>,</w:t>
      </w:r>
      <w:r w:rsidRPr="00CF66E7">
        <w:rPr>
          <w:i/>
          <w:iCs/>
          <w:color w:val="000000"/>
        </w:rPr>
        <w:t> 10</w:t>
      </w:r>
      <w:r w:rsidRPr="00CF66E7">
        <w:rPr>
          <w:color w:val="000000"/>
        </w:rPr>
        <w:t>(1), e0116182-e0116182. </w:t>
      </w:r>
      <w:hyperlink r:id="rId67" w:history="1">
        <w:r w:rsidRPr="00CF66E7">
          <w:rPr>
            <w:rStyle w:val="Hyperlink"/>
            <w:color w:val="005A84"/>
          </w:rPr>
          <w:t>https://doi.org/10.1371/journal.pone.0116182</w:t>
        </w:r>
      </w:hyperlink>
    </w:p>
    <w:p w14:paraId="1500157B" w14:textId="77777777" w:rsidR="00CF66E7" w:rsidRPr="00CF66E7" w:rsidRDefault="00CF66E7" w:rsidP="00CF66E7">
      <w:pPr>
        <w:pStyle w:val="NormalWeb"/>
        <w:spacing w:after="0" w:afterAutospacing="0"/>
        <w:ind w:left="720" w:right="75" w:hanging="720"/>
        <w:rPr>
          <w:color w:val="000000"/>
        </w:rPr>
      </w:pPr>
      <w:r w:rsidRPr="00CF66E7">
        <w:rPr>
          <w:color w:val="000000"/>
        </w:rPr>
        <w:lastRenderedPageBreak/>
        <w:t xml:space="preserve">Vander </w:t>
      </w:r>
      <w:proofErr w:type="spellStart"/>
      <w:r w:rsidRPr="00CF66E7">
        <w:rPr>
          <w:color w:val="000000"/>
        </w:rPr>
        <w:t>Zanden</w:t>
      </w:r>
      <w:proofErr w:type="spellEnd"/>
      <w:r w:rsidRPr="00CF66E7">
        <w:rPr>
          <w:color w:val="000000"/>
        </w:rPr>
        <w:t xml:space="preserve">, M. J., </w:t>
      </w:r>
      <w:proofErr w:type="spellStart"/>
      <w:r w:rsidRPr="00CF66E7">
        <w:rPr>
          <w:color w:val="000000"/>
        </w:rPr>
        <w:t>Vadeboncoeur</w:t>
      </w:r>
      <w:proofErr w:type="spellEnd"/>
      <w:r w:rsidRPr="00CF66E7">
        <w:rPr>
          <w:color w:val="000000"/>
        </w:rPr>
        <w:t xml:space="preserve">, Y., </w:t>
      </w:r>
      <w:proofErr w:type="spellStart"/>
      <w:r w:rsidRPr="00CF66E7">
        <w:rPr>
          <w:color w:val="000000"/>
        </w:rPr>
        <w:t>Diebel</w:t>
      </w:r>
      <w:proofErr w:type="spellEnd"/>
      <w:r w:rsidRPr="00CF66E7">
        <w:rPr>
          <w:color w:val="000000"/>
        </w:rPr>
        <w:t>, M. W., &amp; Jeppesen, E. (2005). Primary Consumer Stable Nitrogen Isotopes as Indicators of Nutrient Source. </w:t>
      </w:r>
      <w:r w:rsidRPr="00CF66E7">
        <w:rPr>
          <w:i/>
          <w:iCs/>
          <w:color w:val="000000"/>
        </w:rPr>
        <w:t>Environmental science &amp; technology</w:t>
      </w:r>
      <w:r w:rsidRPr="00CF66E7">
        <w:rPr>
          <w:color w:val="000000"/>
        </w:rPr>
        <w:t>,</w:t>
      </w:r>
      <w:r w:rsidRPr="00CF66E7">
        <w:rPr>
          <w:i/>
          <w:iCs/>
          <w:color w:val="000000"/>
        </w:rPr>
        <w:t> 39</w:t>
      </w:r>
      <w:r w:rsidRPr="00CF66E7">
        <w:rPr>
          <w:color w:val="000000"/>
        </w:rPr>
        <w:t>(19), 7509-7515. </w:t>
      </w:r>
      <w:hyperlink r:id="rId68" w:history="1">
        <w:r w:rsidRPr="00CF66E7">
          <w:rPr>
            <w:rStyle w:val="Hyperlink"/>
            <w:color w:val="005A84"/>
          </w:rPr>
          <w:t>https://doi.org/10.1021/es050606t</w:t>
        </w:r>
      </w:hyperlink>
    </w:p>
    <w:p w14:paraId="3F44B9F2" w14:textId="77777777" w:rsidR="00CF66E7" w:rsidRPr="00CF66E7" w:rsidRDefault="00CF66E7" w:rsidP="00CF66E7">
      <w:pPr>
        <w:pStyle w:val="NormalWeb"/>
        <w:spacing w:after="0" w:afterAutospacing="0"/>
        <w:ind w:left="720" w:right="75" w:hanging="720"/>
        <w:rPr>
          <w:color w:val="000000"/>
        </w:rPr>
      </w:pPr>
      <w:proofErr w:type="spellStart"/>
      <w:r w:rsidRPr="00CF66E7">
        <w:rPr>
          <w:color w:val="000000"/>
        </w:rPr>
        <w:t>Vanderklift</w:t>
      </w:r>
      <w:proofErr w:type="spellEnd"/>
      <w:r w:rsidRPr="00CF66E7">
        <w:rPr>
          <w:color w:val="000000"/>
        </w:rPr>
        <w:t xml:space="preserve">, M. A., &amp; </w:t>
      </w:r>
      <w:proofErr w:type="spellStart"/>
      <w:r w:rsidRPr="00CF66E7">
        <w:rPr>
          <w:color w:val="000000"/>
        </w:rPr>
        <w:t>Ponsard</w:t>
      </w:r>
      <w:proofErr w:type="spellEnd"/>
      <w:r w:rsidRPr="00CF66E7">
        <w:rPr>
          <w:color w:val="000000"/>
        </w:rPr>
        <w:t>, S. (2003). Sources of variation in consumer-diet ?15N enrichment: a meta-analysis. </w:t>
      </w:r>
      <w:proofErr w:type="spellStart"/>
      <w:r w:rsidRPr="00CF66E7">
        <w:rPr>
          <w:i/>
          <w:iCs/>
          <w:color w:val="000000"/>
        </w:rPr>
        <w:t>Oecologia</w:t>
      </w:r>
      <w:proofErr w:type="spellEnd"/>
      <w:r w:rsidRPr="00CF66E7">
        <w:rPr>
          <w:color w:val="000000"/>
        </w:rPr>
        <w:t>,</w:t>
      </w:r>
      <w:r w:rsidRPr="00CF66E7">
        <w:rPr>
          <w:i/>
          <w:iCs/>
          <w:color w:val="000000"/>
        </w:rPr>
        <w:t> 136</w:t>
      </w:r>
      <w:r w:rsidRPr="00CF66E7">
        <w:rPr>
          <w:color w:val="000000"/>
        </w:rPr>
        <w:t>(2), 169-182. </w:t>
      </w:r>
      <w:hyperlink r:id="rId69" w:history="1">
        <w:r w:rsidRPr="00CF66E7">
          <w:rPr>
            <w:rStyle w:val="Hyperlink"/>
            <w:color w:val="005A84"/>
          </w:rPr>
          <w:t>https://doi.org/10.1007/s00442-003-1270-z</w:t>
        </w:r>
      </w:hyperlink>
    </w:p>
    <w:p w14:paraId="4A9E3D79" w14:textId="77777777" w:rsidR="00CF66E7" w:rsidRPr="00CF66E7" w:rsidRDefault="00CF66E7" w:rsidP="00CF66E7">
      <w:pPr>
        <w:pStyle w:val="NormalWeb"/>
        <w:spacing w:after="0" w:afterAutospacing="0"/>
        <w:ind w:left="720" w:right="75" w:hanging="720"/>
        <w:rPr>
          <w:color w:val="000000"/>
        </w:rPr>
      </w:pPr>
      <w:proofErr w:type="spellStart"/>
      <w:r w:rsidRPr="00CF66E7">
        <w:rPr>
          <w:color w:val="000000"/>
        </w:rPr>
        <w:t>Verspoor</w:t>
      </w:r>
      <w:proofErr w:type="spellEnd"/>
      <w:r w:rsidRPr="00CF66E7">
        <w:rPr>
          <w:color w:val="000000"/>
        </w:rPr>
        <w:t>, J. J., Braun, D. C., Stubbs, M. M., &amp; Reynolds, J. D. (2011). Persistent ecological effects of a salmon-derived nutrient pulse on stream invertebrate communities. </w:t>
      </w:r>
      <w:r w:rsidRPr="00CF66E7">
        <w:rPr>
          <w:i/>
          <w:iCs/>
          <w:color w:val="000000"/>
        </w:rPr>
        <w:t>Ecosphere (Washington, D.C)</w:t>
      </w:r>
      <w:r w:rsidRPr="00CF66E7">
        <w:rPr>
          <w:color w:val="000000"/>
        </w:rPr>
        <w:t>,</w:t>
      </w:r>
      <w:r w:rsidRPr="00CF66E7">
        <w:rPr>
          <w:i/>
          <w:iCs/>
          <w:color w:val="000000"/>
        </w:rPr>
        <w:t> 2</w:t>
      </w:r>
      <w:r w:rsidRPr="00CF66E7">
        <w:rPr>
          <w:color w:val="000000"/>
        </w:rPr>
        <w:t>(2), art18-17. </w:t>
      </w:r>
      <w:hyperlink r:id="rId70" w:history="1">
        <w:r w:rsidRPr="00CF66E7">
          <w:rPr>
            <w:rStyle w:val="Hyperlink"/>
            <w:color w:val="005A84"/>
          </w:rPr>
          <w:t>https://doi.org/10.1890/ES10-00011.1</w:t>
        </w:r>
      </w:hyperlink>
    </w:p>
    <w:p w14:paraId="33A92C84" w14:textId="77777777" w:rsidR="00CF66E7" w:rsidRPr="00CF66E7" w:rsidRDefault="00CF66E7" w:rsidP="00CF66E7">
      <w:pPr>
        <w:pStyle w:val="NormalWeb"/>
        <w:spacing w:after="0" w:afterAutospacing="0"/>
        <w:ind w:left="720" w:right="75" w:hanging="720"/>
        <w:rPr>
          <w:color w:val="000000"/>
        </w:rPr>
      </w:pPr>
      <w:proofErr w:type="spellStart"/>
      <w:r w:rsidRPr="00CF66E7">
        <w:rPr>
          <w:color w:val="000000"/>
        </w:rPr>
        <w:t>Vizzini</w:t>
      </w:r>
      <w:proofErr w:type="spellEnd"/>
      <w:r w:rsidRPr="00CF66E7">
        <w:rPr>
          <w:color w:val="000000"/>
        </w:rPr>
        <w:t>, S., &amp; Mazzola, A. (2003). Seasonal variations in the stable carbon and nitrogen isotope ratios (13C/12C and 15N/14N) of primary producers and consumers in a western Mediterranean coastal lagoon. </w:t>
      </w:r>
      <w:r w:rsidRPr="00CF66E7">
        <w:rPr>
          <w:i/>
          <w:iCs/>
          <w:color w:val="000000"/>
        </w:rPr>
        <w:t>Marine biology</w:t>
      </w:r>
      <w:r w:rsidRPr="00CF66E7">
        <w:rPr>
          <w:color w:val="000000"/>
        </w:rPr>
        <w:t>,</w:t>
      </w:r>
      <w:r w:rsidRPr="00CF66E7">
        <w:rPr>
          <w:i/>
          <w:iCs/>
          <w:color w:val="000000"/>
        </w:rPr>
        <w:t> 142</w:t>
      </w:r>
      <w:r w:rsidRPr="00CF66E7">
        <w:rPr>
          <w:color w:val="000000"/>
        </w:rPr>
        <w:t>(5), 1009-1018. </w:t>
      </w:r>
      <w:hyperlink r:id="rId71" w:history="1">
        <w:r w:rsidRPr="00CF66E7">
          <w:rPr>
            <w:rStyle w:val="Hyperlink"/>
            <w:color w:val="005A84"/>
          </w:rPr>
          <w:t>https://doi.org/10.1007/s00227-003-1027-6</w:t>
        </w:r>
      </w:hyperlink>
    </w:p>
    <w:p w14:paraId="7C1D8A75" w14:textId="77777777" w:rsidR="00CF66E7" w:rsidRPr="00CF66E7" w:rsidRDefault="00CF66E7" w:rsidP="00CF66E7">
      <w:pPr>
        <w:pStyle w:val="NormalWeb"/>
        <w:spacing w:after="0" w:afterAutospacing="0"/>
        <w:ind w:left="720" w:right="75" w:hanging="720"/>
        <w:rPr>
          <w:color w:val="000000"/>
        </w:rPr>
      </w:pPr>
      <w:proofErr w:type="spellStart"/>
      <w:r w:rsidRPr="00CF66E7">
        <w:rPr>
          <w:color w:val="000000"/>
        </w:rPr>
        <w:t>Vokhshoori</w:t>
      </w:r>
      <w:proofErr w:type="spellEnd"/>
      <w:r w:rsidRPr="00CF66E7">
        <w:rPr>
          <w:color w:val="000000"/>
        </w:rPr>
        <w:t xml:space="preserve">, N. L., &amp; McCarthy, M. D. (2014). Compound-specific δ15N amino acid measurements in littoral mussels in the California upwelling ecosystem: a new approach to generating baseline δ15N </w:t>
      </w:r>
      <w:proofErr w:type="spellStart"/>
      <w:r w:rsidRPr="00CF66E7">
        <w:rPr>
          <w:color w:val="000000"/>
        </w:rPr>
        <w:t>Isoscapes</w:t>
      </w:r>
      <w:proofErr w:type="spellEnd"/>
      <w:r w:rsidRPr="00CF66E7">
        <w:rPr>
          <w:color w:val="000000"/>
        </w:rPr>
        <w:t xml:space="preserve"> for coastal ecosystems. </w:t>
      </w:r>
      <w:proofErr w:type="spellStart"/>
      <w:r w:rsidRPr="00CF66E7">
        <w:rPr>
          <w:i/>
          <w:iCs/>
          <w:color w:val="000000"/>
        </w:rPr>
        <w:t>PloS</w:t>
      </w:r>
      <w:proofErr w:type="spellEnd"/>
      <w:r w:rsidRPr="00CF66E7">
        <w:rPr>
          <w:i/>
          <w:iCs/>
          <w:color w:val="000000"/>
        </w:rPr>
        <w:t xml:space="preserve"> one</w:t>
      </w:r>
      <w:r w:rsidRPr="00CF66E7">
        <w:rPr>
          <w:color w:val="000000"/>
        </w:rPr>
        <w:t>,</w:t>
      </w:r>
      <w:r w:rsidRPr="00CF66E7">
        <w:rPr>
          <w:i/>
          <w:iCs/>
          <w:color w:val="000000"/>
        </w:rPr>
        <w:t> 9</w:t>
      </w:r>
      <w:r w:rsidRPr="00CF66E7">
        <w:rPr>
          <w:color w:val="000000"/>
        </w:rPr>
        <w:t>(6), e98087-e98087. </w:t>
      </w:r>
      <w:hyperlink r:id="rId72" w:history="1">
        <w:r w:rsidRPr="00CF66E7">
          <w:rPr>
            <w:rStyle w:val="Hyperlink"/>
            <w:color w:val="005A84"/>
          </w:rPr>
          <w:t>https://doi.org/10.1371/journal.pone.0098087</w:t>
        </w:r>
      </w:hyperlink>
    </w:p>
    <w:p w14:paraId="1455A7C9" w14:textId="77777777" w:rsidR="00CF66E7" w:rsidRPr="00CF66E7" w:rsidRDefault="00CF66E7" w:rsidP="00CF66E7">
      <w:pPr>
        <w:pStyle w:val="NormalWeb"/>
        <w:spacing w:after="0" w:afterAutospacing="0"/>
        <w:ind w:left="720" w:right="75" w:hanging="720"/>
        <w:rPr>
          <w:color w:val="000000"/>
        </w:rPr>
      </w:pPr>
      <w:proofErr w:type="spellStart"/>
      <w:r w:rsidRPr="00CF66E7">
        <w:rPr>
          <w:color w:val="000000"/>
        </w:rPr>
        <w:t>Vuorio</w:t>
      </w:r>
      <w:proofErr w:type="spellEnd"/>
      <w:r w:rsidRPr="00CF66E7">
        <w:rPr>
          <w:color w:val="000000"/>
        </w:rPr>
        <w:t xml:space="preserve">, K., </w:t>
      </w:r>
      <w:proofErr w:type="spellStart"/>
      <w:r w:rsidRPr="00CF66E7">
        <w:rPr>
          <w:color w:val="000000"/>
        </w:rPr>
        <w:t>Meili</w:t>
      </w:r>
      <w:proofErr w:type="spellEnd"/>
      <w:r w:rsidRPr="00CF66E7">
        <w:rPr>
          <w:color w:val="000000"/>
        </w:rPr>
        <w:t xml:space="preserve">, M., &amp; </w:t>
      </w:r>
      <w:proofErr w:type="spellStart"/>
      <w:r w:rsidRPr="00CF66E7">
        <w:rPr>
          <w:color w:val="000000"/>
        </w:rPr>
        <w:t>Sarvala</w:t>
      </w:r>
      <w:proofErr w:type="spellEnd"/>
      <w:r w:rsidRPr="00CF66E7">
        <w:rPr>
          <w:color w:val="000000"/>
        </w:rPr>
        <w:t>, J. (2006). Taxon-specific variation in the stable isotopic signatures (δ13C and δ15N) of lake phytoplankton. </w:t>
      </w:r>
      <w:r w:rsidRPr="00CF66E7">
        <w:rPr>
          <w:i/>
          <w:iCs/>
          <w:color w:val="000000"/>
        </w:rPr>
        <w:t>Freshwater biology</w:t>
      </w:r>
      <w:r w:rsidRPr="00CF66E7">
        <w:rPr>
          <w:color w:val="000000"/>
        </w:rPr>
        <w:t>,</w:t>
      </w:r>
      <w:r w:rsidRPr="00CF66E7">
        <w:rPr>
          <w:i/>
          <w:iCs/>
          <w:color w:val="000000"/>
        </w:rPr>
        <w:t> 51</w:t>
      </w:r>
      <w:r w:rsidRPr="00CF66E7">
        <w:rPr>
          <w:color w:val="000000"/>
        </w:rPr>
        <w:t>(5), 807-822. </w:t>
      </w:r>
      <w:hyperlink r:id="rId73" w:history="1">
        <w:r w:rsidRPr="00CF66E7">
          <w:rPr>
            <w:rStyle w:val="Hyperlink"/>
            <w:color w:val="005A84"/>
          </w:rPr>
          <w:t>https://doi.org/10.1111/j.1365-2427.2006.01529.x</w:t>
        </w:r>
      </w:hyperlink>
    </w:p>
    <w:p w14:paraId="35129878" w14:textId="77777777" w:rsidR="00CF66E7" w:rsidRPr="00CF66E7" w:rsidRDefault="00CF66E7" w:rsidP="00CF66E7">
      <w:pPr>
        <w:pStyle w:val="NormalWeb"/>
        <w:spacing w:after="0" w:afterAutospacing="0"/>
        <w:ind w:left="720" w:right="75" w:hanging="720"/>
        <w:rPr>
          <w:color w:val="000000"/>
        </w:rPr>
      </w:pPr>
      <w:r w:rsidRPr="00CF66E7">
        <w:rPr>
          <w:color w:val="000000"/>
        </w:rPr>
        <w:t>Ware, D. M., &amp; Thomson, R. E. (2005). Bottom-up Ecosystem Trophic Dynamics Determine Fish Production in the Northeast Pacific. </w:t>
      </w:r>
      <w:r w:rsidRPr="00CF66E7">
        <w:rPr>
          <w:i/>
          <w:iCs/>
          <w:color w:val="000000"/>
        </w:rPr>
        <w:t>Science (American Association for the Advancement of Science)</w:t>
      </w:r>
      <w:r w:rsidRPr="00CF66E7">
        <w:rPr>
          <w:color w:val="000000"/>
        </w:rPr>
        <w:t>,</w:t>
      </w:r>
      <w:r w:rsidRPr="00CF66E7">
        <w:rPr>
          <w:i/>
          <w:iCs/>
          <w:color w:val="000000"/>
        </w:rPr>
        <w:t> 308</w:t>
      </w:r>
      <w:r w:rsidRPr="00CF66E7">
        <w:rPr>
          <w:color w:val="000000"/>
        </w:rPr>
        <w:t>(5726), 1280-1284. </w:t>
      </w:r>
      <w:hyperlink r:id="rId74" w:history="1">
        <w:r w:rsidRPr="00CF66E7">
          <w:rPr>
            <w:rStyle w:val="Hyperlink"/>
            <w:color w:val="005A84"/>
          </w:rPr>
          <w:t>https://doi.org/10.1126/science.1109049</w:t>
        </w:r>
      </w:hyperlink>
    </w:p>
    <w:p w14:paraId="25701441" w14:textId="77777777" w:rsidR="00CF66E7" w:rsidRPr="00CF66E7" w:rsidRDefault="00CF66E7" w:rsidP="00CF66E7">
      <w:pPr>
        <w:pStyle w:val="NormalWeb"/>
        <w:spacing w:after="0" w:afterAutospacing="0"/>
        <w:ind w:left="720" w:right="75" w:hanging="720"/>
        <w:rPr>
          <w:color w:val="000000"/>
        </w:rPr>
      </w:pPr>
      <w:r w:rsidRPr="00CF66E7">
        <w:rPr>
          <w:color w:val="000000"/>
        </w:rPr>
        <w:t xml:space="preserve">Woodland, R. J., </w:t>
      </w:r>
      <w:proofErr w:type="spellStart"/>
      <w:r w:rsidRPr="00CF66E7">
        <w:rPr>
          <w:color w:val="000000"/>
        </w:rPr>
        <w:t>Magnan</w:t>
      </w:r>
      <w:proofErr w:type="spellEnd"/>
      <w:r w:rsidRPr="00CF66E7">
        <w:rPr>
          <w:color w:val="000000"/>
        </w:rPr>
        <w:t xml:space="preserve">, P., </w:t>
      </w:r>
      <w:proofErr w:type="spellStart"/>
      <w:r w:rsidRPr="00CF66E7">
        <w:rPr>
          <w:color w:val="000000"/>
        </w:rPr>
        <w:t>Glémet</w:t>
      </w:r>
      <w:proofErr w:type="spellEnd"/>
      <w:r w:rsidRPr="00CF66E7">
        <w:rPr>
          <w:color w:val="000000"/>
        </w:rPr>
        <w:t>, H., Rodríguez, M. A., &amp; Cabana, G. (2012). Variability and directionality of temporal changes in δ13C and δ15N of aquatic invertebrate primary consumers. </w:t>
      </w:r>
      <w:proofErr w:type="spellStart"/>
      <w:r w:rsidRPr="00CF66E7">
        <w:rPr>
          <w:i/>
          <w:iCs/>
          <w:color w:val="000000"/>
        </w:rPr>
        <w:t>Oecologia</w:t>
      </w:r>
      <w:proofErr w:type="spellEnd"/>
      <w:r w:rsidRPr="00CF66E7">
        <w:rPr>
          <w:color w:val="000000"/>
        </w:rPr>
        <w:t>,</w:t>
      </w:r>
      <w:r w:rsidRPr="00CF66E7">
        <w:rPr>
          <w:i/>
          <w:iCs/>
          <w:color w:val="000000"/>
        </w:rPr>
        <w:t> 169</w:t>
      </w:r>
      <w:r w:rsidRPr="00CF66E7">
        <w:rPr>
          <w:color w:val="000000"/>
        </w:rPr>
        <w:t>(1), 199-209. </w:t>
      </w:r>
      <w:hyperlink r:id="rId75" w:history="1">
        <w:r w:rsidRPr="00CF66E7">
          <w:rPr>
            <w:rStyle w:val="Hyperlink"/>
            <w:color w:val="005A84"/>
          </w:rPr>
          <w:t>https://doi.org/10.1007/s00442-011-2178-7</w:t>
        </w:r>
      </w:hyperlink>
    </w:p>
    <w:p w14:paraId="57C5C13A" w14:textId="77777777" w:rsidR="00CF66E7" w:rsidRPr="00CF66E7" w:rsidRDefault="00CF66E7" w:rsidP="00CF66E7">
      <w:pPr>
        <w:pStyle w:val="NormalWeb"/>
        <w:spacing w:after="0" w:afterAutospacing="0"/>
        <w:ind w:left="720" w:right="75" w:hanging="720"/>
        <w:rPr>
          <w:color w:val="000000"/>
        </w:rPr>
      </w:pPr>
      <w:r w:rsidRPr="00CF66E7">
        <w:rPr>
          <w:color w:val="000000"/>
        </w:rPr>
        <w:t xml:space="preserve">Wu, J. P., Calvert, S. E., &amp; Wong, C. S. (1999). Carbon and Nitrogen Isotope Ratios in </w:t>
      </w:r>
      <w:proofErr w:type="spellStart"/>
      <w:r w:rsidRPr="00CF66E7">
        <w:rPr>
          <w:color w:val="000000"/>
        </w:rPr>
        <w:t>Sedimenting</w:t>
      </w:r>
      <w:proofErr w:type="spellEnd"/>
      <w:r w:rsidRPr="00CF66E7">
        <w:rPr>
          <w:color w:val="000000"/>
        </w:rPr>
        <w:t xml:space="preserve"> Particulate Organic Matter at an Upwelling Site off Vancouver Island. </w:t>
      </w:r>
      <w:r w:rsidRPr="00CF66E7">
        <w:rPr>
          <w:i/>
          <w:iCs/>
          <w:color w:val="000000"/>
        </w:rPr>
        <w:t>Estuarine, coastal and shelf science</w:t>
      </w:r>
      <w:r w:rsidRPr="00CF66E7">
        <w:rPr>
          <w:color w:val="000000"/>
        </w:rPr>
        <w:t>,</w:t>
      </w:r>
      <w:r w:rsidRPr="00CF66E7">
        <w:rPr>
          <w:i/>
          <w:iCs/>
          <w:color w:val="000000"/>
        </w:rPr>
        <w:t> 48</w:t>
      </w:r>
      <w:r w:rsidRPr="00CF66E7">
        <w:rPr>
          <w:color w:val="000000"/>
        </w:rPr>
        <w:t>(2), 193-203. </w:t>
      </w:r>
      <w:hyperlink r:id="rId76" w:history="1">
        <w:r w:rsidRPr="00CF66E7">
          <w:rPr>
            <w:rStyle w:val="Hyperlink"/>
            <w:color w:val="005A84"/>
          </w:rPr>
          <w:t>https://doi.org/10.1006/ecss.1998.0409</w:t>
        </w:r>
      </w:hyperlink>
    </w:p>
    <w:p w14:paraId="5892B013" w14:textId="13827843" w:rsidR="00CF66E7" w:rsidRPr="00CF66E7" w:rsidRDefault="00CF66E7" w:rsidP="00CF66E7">
      <w:pPr>
        <w:pStyle w:val="NormalWeb"/>
        <w:spacing w:after="0" w:afterAutospacing="0"/>
        <w:ind w:left="720" w:right="75" w:hanging="720"/>
        <w:rPr>
          <w:color w:val="000000"/>
        </w:rPr>
      </w:pPr>
      <w:proofErr w:type="spellStart"/>
      <w:r w:rsidRPr="00CF66E7">
        <w:rPr>
          <w:color w:val="000000"/>
        </w:rPr>
        <w:t>Zanden</w:t>
      </w:r>
      <w:proofErr w:type="spellEnd"/>
      <w:r w:rsidRPr="00CF66E7">
        <w:rPr>
          <w:color w:val="000000"/>
        </w:rPr>
        <w:t>, M. J. V., &amp; Rasmussen, J. B. (2001). Variation in δ15N and δ13C Trophic Fractionation: Implications for Aquatic Food Web Studies. </w:t>
      </w:r>
      <w:r w:rsidRPr="00CF66E7">
        <w:rPr>
          <w:i/>
          <w:iCs/>
          <w:color w:val="000000"/>
        </w:rPr>
        <w:t>Limnology and oceanography</w:t>
      </w:r>
      <w:r w:rsidRPr="00CF66E7">
        <w:rPr>
          <w:color w:val="000000"/>
        </w:rPr>
        <w:t>,</w:t>
      </w:r>
      <w:r w:rsidRPr="00CF66E7">
        <w:rPr>
          <w:i/>
          <w:iCs/>
          <w:color w:val="000000"/>
        </w:rPr>
        <w:t> 46</w:t>
      </w:r>
      <w:r w:rsidRPr="00CF66E7">
        <w:rPr>
          <w:color w:val="000000"/>
        </w:rPr>
        <w:t>(8), 2061-2066. </w:t>
      </w:r>
      <w:hyperlink r:id="rId77" w:history="1">
        <w:r w:rsidRPr="00CF66E7">
          <w:rPr>
            <w:rStyle w:val="Hyperlink"/>
            <w:color w:val="005A84"/>
          </w:rPr>
          <w:t>https://doi.org/10.4319/lo.2001.46.8.2061</w:t>
        </w:r>
      </w:hyperlink>
    </w:p>
    <w:p w14:paraId="7D1EDE0E" w14:textId="4F9BE887" w:rsidR="00D06A05" w:rsidRPr="00CF66E7" w:rsidRDefault="00CF66E7" w:rsidP="00CF66E7">
      <w:pPr>
        <w:spacing w:line="360" w:lineRule="atLeast"/>
        <w:jc w:val="center"/>
        <w:rPr>
          <w:rFonts w:ascii="Verdana" w:hAnsi="Verdana"/>
          <w:color w:val="000000"/>
          <w:sz w:val="18"/>
          <w:szCs w:val="18"/>
        </w:rPr>
      </w:pPr>
      <w:r w:rsidRPr="00CF66E7">
        <w:rPr>
          <w:rFonts w:ascii="Verdana" w:hAnsi="Verdana"/>
          <w:color w:val="000000"/>
          <w:sz w:val="18"/>
          <w:szCs w:val="18"/>
        </w:rPr>
        <w:t xml:space="preserve"> </w:t>
      </w:r>
    </w:p>
    <w:sectPr w:rsidR="00D06A05" w:rsidRPr="00CF66E7" w:rsidSect="001734F8">
      <w:headerReference w:type="even" r:id="rId78"/>
      <w:headerReference w:type="default" r:id="rId79"/>
      <w:pgSz w:w="11906" w:h="16838"/>
      <w:pgMar w:top="1440" w:right="1440" w:bottom="13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549C8D" w14:textId="77777777" w:rsidR="008C2756" w:rsidRDefault="008C2756" w:rsidP="001734F8">
      <w:r>
        <w:separator/>
      </w:r>
    </w:p>
  </w:endnote>
  <w:endnote w:type="continuationSeparator" w:id="0">
    <w:p w14:paraId="254F61F8" w14:textId="77777777" w:rsidR="008C2756" w:rsidRDefault="008C2756" w:rsidP="00173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1E9A32" w14:textId="77777777" w:rsidR="008C2756" w:rsidRDefault="008C2756" w:rsidP="001734F8">
      <w:r>
        <w:separator/>
      </w:r>
    </w:p>
  </w:footnote>
  <w:footnote w:type="continuationSeparator" w:id="0">
    <w:p w14:paraId="0361C135" w14:textId="77777777" w:rsidR="008C2756" w:rsidRDefault="008C2756" w:rsidP="001734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0873921"/>
      <w:docPartObj>
        <w:docPartGallery w:val="Page Numbers (Top of Page)"/>
        <w:docPartUnique/>
      </w:docPartObj>
    </w:sdtPr>
    <w:sdtContent>
      <w:p w14:paraId="7D4112C0" w14:textId="7CCF1774" w:rsidR="00CC2FFD" w:rsidRDefault="00CC2FFD" w:rsidP="0026669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AF1EE4" w14:textId="77777777" w:rsidR="00CC2FFD" w:rsidRDefault="00CC2FFD" w:rsidP="001734F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8205979"/>
      <w:docPartObj>
        <w:docPartGallery w:val="Page Numbers (Top of Page)"/>
        <w:docPartUnique/>
      </w:docPartObj>
    </w:sdtPr>
    <w:sdtContent>
      <w:p w14:paraId="5ACBEA2A" w14:textId="6CE9774A" w:rsidR="00CC2FFD" w:rsidRDefault="00CC2FFD" w:rsidP="0026669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83EA9A" w14:textId="77777777" w:rsidR="00CC2FFD" w:rsidRDefault="00CC2FFD" w:rsidP="001734F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FC1000"/>
    <w:multiLevelType w:val="hybridMultilevel"/>
    <w:tmpl w:val="E6E201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6DD67410"/>
    <w:multiLevelType w:val="hybridMultilevel"/>
    <w:tmpl w:val="36AA918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74AF231E"/>
    <w:multiLevelType w:val="hybridMultilevel"/>
    <w:tmpl w:val="02605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48D"/>
    <w:rsid w:val="00000956"/>
    <w:rsid w:val="00004EEC"/>
    <w:rsid w:val="00012EEF"/>
    <w:rsid w:val="000143B2"/>
    <w:rsid w:val="00014C35"/>
    <w:rsid w:val="00020301"/>
    <w:rsid w:val="00021356"/>
    <w:rsid w:val="00024B96"/>
    <w:rsid w:val="0003246E"/>
    <w:rsid w:val="00040AA8"/>
    <w:rsid w:val="00043FC8"/>
    <w:rsid w:val="0004623D"/>
    <w:rsid w:val="00061E25"/>
    <w:rsid w:val="0006352F"/>
    <w:rsid w:val="00064B70"/>
    <w:rsid w:val="000750A7"/>
    <w:rsid w:val="00084F02"/>
    <w:rsid w:val="00090210"/>
    <w:rsid w:val="00090337"/>
    <w:rsid w:val="00092EBE"/>
    <w:rsid w:val="000940CF"/>
    <w:rsid w:val="00094523"/>
    <w:rsid w:val="000972E4"/>
    <w:rsid w:val="000A169D"/>
    <w:rsid w:val="000A3D0B"/>
    <w:rsid w:val="000B06B9"/>
    <w:rsid w:val="000B27AF"/>
    <w:rsid w:val="000B39DE"/>
    <w:rsid w:val="000B59A4"/>
    <w:rsid w:val="000B7281"/>
    <w:rsid w:val="000B7919"/>
    <w:rsid w:val="000C09AC"/>
    <w:rsid w:val="000C2A59"/>
    <w:rsid w:val="000C719D"/>
    <w:rsid w:val="000D32F2"/>
    <w:rsid w:val="000D3365"/>
    <w:rsid w:val="000D61C3"/>
    <w:rsid w:val="000E1021"/>
    <w:rsid w:val="000E1757"/>
    <w:rsid w:val="000E3CE0"/>
    <w:rsid w:val="000E498E"/>
    <w:rsid w:val="000E4E7A"/>
    <w:rsid w:val="000E4FE6"/>
    <w:rsid w:val="000E5442"/>
    <w:rsid w:val="001016F4"/>
    <w:rsid w:val="00103DFE"/>
    <w:rsid w:val="0010572D"/>
    <w:rsid w:val="00105F8C"/>
    <w:rsid w:val="00107D5D"/>
    <w:rsid w:val="00110B67"/>
    <w:rsid w:val="00116A8A"/>
    <w:rsid w:val="00123F00"/>
    <w:rsid w:val="001272CA"/>
    <w:rsid w:val="001303AE"/>
    <w:rsid w:val="0013534E"/>
    <w:rsid w:val="00135E22"/>
    <w:rsid w:val="0014117A"/>
    <w:rsid w:val="00142FF6"/>
    <w:rsid w:val="00144BF0"/>
    <w:rsid w:val="00144E4F"/>
    <w:rsid w:val="00145B2F"/>
    <w:rsid w:val="00146FD8"/>
    <w:rsid w:val="00147993"/>
    <w:rsid w:val="0015379B"/>
    <w:rsid w:val="001538FF"/>
    <w:rsid w:val="00153BA2"/>
    <w:rsid w:val="00160327"/>
    <w:rsid w:val="001615C8"/>
    <w:rsid w:val="00162585"/>
    <w:rsid w:val="001626FB"/>
    <w:rsid w:val="001704BF"/>
    <w:rsid w:val="00171F47"/>
    <w:rsid w:val="0017206A"/>
    <w:rsid w:val="00173451"/>
    <w:rsid w:val="001734F8"/>
    <w:rsid w:val="00173789"/>
    <w:rsid w:val="001752C1"/>
    <w:rsid w:val="00177210"/>
    <w:rsid w:val="001778CA"/>
    <w:rsid w:val="00181754"/>
    <w:rsid w:val="00182DFC"/>
    <w:rsid w:val="001838D9"/>
    <w:rsid w:val="00184321"/>
    <w:rsid w:val="00190067"/>
    <w:rsid w:val="001916E7"/>
    <w:rsid w:val="001917D8"/>
    <w:rsid w:val="00191DE8"/>
    <w:rsid w:val="00194DD3"/>
    <w:rsid w:val="00194E6B"/>
    <w:rsid w:val="001959A4"/>
    <w:rsid w:val="00195E49"/>
    <w:rsid w:val="00196624"/>
    <w:rsid w:val="001A28FF"/>
    <w:rsid w:val="001A5333"/>
    <w:rsid w:val="001A6113"/>
    <w:rsid w:val="001C7B0C"/>
    <w:rsid w:val="001D0FD2"/>
    <w:rsid w:val="001E06D8"/>
    <w:rsid w:val="001E0C80"/>
    <w:rsid w:val="001E4741"/>
    <w:rsid w:val="001E4BAE"/>
    <w:rsid w:val="001F3BAA"/>
    <w:rsid w:val="001F4298"/>
    <w:rsid w:val="001F569C"/>
    <w:rsid w:val="001F7F3F"/>
    <w:rsid w:val="00201561"/>
    <w:rsid w:val="002018E9"/>
    <w:rsid w:val="00203434"/>
    <w:rsid w:val="00203884"/>
    <w:rsid w:val="00204641"/>
    <w:rsid w:val="002065CE"/>
    <w:rsid w:val="0020745E"/>
    <w:rsid w:val="00212D07"/>
    <w:rsid w:val="00216063"/>
    <w:rsid w:val="00216309"/>
    <w:rsid w:val="002223AF"/>
    <w:rsid w:val="002268EB"/>
    <w:rsid w:val="00227688"/>
    <w:rsid w:val="0023147B"/>
    <w:rsid w:val="00233371"/>
    <w:rsid w:val="002345F0"/>
    <w:rsid w:val="0023798E"/>
    <w:rsid w:val="0024144C"/>
    <w:rsid w:val="00243065"/>
    <w:rsid w:val="0024472A"/>
    <w:rsid w:val="00246143"/>
    <w:rsid w:val="00246FA0"/>
    <w:rsid w:val="00247C18"/>
    <w:rsid w:val="00255490"/>
    <w:rsid w:val="00256698"/>
    <w:rsid w:val="0025716B"/>
    <w:rsid w:val="00257F8F"/>
    <w:rsid w:val="00265847"/>
    <w:rsid w:val="00265BD4"/>
    <w:rsid w:val="00266695"/>
    <w:rsid w:val="002712B5"/>
    <w:rsid w:val="0027243C"/>
    <w:rsid w:val="002759D2"/>
    <w:rsid w:val="002767B9"/>
    <w:rsid w:val="00280AB9"/>
    <w:rsid w:val="00281D29"/>
    <w:rsid w:val="002833E4"/>
    <w:rsid w:val="0028666B"/>
    <w:rsid w:val="00290AB8"/>
    <w:rsid w:val="00290E24"/>
    <w:rsid w:val="002945E3"/>
    <w:rsid w:val="00294C39"/>
    <w:rsid w:val="0029684E"/>
    <w:rsid w:val="002970F4"/>
    <w:rsid w:val="002A07BC"/>
    <w:rsid w:val="002A151F"/>
    <w:rsid w:val="002A1EC3"/>
    <w:rsid w:val="002A22EE"/>
    <w:rsid w:val="002A32C8"/>
    <w:rsid w:val="002A68CD"/>
    <w:rsid w:val="002B0269"/>
    <w:rsid w:val="002B1956"/>
    <w:rsid w:val="002B66D9"/>
    <w:rsid w:val="002C0B04"/>
    <w:rsid w:val="002C378F"/>
    <w:rsid w:val="002C70D7"/>
    <w:rsid w:val="002D08B2"/>
    <w:rsid w:val="002D2E8B"/>
    <w:rsid w:val="002D5379"/>
    <w:rsid w:val="002D5B1B"/>
    <w:rsid w:val="002D6C0B"/>
    <w:rsid w:val="002D73B6"/>
    <w:rsid w:val="002D762F"/>
    <w:rsid w:val="002E432F"/>
    <w:rsid w:val="002F0E5A"/>
    <w:rsid w:val="002F2857"/>
    <w:rsid w:val="002F5B21"/>
    <w:rsid w:val="00300928"/>
    <w:rsid w:val="00305C28"/>
    <w:rsid w:val="003102DB"/>
    <w:rsid w:val="00320C66"/>
    <w:rsid w:val="003233F9"/>
    <w:rsid w:val="00324834"/>
    <w:rsid w:val="00332A6E"/>
    <w:rsid w:val="00333EF4"/>
    <w:rsid w:val="003360F8"/>
    <w:rsid w:val="00345725"/>
    <w:rsid w:val="003461D7"/>
    <w:rsid w:val="00353DB6"/>
    <w:rsid w:val="00355264"/>
    <w:rsid w:val="003570DA"/>
    <w:rsid w:val="00361AE2"/>
    <w:rsid w:val="00365A3A"/>
    <w:rsid w:val="00366A81"/>
    <w:rsid w:val="003671E8"/>
    <w:rsid w:val="00372EAD"/>
    <w:rsid w:val="00373A72"/>
    <w:rsid w:val="00374A4D"/>
    <w:rsid w:val="0037501C"/>
    <w:rsid w:val="00380872"/>
    <w:rsid w:val="0038256A"/>
    <w:rsid w:val="00385E73"/>
    <w:rsid w:val="0038684D"/>
    <w:rsid w:val="00391803"/>
    <w:rsid w:val="003949B8"/>
    <w:rsid w:val="00395F2D"/>
    <w:rsid w:val="003969A0"/>
    <w:rsid w:val="003A225C"/>
    <w:rsid w:val="003A3937"/>
    <w:rsid w:val="003A4B6F"/>
    <w:rsid w:val="003A68A7"/>
    <w:rsid w:val="003A693A"/>
    <w:rsid w:val="003A7417"/>
    <w:rsid w:val="003B7E81"/>
    <w:rsid w:val="003C0BF4"/>
    <w:rsid w:val="003C13CC"/>
    <w:rsid w:val="003C1425"/>
    <w:rsid w:val="003C1786"/>
    <w:rsid w:val="003C37FB"/>
    <w:rsid w:val="003D4611"/>
    <w:rsid w:val="003E2370"/>
    <w:rsid w:val="003E25AF"/>
    <w:rsid w:val="003E3379"/>
    <w:rsid w:val="003E5235"/>
    <w:rsid w:val="003E702E"/>
    <w:rsid w:val="003E7C93"/>
    <w:rsid w:val="003F16F4"/>
    <w:rsid w:val="003F2C1F"/>
    <w:rsid w:val="003F49CA"/>
    <w:rsid w:val="003F59B9"/>
    <w:rsid w:val="00405482"/>
    <w:rsid w:val="0041192E"/>
    <w:rsid w:val="00414AA7"/>
    <w:rsid w:val="00421C9C"/>
    <w:rsid w:val="00426565"/>
    <w:rsid w:val="0043216C"/>
    <w:rsid w:val="00433C8B"/>
    <w:rsid w:val="0043558D"/>
    <w:rsid w:val="00440AA2"/>
    <w:rsid w:val="00440B65"/>
    <w:rsid w:val="00440FB1"/>
    <w:rsid w:val="004439DF"/>
    <w:rsid w:val="00443FA0"/>
    <w:rsid w:val="00444B77"/>
    <w:rsid w:val="00445EBB"/>
    <w:rsid w:val="004501C0"/>
    <w:rsid w:val="00450A46"/>
    <w:rsid w:val="004511C2"/>
    <w:rsid w:val="00451FDA"/>
    <w:rsid w:val="004530DF"/>
    <w:rsid w:val="0045368E"/>
    <w:rsid w:val="00453F5D"/>
    <w:rsid w:val="004607BC"/>
    <w:rsid w:val="0046217B"/>
    <w:rsid w:val="00465F05"/>
    <w:rsid w:val="00466578"/>
    <w:rsid w:val="00466A81"/>
    <w:rsid w:val="00472134"/>
    <w:rsid w:val="00477703"/>
    <w:rsid w:val="00477C85"/>
    <w:rsid w:val="00480508"/>
    <w:rsid w:val="004816D5"/>
    <w:rsid w:val="00482070"/>
    <w:rsid w:val="00484093"/>
    <w:rsid w:val="0048468B"/>
    <w:rsid w:val="0048784C"/>
    <w:rsid w:val="00487B30"/>
    <w:rsid w:val="004923FF"/>
    <w:rsid w:val="0049484C"/>
    <w:rsid w:val="00494FF7"/>
    <w:rsid w:val="004964EB"/>
    <w:rsid w:val="004A04F7"/>
    <w:rsid w:val="004A0842"/>
    <w:rsid w:val="004A57BE"/>
    <w:rsid w:val="004A7D85"/>
    <w:rsid w:val="004C0511"/>
    <w:rsid w:val="004C1BCF"/>
    <w:rsid w:val="004C3461"/>
    <w:rsid w:val="004C5323"/>
    <w:rsid w:val="004C5793"/>
    <w:rsid w:val="004C6424"/>
    <w:rsid w:val="004C71E1"/>
    <w:rsid w:val="004D42AB"/>
    <w:rsid w:val="004D4D14"/>
    <w:rsid w:val="004D524E"/>
    <w:rsid w:val="004D707F"/>
    <w:rsid w:val="004E0257"/>
    <w:rsid w:val="004F118D"/>
    <w:rsid w:val="004F1B2D"/>
    <w:rsid w:val="004F2C8A"/>
    <w:rsid w:val="004F5A16"/>
    <w:rsid w:val="00500C96"/>
    <w:rsid w:val="005019B5"/>
    <w:rsid w:val="00505D4E"/>
    <w:rsid w:val="00507ABE"/>
    <w:rsid w:val="005114DE"/>
    <w:rsid w:val="00513BDB"/>
    <w:rsid w:val="00523E5B"/>
    <w:rsid w:val="00524CFA"/>
    <w:rsid w:val="005251A9"/>
    <w:rsid w:val="00526B30"/>
    <w:rsid w:val="00530734"/>
    <w:rsid w:val="00533BBB"/>
    <w:rsid w:val="00536C11"/>
    <w:rsid w:val="005400F7"/>
    <w:rsid w:val="00540A76"/>
    <w:rsid w:val="00543E92"/>
    <w:rsid w:val="00547EB6"/>
    <w:rsid w:val="00557375"/>
    <w:rsid w:val="005605E5"/>
    <w:rsid w:val="005629A6"/>
    <w:rsid w:val="005629E5"/>
    <w:rsid w:val="00562CFA"/>
    <w:rsid w:val="00567187"/>
    <w:rsid w:val="00567B4F"/>
    <w:rsid w:val="00571B5D"/>
    <w:rsid w:val="00573572"/>
    <w:rsid w:val="005747A3"/>
    <w:rsid w:val="00574BE6"/>
    <w:rsid w:val="005812B2"/>
    <w:rsid w:val="00584484"/>
    <w:rsid w:val="00584C10"/>
    <w:rsid w:val="00585162"/>
    <w:rsid w:val="005851D7"/>
    <w:rsid w:val="00586166"/>
    <w:rsid w:val="00587826"/>
    <w:rsid w:val="0059329B"/>
    <w:rsid w:val="0059400D"/>
    <w:rsid w:val="00594131"/>
    <w:rsid w:val="005A0F02"/>
    <w:rsid w:val="005A22EA"/>
    <w:rsid w:val="005A3C18"/>
    <w:rsid w:val="005A3EF7"/>
    <w:rsid w:val="005A4912"/>
    <w:rsid w:val="005A791A"/>
    <w:rsid w:val="005B092E"/>
    <w:rsid w:val="005B2378"/>
    <w:rsid w:val="005B4093"/>
    <w:rsid w:val="005C2BCA"/>
    <w:rsid w:val="005C2C02"/>
    <w:rsid w:val="005C3A6E"/>
    <w:rsid w:val="005C5063"/>
    <w:rsid w:val="005D2AF9"/>
    <w:rsid w:val="005D2F0B"/>
    <w:rsid w:val="005D3B96"/>
    <w:rsid w:val="005D560E"/>
    <w:rsid w:val="005D5AF7"/>
    <w:rsid w:val="005E0CC8"/>
    <w:rsid w:val="005E27A1"/>
    <w:rsid w:val="005E51FE"/>
    <w:rsid w:val="005F0A18"/>
    <w:rsid w:val="005F20A4"/>
    <w:rsid w:val="00600771"/>
    <w:rsid w:val="00602826"/>
    <w:rsid w:val="00605464"/>
    <w:rsid w:val="00607F21"/>
    <w:rsid w:val="0061005E"/>
    <w:rsid w:val="00610C11"/>
    <w:rsid w:val="00615287"/>
    <w:rsid w:val="00615D06"/>
    <w:rsid w:val="00622526"/>
    <w:rsid w:val="00623367"/>
    <w:rsid w:val="00627246"/>
    <w:rsid w:val="00630119"/>
    <w:rsid w:val="00631C9F"/>
    <w:rsid w:val="006354F1"/>
    <w:rsid w:val="00636559"/>
    <w:rsid w:val="0064153C"/>
    <w:rsid w:val="006472FE"/>
    <w:rsid w:val="006476A2"/>
    <w:rsid w:val="00650DF3"/>
    <w:rsid w:val="00651893"/>
    <w:rsid w:val="00651AA2"/>
    <w:rsid w:val="00654EF7"/>
    <w:rsid w:val="00656076"/>
    <w:rsid w:val="006571FD"/>
    <w:rsid w:val="00664FB0"/>
    <w:rsid w:val="00666F67"/>
    <w:rsid w:val="00682653"/>
    <w:rsid w:val="00684654"/>
    <w:rsid w:val="006856A5"/>
    <w:rsid w:val="00687158"/>
    <w:rsid w:val="00687AE7"/>
    <w:rsid w:val="0069083A"/>
    <w:rsid w:val="00691493"/>
    <w:rsid w:val="00691767"/>
    <w:rsid w:val="00693D66"/>
    <w:rsid w:val="00694C97"/>
    <w:rsid w:val="00694D05"/>
    <w:rsid w:val="006A01C0"/>
    <w:rsid w:val="006B147C"/>
    <w:rsid w:val="006D39AA"/>
    <w:rsid w:val="006D3C87"/>
    <w:rsid w:val="006D6D6A"/>
    <w:rsid w:val="006D6E42"/>
    <w:rsid w:val="006E0663"/>
    <w:rsid w:val="006E1A53"/>
    <w:rsid w:val="006F4F63"/>
    <w:rsid w:val="007041E6"/>
    <w:rsid w:val="00705508"/>
    <w:rsid w:val="00707A18"/>
    <w:rsid w:val="0071457D"/>
    <w:rsid w:val="007156C2"/>
    <w:rsid w:val="00715AAE"/>
    <w:rsid w:val="00720574"/>
    <w:rsid w:val="00720639"/>
    <w:rsid w:val="007235B3"/>
    <w:rsid w:val="00723A72"/>
    <w:rsid w:val="00725585"/>
    <w:rsid w:val="007258BA"/>
    <w:rsid w:val="00725CC7"/>
    <w:rsid w:val="007302E2"/>
    <w:rsid w:val="00730507"/>
    <w:rsid w:val="007315FC"/>
    <w:rsid w:val="007342F8"/>
    <w:rsid w:val="007356BC"/>
    <w:rsid w:val="0073673E"/>
    <w:rsid w:val="00740E15"/>
    <w:rsid w:val="00742B77"/>
    <w:rsid w:val="007436C2"/>
    <w:rsid w:val="00743FCB"/>
    <w:rsid w:val="00744BAC"/>
    <w:rsid w:val="007501AF"/>
    <w:rsid w:val="007515A9"/>
    <w:rsid w:val="00763580"/>
    <w:rsid w:val="00775330"/>
    <w:rsid w:val="00780156"/>
    <w:rsid w:val="00780761"/>
    <w:rsid w:val="00780F01"/>
    <w:rsid w:val="0078625F"/>
    <w:rsid w:val="00790AC5"/>
    <w:rsid w:val="00791BD8"/>
    <w:rsid w:val="00791FE3"/>
    <w:rsid w:val="007943CB"/>
    <w:rsid w:val="007A08C4"/>
    <w:rsid w:val="007A55AA"/>
    <w:rsid w:val="007A6DB7"/>
    <w:rsid w:val="007A782D"/>
    <w:rsid w:val="007A783F"/>
    <w:rsid w:val="007A7970"/>
    <w:rsid w:val="007A7BAD"/>
    <w:rsid w:val="007B1CA3"/>
    <w:rsid w:val="007B249D"/>
    <w:rsid w:val="007B3B1E"/>
    <w:rsid w:val="007B516C"/>
    <w:rsid w:val="007C16B9"/>
    <w:rsid w:val="007D02A5"/>
    <w:rsid w:val="007D1062"/>
    <w:rsid w:val="007D2225"/>
    <w:rsid w:val="007D2A08"/>
    <w:rsid w:val="007D32C4"/>
    <w:rsid w:val="007D4D92"/>
    <w:rsid w:val="007D5401"/>
    <w:rsid w:val="007D6B93"/>
    <w:rsid w:val="007D7524"/>
    <w:rsid w:val="007E260B"/>
    <w:rsid w:val="007E3A9F"/>
    <w:rsid w:val="007E7816"/>
    <w:rsid w:val="007F1689"/>
    <w:rsid w:val="007F2AAF"/>
    <w:rsid w:val="007F30C6"/>
    <w:rsid w:val="007F6517"/>
    <w:rsid w:val="007F7B59"/>
    <w:rsid w:val="00803F40"/>
    <w:rsid w:val="00805A52"/>
    <w:rsid w:val="00807555"/>
    <w:rsid w:val="00810C61"/>
    <w:rsid w:val="00814830"/>
    <w:rsid w:val="00817FB3"/>
    <w:rsid w:val="008239DF"/>
    <w:rsid w:val="00825962"/>
    <w:rsid w:val="008275E7"/>
    <w:rsid w:val="008334FD"/>
    <w:rsid w:val="00834014"/>
    <w:rsid w:val="008344B9"/>
    <w:rsid w:val="00836E7B"/>
    <w:rsid w:val="00843891"/>
    <w:rsid w:val="00844DE7"/>
    <w:rsid w:val="00845256"/>
    <w:rsid w:val="00845E86"/>
    <w:rsid w:val="0085268C"/>
    <w:rsid w:val="00852CE9"/>
    <w:rsid w:val="00852EF1"/>
    <w:rsid w:val="008543B6"/>
    <w:rsid w:val="00856A39"/>
    <w:rsid w:val="0086372A"/>
    <w:rsid w:val="00864E5B"/>
    <w:rsid w:val="0086643D"/>
    <w:rsid w:val="00867460"/>
    <w:rsid w:val="0087499C"/>
    <w:rsid w:val="008758C1"/>
    <w:rsid w:val="0087739F"/>
    <w:rsid w:val="00877E7E"/>
    <w:rsid w:val="00890545"/>
    <w:rsid w:val="00894A93"/>
    <w:rsid w:val="008954D0"/>
    <w:rsid w:val="0089778B"/>
    <w:rsid w:val="008A2C4C"/>
    <w:rsid w:val="008A41D7"/>
    <w:rsid w:val="008A72AD"/>
    <w:rsid w:val="008A78F4"/>
    <w:rsid w:val="008B2199"/>
    <w:rsid w:val="008B4351"/>
    <w:rsid w:val="008B4ED6"/>
    <w:rsid w:val="008B50B4"/>
    <w:rsid w:val="008B63C9"/>
    <w:rsid w:val="008C274B"/>
    <w:rsid w:val="008C2756"/>
    <w:rsid w:val="008C2E1F"/>
    <w:rsid w:val="008C2EBC"/>
    <w:rsid w:val="008C52B3"/>
    <w:rsid w:val="008D0E61"/>
    <w:rsid w:val="008D293B"/>
    <w:rsid w:val="008D34FB"/>
    <w:rsid w:val="008D6B03"/>
    <w:rsid w:val="008E27FD"/>
    <w:rsid w:val="008E2F32"/>
    <w:rsid w:val="008E38D0"/>
    <w:rsid w:val="008F2109"/>
    <w:rsid w:val="008F651D"/>
    <w:rsid w:val="00901D29"/>
    <w:rsid w:val="00901F15"/>
    <w:rsid w:val="00903804"/>
    <w:rsid w:val="00905271"/>
    <w:rsid w:val="00906126"/>
    <w:rsid w:val="00920BC3"/>
    <w:rsid w:val="0092600C"/>
    <w:rsid w:val="0093706B"/>
    <w:rsid w:val="009416B5"/>
    <w:rsid w:val="00946DD0"/>
    <w:rsid w:val="00951029"/>
    <w:rsid w:val="00954C7C"/>
    <w:rsid w:val="00957259"/>
    <w:rsid w:val="00960CD8"/>
    <w:rsid w:val="00961E15"/>
    <w:rsid w:val="00962331"/>
    <w:rsid w:val="00967789"/>
    <w:rsid w:val="009703F7"/>
    <w:rsid w:val="00972559"/>
    <w:rsid w:val="00972C49"/>
    <w:rsid w:val="009756AA"/>
    <w:rsid w:val="00980511"/>
    <w:rsid w:val="00980A5D"/>
    <w:rsid w:val="00984387"/>
    <w:rsid w:val="009909E5"/>
    <w:rsid w:val="009915AA"/>
    <w:rsid w:val="00991F0E"/>
    <w:rsid w:val="00992A29"/>
    <w:rsid w:val="00997F37"/>
    <w:rsid w:val="009A0143"/>
    <w:rsid w:val="009A5E73"/>
    <w:rsid w:val="009B0302"/>
    <w:rsid w:val="009B0331"/>
    <w:rsid w:val="009B093C"/>
    <w:rsid w:val="009B1CFA"/>
    <w:rsid w:val="009B44BB"/>
    <w:rsid w:val="009C19B0"/>
    <w:rsid w:val="009C3A31"/>
    <w:rsid w:val="009C5393"/>
    <w:rsid w:val="009C6685"/>
    <w:rsid w:val="009D5222"/>
    <w:rsid w:val="009D5801"/>
    <w:rsid w:val="009D778A"/>
    <w:rsid w:val="009E0BC8"/>
    <w:rsid w:val="009E23B2"/>
    <w:rsid w:val="009E3A72"/>
    <w:rsid w:val="009E3AAF"/>
    <w:rsid w:val="009E6532"/>
    <w:rsid w:val="009E6C74"/>
    <w:rsid w:val="009E7B7E"/>
    <w:rsid w:val="009F110E"/>
    <w:rsid w:val="009F156E"/>
    <w:rsid w:val="009F1998"/>
    <w:rsid w:val="009F2CF4"/>
    <w:rsid w:val="009F4E8E"/>
    <w:rsid w:val="00A004FD"/>
    <w:rsid w:val="00A01B0F"/>
    <w:rsid w:val="00A028C4"/>
    <w:rsid w:val="00A1058C"/>
    <w:rsid w:val="00A139EB"/>
    <w:rsid w:val="00A209A0"/>
    <w:rsid w:val="00A22AF9"/>
    <w:rsid w:val="00A243DE"/>
    <w:rsid w:val="00A25EB6"/>
    <w:rsid w:val="00A268F7"/>
    <w:rsid w:val="00A31B3A"/>
    <w:rsid w:val="00A32CF0"/>
    <w:rsid w:val="00A3313A"/>
    <w:rsid w:val="00A34FD4"/>
    <w:rsid w:val="00A4013A"/>
    <w:rsid w:val="00A42BD3"/>
    <w:rsid w:val="00A519C7"/>
    <w:rsid w:val="00A52EF9"/>
    <w:rsid w:val="00A53101"/>
    <w:rsid w:val="00A55E15"/>
    <w:rsid w:val="00A56210"/>
    <w:rsid w:val="00A61694"/>
    <w:rsid w:val="00A63668"/>
    <w:rsid w:val="00A659A7"/>
    <w:rsid w:val="00A66C97"/>
    <w:rsid w:val="00A71E94"/>
    <w:rsid w:val="00A74FA8"/>
    <w:rsid w:val="00A77A08"/>
    <w:rsid w:val="00A818EA"/>
    <w:rsid w:val="00A85881"/>
    <w:rsid w:val="00A95C9A"/>
    <w:rsid w:val="00A96F6C"/>
    <w:rsid w:val="00A978D7"/>
    <w:rsid w:val="00AA26D4"/>
    <w:rsid w:val="00AA7881"/>
    <w:rsid w:val="00AB1DA0"/>
    <w:rsid w:val="00AB239C"/>
    <w:rsid w:val="00AB54E1"/>
    <w:rsid w:val="00AC20D2"/>
    <w:rsid w:val="00AC3542"/>
    <w:rsid w:val="00AC3F8F"/>
    <w:rsid w:val="00AD346A"/>
    <w:rsid w:val="00AE05C5"/>
    <w:rsid w:val="00AE204F"/>
    <w:rsid w:val="00AE5FBA"/>
    <w:rsid w:val="00AF148D"/>
    <w:rsid w:val="00B00AE7"/>
    <w:rsid w:val="00B00E10"/>
    <w:rsid w:val="00B01AE2"/>
    <w:rsid w:val="00B0416C"/>
    <w:rsid w:val="00B04DCF"/>
    <w:rsid w:val="00B04EA0"/>
    <w:rsid w:val="00B113E8"/>
    <w:rsid w:val="00B11A75"/>
    <w:rsid w:val="00B14758"/>
    <w:rsid w:val="00B14D78"/>
    <w:rsid w:val="00B20370"/>
    <w:rsid w:val="00B21C33"/>
    <w:rsid w:val="00B258AC"/>
    <w:rsid w:val="00B25F8B"/>
    <w:rsid w:val="00B27232"/>
    <w:rsid w:val="00B3044C"/>
    <w:rsid w:val="00B3358E"/>
    <w:rsid w:val="00B33F56"/>
    <w:rsid w:val="00B36A90"/>
    <w:rsid w:val="00B407BA"/>
    <w:rsid w:val="00B41821"/>
    <w:rsid w:val="00B41F1B"/>
    <w:rsid w:val="00B45AE5"/>
    <w:rsid w:val="00B542C9"/>
    <w:rsid w:val="00B54A60"/>
    <w:rsid w:val="00B638A3"/>
    <w:rsid w:val="00B67501"/>
    <w:rsid w:val="00B72969"/>
    <w:rsid w:val="00B8085A"/>
    <w:rsid w:val="00B81BA3"/>
    <w:rsid w:val="00B925D6"/>
    <w:rsid w:val="00B9314F"/>
    <w:rsid w:val="00BA4A7B"/>
    <w:rsid w:val="00BA4CE5"/>
    <w:rsid w:val="00BA55BF"/>
    <w:rsid w:val="00BA5FCC"/>
    <w:rsid w:val="00BB6118"/>
    <w:rsid w:val="00BB6347"/>
    <w:rsid w:val="00BB7727"/>
    <w:rsid w:val="00BB7D55"/>
    <w:rsid w:val="00BC291B"/>
    <w:rsid w:val="00BC41C1"/>
    <w:rsid w:val="00BC55CF"/>
    <w:rsid w:val="00BC6783"/>
    <w:rsid w:val="00BD1340"/>
    <w:rsid w:val="00BD235A"/>
    <w:rsid w:val="00BD2BEF"/>
    <w:rsid w:val="00BD73D2"/>
    <w:rsid w:val="00BE1CD6"/>
    <w:rsid w:val="00BE1E1E"/>
    <w:rsid w:val="00BE24D8"/>
    <w:rsid w:val="00BF2D67"/>
    <w:rsid w:val="00BF46EE"/>
    <w:rsid w:val="00BF7541"/>
    <w:rsid w:val="00C00EF4"/>
    <w:rsid w:val="00C014C2"/>
    <w:rsid w:val="00C01D74"/>
    <w:rsid w:val="00C03B0E"/>
    <w:rsid w:val="00C0653C"/>
    <w:rsid w:val="00C07971"/>
    <w:rsid w:val="00C07A78"/>
    <w:rsid w:val="00C07B8D"/>
    <w:rsid w:val="00C11385"/>
    <w:rsid w:val="00C20ACB"/>
    <w:rsid w:val="00C24196"/>
    <w:rsid w:val="00C26FF9"/>
    <w:rsid w:val="00C30195"/>
    <w:rsid w:val="00C31570"/>
    <w:rsid w:val="00C32203"/>
    <w:rsid w:val="00C32EB4"/>
    <w:rsid w:val="00C345FD"/>
    <w:rsid w:val="00C364E9"/>
    <w:rsid w:val="00C44D3C"/>
    <w:rsid w:val="00C532F3"/>
    <w:rsid w:val="00C56E7E"/>
    <w:rsid w:val="00C56F5B"/>
    <w:rsid w:val="00C57629"/>
    <w:rsid w:val="00C61FA8"/>
    <w:rsid w:val="00C64D57"/>
    <w:rsid w:val="00C670DA"/>
    <w:rsid w:val="00C67B9B"/>
    <w:rsid w:val="00C709FD"/>
    <w:rsid w:val="00C736D7"/>
    <w:rsid w:val="00C737EE"/>
    <w:rsid w:val="00C73CDD"/>
    <w:rsid w:val="00C74C13"/>
    <w:rsid w:val="00C7616A"/>
    <w:rsid w:val="00C772A8"/>
    <w:rsid w:val="00C801CF"/>
    <w:rsid w:val="00C815DB"/>
    <w:rsid w:val="00C87C81"/>
    <w:rsid w:val="00C91E5D"/>
    <w:rsid w:val="00C926D1"/>
    <w:rsid w:val="00C9365C"/>
    <w:rsid w:val="00C958F0"/>
    <w:rsid w:val="00C97206"/>
    <w:rsid w:val="00C97FD9"/>
    <w:rsid w:val="00CA1499"/>
    <w:rsid w:val="00CB02A6"/>
    <w:rsid w:val="00CB18AA"/>
    <w:rsid w:val="00CB2FEE"/>
    <w:rsid w:val="00CB607E"/>
    <w:rsid w:val="00CC2117"/>
    <w:rsid w:val="00CC2FFD"/>
    <w:rsid w:val="00CC3860"/>
    <w:rsid w:val="00CC4B28"/>
    <w:rsid w:val="00CC7EF4"/>
    <w:rsid w:val="00CD1E45"/>
    <w:rsid w:val="00CD26C6"/>
    <w:rsid w:val="00CD3ADB"/>
    <w:rsid w:val="00CE1E40"/>
    <w:rsid w:val="00CE3085"/>
    <w:rsid w:val="00CE707A"/>
    <w:rsid w:val="00CF13E4"/>
    <w:rsid w:val="00CF3DEE"/>
    <w:rsid w:val="00CF66E7"/>
    <w:rsid w:val="00CF73BF"/>
    <w:rsid w:val="00CF740D"/>
    <w:rsid w:val="00CF7CD2"/>
    <w:rsid w:val="00D004CB"/>
    <w:rsid w:val="00D00B65"/>
    <w:rsid w:val="00D01619"/>
    <w:rsid w:val="00D0219E"/>
    <w:rsid w:val="00D02AB6"/>
    <w:rsid w:val="00D06595"/>
    <w:rsid w:val="00D06A05"/>
    <w:rsid w:val="00D07C50"/>
    <w:rsid w:val="00D151E1"/>
    <w:rsid w:val="00D2189B"/>
    <w:rsid w:val="00D247CF"/>
    <w:rsid w:val="00D251A3"/>
    <w:rsid w:val="00D2648F"/>
    <w:rsid w:val="00D270E9"/>
    <w:rsid w:val="00D357E8"/>
    <w:rsid w:val="00D35C40"/>
    <w:rsid w:val="00D3657A"/>
    <w:rsid w:val="00D37F4D"/>
    <w:rsid w:val="00D417D0"/>
    <w:rsid w:val="00D435F0"/>
    <w:rsid w:val="00D43683"/>
    <w:rsid w:val="00D45C51"/>
    <w:rsid w:val="00D534B4"/>
    <w:rsid w:val="00D55388"/>
    <w:rsid w:val="00D554DB"/>
    <w:rsid w:val="00D55CEC"/>
    <w:rsid w:val="00D62BB6"/>
    <w:rsid w:val="00D66ADD"/>
    <w:rsid w:val="00D70C08"/>
    <w:rsid w:val="00D76411"/>
    <w:rsid w:val="00D772E1"/>
    <w:rsid w:val="00D82232"/>
    <w:rsid w:val="00D876EE"/>
    <w:rsid w:val="00D921FB"/>
    <w:rsid w:val="00D92302"/>
    <w:rsid w:val="00D95494"/>
    <w:rsid w:val="00D959E9"/>
    <w:rsid w:val="00D965A8"/>
    <w:rsid w:val="00D968DA"/>
    <w:rsid w:val="00DA27B7"/>
    <w:rsid w:val="00DA34C2"/>
    <w:rsid w:val="00DA4E9D"/>
    <w:rsid w:val="00DA5CAD"/>
    <w:rsid w:val="00DB4547"/>
    <w:rsid w:val="00DB6353"/>
    <w:rsid w:val="00DB66D9"/>
    <w:rsid w:val="00DB792A"/>
    <w:rsid w:val="00DC0F8D"/>
    <w:rsid w:val="00DC3A70"/>
    <w:rsid w:val="00DC522A"/>
    <w:rsid w:val="00DC72D8"/>
    <w:rsid w:val="00DC7393"/>
    <w:rsid w:val="00DC7FCA"/>
    <w:rsid w:val="00DD1C59"/>
    <w:rsid w:val="00DD24B5"/>
    <w:rsid w:val="00DD5050"/>
    <w:rsid w:val="00DD5E94"/>
    <w:rsid w:val="00DD6102"/>
    <w:rsid w:val="00DE108D"/>
    <w:rsid w:val="00DE1715"/>
    <w:rsid w:val="00DE3684"/>
    <w:rsid w:val="00DE490F"/>
    <w:rsid w:val="00DE5304"/>
    <w:rsid w:val="00DE66E5"/>
    <w:rsid w:val="00DE6701"/>
    <w:rsid w:val="00DE789B"/>
    <w:rsid w:val="00DF13C8"/>
    <w:rsid w:val="00DF3CDE"/>
    <w:rsid w:val="00DF4860"/>
    <w:rsid w:val="00DF4E0C"/>
    <w:rsid w:val="00DF551A"/>
    <w:rsid w:val="00E0161E"/>
    <w:rsid w:val="00E02C15"/>
    <w:rsid w:val="00E036D7"/>
    <w:rsid w:val="00E05C74"/>
    <w:rsid w:val="00E0725C"/>
    <w:rsid w:val="00E15CBC"/>
    <w:rsid w:val="00E162EB"/>
    <w:rsid w:val="00E16EFC"/>
    <w:rsid w:val="00E17852"/>
    <w:rsid w:val="00E1785F"/>
    <w:rsid w:val="00E205A2"/>
    <w:rsid w:val="00E21F56"/>
    <w:rsid w:val="00E24BDC"/>
    <w:rsid w:val="00E26100"/>
    <w:rsid w:val="00E26C83"/>
    <w:rsid w:val="00E30A68"/>
    <w:rsid w:val="00E315B6"/>
    <w:rsid w:val="00E32C70"/>
    <w:rsid w:val="00E330AA"/>
    <w:rsid w:val="00E360F5"/>
    <w:rsid w:val="00E40B2D"/>
    <w:rsid w:val="00E46764"/>
    <w:rsid w:val="00E50527"/>
    <w:rsid w:val="00E53186"/>
    <w:rsid w:val="00E546C5"/>
    <w:rsid w:val="00E573FA"/>
    <w:rsid w:val="00E60094"/>
    <w:rsid w:val="00E62273"/>
    <w:rsid w:val="00E626B6"/>
    <w:rsid w:val="00E64316"/>
    <w:rsid w:val="00E67151"/>
    <w:rsid w:val="00E70D3D"/>
    <w:rsid w:val="00E732A9"/>
    <w:rsid w:val="00E73D78"/>
    <w:rsid w:val="00E811C9"/>
    <w:rsid w:val="00E82593"/>
    <w:rsid w:val="00E85516"/>
    <w:rsid w:val="00E86454"/>
    <w:rsid w:val="00E870F0"/>
    <w:rsid w:val="00E94096"/>
    <w:rsid w:val="00EA05F1"/>
    <w:rsid w:val="00EA2144"/>
    <w:rsid w:val="00EA28AD"/>
    <w:rsid w:val="00EB2FD3"/>
    <w:rsid w:val="00EB3854"/>
    <w:rsid w:val="00EB5DB5"/>
    <w:rsid w:val="00EC5E6C"/>
    <w:rsid w:val="00ED66DA"/>
    <w:rsid w:val="00ED71D7"/>
    <w:rsid w:val="00EE04E3"/>
    <w:rsid w:val="00EE32B5"/>
    <w:rsid w:val="00EE3918"/>
    <w:rsid w:val="00EE3E17"/>
    <w:rsid w:val="00EE5F73"/>
    <w:rsid w:val="00EE6024"/>
    <w:rsid w:val="00EF1A3D"/>
    <w:rsid w:val="00EF2F91"/>
    <w:rsid w:val="00EF42AC"/>
    <w:rsid w:val="00EF749B"/>
    <w:rsid w:val="00F02772"/>
    <w:rsid w:val="00F03D2D"/>
    <w:rsid w:val="00F05EA8"/>
    <w:rsid w:val="00F10177"/>
    <w:rsid w:val="00F10ACD"/>
    <w:rsid w:val="00F12FAC"/>
    <w:rsid w:val="00F13200"/>
    <w:rsid w:val="00F16778"/>
    <w:rsid w:val="00F179B6"/>
    <w:rsid w:val="00F202C8"/>
    <w:rsid w:val="00F213C4"/>
    <w:rsid w:val="00F23193"/>
    <w:rsid w:val="00F30C28"/>
    <w:rsid w:val="00F36CC9"/>
    <w:rsid w:val="00F40C39"/>
    <w:rsid w:val="00F412F7"/>
    <w:rsid w:val="00F421FD"/>
    <w:rsid w:val="00F44071"/>
    <w:rsid w:val="00F45594"/>
    <w:rsid w:val="00F45976"/>
    <w:rsid w:val="00F45ED4"/>
    <w:rsid w:val="00F50C30"/>
    <w:rsid w:val="00F6027D"/>
    <w:rsid w:val="00F709C7"/>
    <w:rsid w:val="00F70D3F"/>
    <w:rsid w:val="00F723DF"/>
    <w:rsid w:val="00F73A03"/>
    <w:rsid w:val="00F73F51"/>
    <w:rsid w:val="00F76FC3"/>
    <w:rsid w:val="00F80A29"/>
    <w:rsid w:val="00F81A7C"/>
    <w:rsid w:val="00F8461A"/>
    <w:rsid w:val="00F921C3"/>
    <w:rsid w:val="00F93BB5"/>
    <w:rsid w:val="00F95E9E"/>
    <w:rsid w:val="00FA0FBE"/>
    <w:rsid w:val="00FA2936"/>
    <w:rsid w:val="00FA4EFE"/>
    <w:rsid w:val="00FA64D4"/>
    <w:rsid w:val="00FB1ECA"/>
    <w:rsid w:val="00FB23B4"/>
    <w:rsid w:val="00FB6BA6"/>
    <w:rsid w:val="00FC260F"/>
    <w:rsid w:val="00FC4170"/>
    <w:rsid w:val="00FC52F9"/>
    <w:rsid w:val="00FD004E"/>
    <w:rsid w:val="00FD02DF"/>
    <w:rsid w:val="00FD1C57"/>
    <w:rsid w:val="00FD3D73"/>
    <w:rsid w:val="00FE08E3"/>
    <w:rsid w:val="00FE206B"/>
    <w:rsid w:val="00FE2B86"/>
    <w:rsid w:val="00FF1BB5"/>
    <w:rsid w:val="00FF2D1E"/>
    <w:rsid w:val="00FF6F0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9FBF4A"/>
  <w15:docId w15:val="{04E3663F-B29E-BD4C-B17E-7F89801CE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66E7"/>
    <w:pPr>
      <w:spacing w:after="0" w:line="240" w:lineRule="auto"/>
    </w:pPr>
    <w:rPr>
      <w:rFonts w:ascii="Times New Roman" w:eastAsia="Times New Roman" w:hAnsi="Times New Roman" w:cs="Times New Roman"/>
      <w:sz w:val="24"/>
      <w:szCs w:val="24"/>
      <w:lang w:val="en-US"/>
    </w:rPr>
  </w:style>
  <w:style w:type="paragraph" w:styleId="Heading4">
    <w:name w:val="heading 4"/>
    <w:basedOn w:val="Normal"/>
    <w:next w:val="Normal"/>
    <w:link w:val="Heading4Char"/>
    <w:autoRedefine/>
    <w:qFormat/>
    <w:rsid w:val="00DE789B"/>
    <w:pPr>
      <w:keepNext/>
      <w:suppressAutoHyphens/>
      <w:spacing w:before="220" w:after="40" w:line="260" w:lineRule="exact"/>
      <w:jc w:val="both"/>
      <w:outlineLvl w:val="3"/>
    </w:pPr>
    <w:rPr>
      <w:b/>
      <w:sz w:val="28"/>
      <w:szCs w:val="20"/>
      <w:lang w:val="en-GB"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DE789B"/>
    <w:rPr>
      <w:rFonts w:ascii="Times New Roman" w:eastAsia="Times New Roman" w:hAnsi="Times New Roman" w:cs="Times New Roman"/>
      <w:b/>
      <w:sz w:val="28"/>
      <w:szCs w:val="20"/>
      <w:lang w:val="en-GB" w:eastAsia="sv-SE"/>
    </w:rPr>
  </w:style>
  <w:style w:type="paragraph" w:styleId="ListParagraph">
    <w:name w:val="List Paragraph"/>
    <w:basedOn w:val="Normal"/>
    <w:uiPriority w:val="34"/>
    <w:qFormat/>
    <w:rsid w:val="006D3C87"/>
    <w:pPr>
      <w:spacing w:after="200" w:line="276" w:lineRule="auto"/>
      <w:ind w:left="720"/>
      <w:contextualSpacing/>
    </w:pPr>
    <w:rPr>
      <w:rFonts w:asciiTheme="minorHAnsi" w:eastAsiaTheme="minorHAnsi" w:hAnsiTheme="minorHAnsi" w:cstheme="minorBidi"/>
      <w:sz w:val="22"/>
      <w:szCs w:val="22"/>
      <w:lang w:val="sv-SE"/>
    </w:rPr>
  </w:style>
  <w:style w:type="character" w:styleId="CommentReference">
    <w:name w:val="annotation reference"/>
    <w:basedOn w:val="DefaultParagraphFont"/>
    <w:uiPriority w:val="99"/>
    <w:semiHidden/>
    <w:unhideWhenUsed/>
    <w:rsid w:val="00043FC8"/>
    <w:rPr>
      <w:sz w:val="16"/>
      <w:szCs w:val="16"/>
    </w:rPr>
  </w:style>
  <w:style w:type="paragraph" w:styleId="CommentText">
    <w:name w:val="annotation text"/>
    <w:basedOn w:val="Normal"/>
    <w:link w:val="CommentTextChar"/>
    <w:uiPriority w:val="99"/>
    <w:semiHidden/>
    <w:unhideWhenUsed/>
    <w:rsid w:val="00043FC8"/>
    <w:pPr>
      <w:spacing w:after="200"/>
    </w:pPr>
    <w:rPr>
      <w:rFonts w:asciiTheme="minorHAnsi" w:eastAsiaTheme="minorHAnsi" w:hAnsiTheme="minorHAnsi" w:cstheme="minorBidi"/>
      <w:sz w:val="20"/>
      <w:szCs w:val="20"/>
      <w:lang w:val="sv-SE"/>
    </w:rPr>
  </w:style>
  <w:style w:type="character" w:customStyle="1" w:styleId="CommentTextChar">
    <w:name w:val="Comment Text Char"/>
    <w:basedOn w:val="DefaultParagraphFont"/>
    <w:link w:val="CommentText"/>
    <w:uiPriority w:val="99"/>
    <w:semiHidden/>
    <w:rsid w:val="00043FC8"/>
    <w:rPr>
      <w:sz w:val="20"/>
      <w:szCs w:val="20"/>
    </w:rPr>
  </w:style>
  <w:style w:type="paragraph" w:styleId="CommentSubject">
    <w:name w:val="annotation subject"/>
    <w:basedOn w:val="CommentText"/>
    <w:next w:val="CommentText"/>
    <w:link w:val="CommentSubjectChar"/>
    <w:uiPriority w:val="99"/>
    <w:semiHidden/>
    <w:unhideWhenUsed/>
    <w:rsid w:val="00043FC8"/>
    <w:rPr>
      <w:b/>
      <w:bCs/>
    </w:rPr>
  </w:style>
  <w:style w:type="character" w:customStyle="1" w:styleId="CommentSubjectChar">
    <w:name w:val="Comment Subject Char"/>
    <w:basedOn w:val="CommentTextChar"/>
    <w:link w:val="CommentSubject"/>
    <w:uiPriority w:val="99"/>
    <w:semiHidden/>
    <w:rsid w:val="00043FC8"/>
    <w:rPr>
      <w:b/>
      <w:bCs/>
      <w:sz w:val="20"/>
      <w:szCs w:val="20"/>
    </w:rPr>
  </w:style>
  <w:style w:type="paragraph" w:styleId="BalloonText">
    <w:name w:val="Balloon Text"/>
    <w:basedOn w:val="Normal"/>
    <w:link w:val="BalloonTextChar"/>
    <w:uiPriority w:val="99"/>
    <w:semiHidden/>
    <w:unhideWhenUsed/>
    <w:rsid w:val="00043F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FC8"/>
    <w:rPr>
      <w:rFonts w:ascii="Segoe UI" w:hAnsi="Segoe UI" w:cs="Segoe UI"/>
      <w:sz w:val="18"/>
      <w:szCs w:val="18"/>
    </w:rPr>
  </w:style>
  <w:style w:type="character" w:styleId="LineNumber">
    <w:name w:val="line number"/>
    <w:basedOn w:val="DefaultParagraphFont"/>
    <w:uiPriority w:val="99"/>
    <w:semiHidden/>
    <w:unhideWhenUsed/>
    <w:rsid w:val="00C014C2"/>
  </w:style>
  <w:style w:type="table" w:styleId="TableGrid">
    <w:name w:val="Table Grid"/>
    <w:basedOn w:val="TableNormal"/>
    <w:uiPriority w:val="59"/>
    <w:rsid w:val="00EF2F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34F8"/>
    <w:pPr>
      <w:tabs>
        <w:tab w:val="center" w:pos="4680"/>
        <w:tab w:val="right" w:pos="9360"/>
      </w:tabs>
    </w:pPr>
    <w:rPr>
      <w:rFonts w:asciiTheme="minorHAnsi" w:eastAsiaTheme="minorHAnsi" w:hAnsiTheme="minorHAnsi" w:cstheme="minorBidi"/>
      <w:sz w:val="22"/>
      <w:szCs w:val="22"/>
      <w:lang w:val="sv-SE"/>
    </w:rPr>
  </w:style>
  <w:style w:type="character" w:customStyle="1" w:styleId="HeaderChar">
    <w:name w:val="Header Char"/>
    <w:basedOn w:val="DefaultParagraphFont"/>
    <w:link w:val="Header"/>
    <w:uiPriority w:val="99"/>
    <w:rsid w:val="001734F8"/>
  </w:style>
  <w:style w:type="character" w:styleId="PageNumber">
    <w:name w:val="page number"/>
    <w:basedOn w:val="DefaultParagraphFont"/>
    <w:uiPriority w:val="99"/>
    <w:semiHidden/>
    <w:unhideWhenUsed/>
    <w:rsid w:val="001734F8"/>
  </w:style>
  <w:style w:type="character" w:customStyle="1" w:styleId="apple-converted-space">
    <w:name w:val="apple-converted-space"/>
    <w:basedOn w:val="DefaultParagraphFont"/>
    <w:rsid w:val="002833E4"/>
  </w:style>
  <w:style w:type="paragraph" w:styleId="z-TopofForm">
    <w:name w:val="HTML Top of Form"/>
    <w:basedOn w:val="Normal"/>
    <w:next w:val="Normal"/>
    <w:link w:val="z-TopofFormChar"/>
    <w:hidden/>
    <w:uiPriority w:val="99"/>
    <w:semiHidden/>
    <w:unhideWhenUsed/>
    <w:rsid w:val="00CF66E7"/>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F66E7"/>
    <w:rPr>
      <w:rFonts w:ascii="Arial" w:eastAsia="Times New Roman" w:hAnsi="Arial" w:cs="Arial"/>
      <w:vanish/>
      <w:sz w:val="16"/>
      <w:szCs w:val="16"/>
      <w:lang w:val="en-US"/>
    </w:rPr>
  </w:style>
  <w:style w:type="paragraph" w:styleId="NormalWeb">
    <w:name w:val="Normal (Web)"/>
    <w:basedOn w:val="Normal"/>
    <w:uiPriority w:val="99"/>
    <w:unhideWhenUsed/>
    <w:rsid w:val="00CF66E7"/>
    <w:pPr>
      <w:spacing w:before="100" w:beforeAutospacing="1" w:after="100" w:afterAutospacing="1"/>
    </w:pPr>
  </w:style>
  <w:style w:type="character" w:styleId="Hyperlink">
    <w:name w:val="Hyperlink"/>
    <w:basedOn w:val="DefaultParagraphFont"/>
    <w:uiPriority w:val="99"/>
    <w:semiHidden/>
    <w:unhideWhenUsed/>
    <w:rsid w:val="00CF66E7"/>
    <w:rPr>
      <w:color w:val="0000FF"/>
      <w:u w:val="single"/>
    </w:rPr>
  </w:style>
  <w:style w:type="paragraph" w:styleId="z-BottomofForm">
    <w:name w:val="HTML Bottom of Form"/>
    <w:basedOn w:val="Normal"/>
    <w:next w:val="Normal"/>
    <w:link w:val="z-BottomofFormChar"/>
    <w:hidden/>
    <w:uiPriority w:val="99"/>
    <w:semiHidden/>
    <w:unhideWhenUsed/>
    <w:rsid w:val="00CF66E7"/>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F66E7"/>
    <w:rPr>
      <w:rFonts w:ascii="Arial" w:eastAsia="Times New Roman" w:hAnsi="Arial" w:cs="Arial"/>
      <w:vanish/>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81301">
      <w:bodyDiv w:val="1"/>
      <w:marLeft w:val="0"/>
      <w:marRight w:val="0"/>
      <w:marTop w:val="0"/>
      <w:marBottom w:val="0"/>
      <w:divBdr>
        <w:top w:val="none" w:sz="0" w:space="0" w:color="auto"/>
        <w:left w:val="none" w:sz="0" w:space="0" w:color="auto"/>
        <w:bottom w:val="none" w:sz="0" w:space="0" w:color="auto"/>
        <w:right w:val="none" w:sz="0" w:space="0" w:color="auto"/>
      </w:divBdr>
    </w:div>
    <w:div w:id="114910140">
      <w:bodyDiv w:val="1"/>
      <w:marLeft w:val="0"/>
      <w:marRight w:val="0"/>
      <w:marTop w:val="0"/>
      <w:marBottom w:val="0"/>
      <w:divBdr>
        <w:top w:val="none" w:sz="0" w:space="0" w:color="auto"/>
        <w:left w:val="none" w:sz="0" w:space="0" w:color="auto"/>
        <w:bottom w:val="none" w:sz="0" w:space="0" w:color="auto"/>
        <w:right w:val="none" w:sz="0" w:space="0" w:color="auto"/>
      </w:divBdr>
    </w:div>
    <w:div w:id="333460091">
      <w:bodyDiv w:val="1"/>
      <w:marLeft w:val="0"/>
      <w:marRight w:val="0"/>
      <w:marTop w:val="0"/>
      <w:marBottom w:val="0"/>
      <w:divBdr>
        <w:top w:val="none" w:sz="0" w:space="0" w:color="auto"/>
        <w:left w:val="none" w:sz="0" w:space="0" w:color="auto"/>
        <w:bottom w:val="none" w:sz="0" w:space="0" w:color="auto"/>
        <w:right w:val="none" w:sz="0" w:space="0" w:color="auto"/>
      </w:divBdr>
      <w:divsChild>
        <w:div w:id="247346028">
          <w:marLeft w:val="0"/>
          <w:marRight w:val="0"/>
          <w:marTop w:val="0"/>
          <w:marBottom w:val="0"/>
          <w:divBdr>
            <w:top w:val="none" w:sz="0" w:space="0" w:color="auto"/>
            <w:left w:val="none" w:sz="0" w:space="0" w:color="auto"/>
            <w:bottom w:val="none" w:sz="0" w:space="0" w:color="auto"/>
            <w:right w:val="none" w:sz="0" w:space="0" w:color="auto"/>
          </w:divBdr>
        </w:div>
        <w:div w:id="1081441166">
          <w:marLeft w:val="0"/>
          <w:marRight w:val="0"/>
          <w:marTop w:val="0"/>
          <w:marBottom w:val="0"/>
          <w:divBdr>
            <w:top w:val="none" w:sz="0" w:space="0" w:color="auto"/>
            <w:left w:val="none" w:sz="0" w:space="0" w:color="auto"/>
            <w:bottom w:val="none" w:sz="0" w:space="0" w:color="auto"/>
            <w:right w:val="none" w:sz="0" w:space="0" w:color="auto"/>
          </w:divBdr>
        </w:div>
      </w:divsChild>
    </w:div>
    <w:div w:id="536965165">
      <w:bodyDiv w:val="1"/>
      <w:marLeft w:val="0"/>
      <w:marRight w:val="0"/>
      <w:marTop w:val="0"/>
      <w:marBottom w:val="0"/>
      <w:divBdr>
        <w:top w:val="none" w:sz="0" w:space="0" w:color="auto"/>
        <w:left w:val="none" w:sz="0" w:space="0" w:color="auto"/>
        <w:bottom w:val="none" w:sz="0" w:space="0" w:color="auto"/>
        <w:right w:val="none" w:sz="0" w:space="0" w:color="auto"/>
      </w:divBdr>
    </w:div>
    <w:div w:id="560288932">
      <w:bodyDiv w:val="1"/>
      <w:marLeft w:val="0"/>
      <w:marRight w:val="0"/>
      <w:marTop w:val="0"/>
      <w:marBottom w:val="0"/>
      <w:divBdr>
        <w:top w:val="none" w:sz="0" w:space="0" w:color="auto"/>
        <w:left w:val="none" w:sz="0" w:space="0" w:color="auto"/>
        <w:bottom w:val="none" w:sz="0" w:space="0" w:color="auto"/>
        <w:right w:val="none" w:sz="0" w:space="0" w:color="auto"/>
      </w:divBdr>
    </w:div>
    <w:div w:id="968433689">
      <w:bodyDiv w:val="1"/>
      <w:marLeft w:val="0"/>
      <w:marRight w:val="0"/>
      <w:marTop w:val="0"/>
      <w:marBottom w:val="0"/>
      <w:divBdr>
        <w:top w:val="none" w:sz="0" w:space="0" w:color="auto"/>
        <w:left w:val="none" w:sz="0" w:space="0" w:color="auto"/>
        <w:bottom w:val="none" w:sz="0" w:space="0" w:color="auto"/>
        <w:right w:val="none" w:sz="0" w:space="0" w:color="auto"/>
      </w:divBdr>
    </w:div>
    <w:div w:id="1002313418">
      <w:bodyDiv w:val="1"/>
      <w:marLeft w:val="0"/>
      <w:marRight w:val="0"/>
      <w:marTop w:val="0"/>
      <w:marBottom w:val="0"/>
      <w:divBdr>
        <w:top w:val="none" w:sz="0" w:space="0" w:color="auto"/>
        <w:left w:val="none" w:sz="0" w:space="0" w:color="auto"/>
        <w:bottom w:val="none" w:sz="0" w:space="0" w:color="auto"/>
        <w:right w:val="none" w:sz="0" w:space="0" w:color="auto"/>
      </w:divBdr>
    </w:div>
    <w:div w:id="1078283196">
      <w:bodyDiv w:val="1"/>
      <w:marLeft w:val="0"/>
      <w:marRight w:val="0"/>
      <w:marTop w:val="0"/>
      <w:marBottom w:val="0"/>
      <w:divBdr>
        <w:top w:val="none" w:sz="0" w:space="0" w:color="auto"/>
        <w:left w:val="none" w:sz="0" w:space="0" w:color="auto"/>
        <w:bottom w:val="none" w:sz="0" w:space="0" w:color="auto"/>
        <w:right w:val="none" w:sz="0" w:space="0" w:color="auto"/>
      </w:divBdr>
    </w:div>
    <w:div w:id="1257178170">
      <w:bodyDiv w:val="1"/>
      <w:marLeft w:val="0"/>
      <w:marRight w:val="0"/>
      <w:marTop w:val="0"/>
      <w:marBottom w:val="0"/>
      <w:divBdr>
        <w:top w:val="none" w:sz="0" w:space="0" w:color="auto"/>
        <w:left w:val="none" w:sz="0" w:space="0" w:color="auto"/>
        <w:bottom w:val="none" w:sz="0" w:space="0" w:color="auto"/>
        <w:right w:val="none" w:sz="0" w:space="0" w:color="auto"/>
      </w:divBdr>
    </w:div>
    <w:div w:id="1472020777">
      <w:bodyDiv w:val="1"/>
      <w:marLeft w:val="0"/>
      <w:marRight w:val="0"/>
      <w:marTop w:val="0"/>
      <w:marBottom w:val="0"/>
      <w:divBdr>
        <w:top w:val="none" w:sz="0" w:space="0" w:color="auto"/>
        <w:left w:val="none" w:sz="0" w:space="0" w:color="auto"/>
        <w:bottom w:val="none" w:sz="0" w:space="0" w:color="auto"/>
        <w:right w:val="none" w:sz="0" w:space="0" w:color="auto"/>
      </w:divBdr>
    </w:div>
    <w:div w:id="1557160249">
      <w:bodyDiv w:val="1"/>
      <w:marLeft w:val="0"/>
      <w:marRight w:val="0"/>
      <w:marTop w:val="0"/>
      <w:marBottom w:val="0"/>
      <w:divBdr>
        <w:top w:val="none" w:sz="0" w:space="0" w:color="auto"/>
        <w:left w:val="none" w:sz="0" w:space="0" w:color="auto"/>
        <w:bottom w:val="none" w:sz="0" w:space="0" w:color="auto"/>
        <w:right w:val="none" w:sz="0" w:space="0" w:color="auto"/>
      </w:divBdr>
    </w:div>
    <w:div w:id="1773816697">
      <w:bodyDiv w:val="1"/>
      <w:marLeft w:val="0"/>
      <w:marRight w:val="0"/>
      <w:marTop w:val="0"/>
      <w:marBottom w:val="0"/>
      <w:divBdr>
        <w:top w:val="none" w:sz="0" w:space="0" w:color="auto"/>
        <w:left w:val="none" w:sz="0" w:space="0" w:color="auto"/>
        <w:bottom w:val="none" w:sz="0" w:space="0" w:color="auto"/>
        <w:right w:val="none" w:sz="0" w:space="0" w:color="auto"/>
      </w:divBdr>
    </w:div>
    <w:div w:id="1807965423">
      <w:bodyDiv w:val="1"/>
      <w:marLeft w:val="0"/>
      <w:marRight w:val="0"/>
      <w:marTop w:val="0"/>
      <w:marBottom w:val="0"/>
      <w:divBdr>
        <w:top w:val="none" w:sz="0" w:space="0" w:color="auto"/>
        <w:left w:val="none" w:sz="0" w:space="0" w:color="auto"/>
        <w:bottom w:val="none" w:sz="0" w:space="0" w:color="auto"/>
        <w:right w:val="none" w:sz="0" w:space="0" w:color="auto"/>
      </w:divBdr>
    </w:div>
    <w:div w:id="1821463215">
      <w:bodyDiv w:val="1"/>
      <w:marLeft w:val="0"/>
      <w:marRight w:val="0"/>
      <w:marTop w:val="0"/>
      <w:marBottom w:val="0"/>
      <w:divBdr>
        <w:top w:val="none" w:sz="0" w:space="0" w:color="auto"/>
        <w:left w:val="none" w:sz="0" w:space="0" w:color="auto"/>
        <w:bottom w:val="none" w:sz="0" w:space="0" w:color="auto"/>
        <w:right w:val="none" w:sz="0" w:space="0" w:color="auto"/>
      </w:divBdr>
    </w:div>
    <w:div w:id="208865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644/11-MAMM-S-165.1" TargetMode="External"/><Relationship Id="rId21" Type="http://schemas.openxmlformats.org/officeDocument/2006/relationships/hyperlink" Target="https://doi.org/10.1016/j.dsr2.2020.104821" TargetMode="External"/><Relationship Id="rId42" Type="http://schemas.openxmlformats.org/officeDocument/2006/relationships/hyperlink" Target="https://doi.org/10.1111/j.1469-185X.2008.00064.x" TargetMode="External"/><Relationship Id="rId47" Type="http://schemas.openxmlformats.org/officeDocument/2006/relationships/hyperlink" Target="https://doi.org/10.1002/ece3.1437" TargetMode="External"/><Relationship Id="rId63" Type="http://schemas.openxmlformats.org/officeDocument/2006/relationships/hyperlink" Target="https://doi.org/10.1111/j.1365-2427.2006.01557.x" TargetMode="External"/><Relationship Id="rId68" Type="http://schemas.openxmlformats.org/officeDocument/2006/relationships/hyperlink" Target="https://doi.org/10.1021/es050606t" TargetMode="External"/><Relationship Id="rId16" Type="http://schemas.openxmlformats.org/officeDocument/2006/relationships/hyperlink" Target="https://doi.org/10.1073/pnas.93.20.10844" TargetMode="External"/><Relationship Id="rId11" Type="http://schemas.openxmlformats.org/officeDocument/2006/relationships/hyperlink" Target="https://doi.org/10.1016/j.ecolind.2016.12.007" TargetMode="External"/><Relationship Id="rId32" Type="http://schemas.openxmlformats.org/officeDocument/2006/relationships/hyperlink" Target="https://doi.org/10.3354/meps10257" TargetMode="External"/><Relationship Id="rId37" Type="http://schemas.openxmlformats.org/officeDocument/2006/relationships/hyperlink" Target="https://doi.org/10.1029/2018JC014670" TargetMode="External"/><Relationship Id="rId53" Type="http://schemas.openxmlformats.org/officeDocument/2006/relationships/hyperlink" Target="https://doi.org/10.1016/j.pocean.2010.04.026" TargetMode="External"/><Relationship Id="rId58" Type="http://schemas.openxmlformats.org/officeDocument/2006/relationships/hyperlink" Target="https://doi.org/10.3354/meps301135" TargetMode="External"/><Relationship Id="rId74" Type="http://schemas.openxmlformats.org/officeDocument/2006/relationships/hyperlink" Target="https://doi.org/10.1126/science.1109049" TargetMode="External"/><Relationship Id="rId79"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yperlink" Target="https://doi.org/10.1086/716184" TargetMode="External"/><Relationship Id="rId19" Type="http://schemas.openxmlformats.org/officeDocument/2006/relationships/hyperlink" Target="https://doi.org/10.1139/Z08-012" TargetMode="External"/><Relationship Id="rId14" Type="http://schemas.openxmlformats.org/officeDocument/2006/relationships/hyperlink" Target="https://doi.org/10.1890/09-2409.1" TargetMode="External"/><Relationship Id="rId22" Type="http://schemas.openxmlformats.org/officeDocument/2006/relationships/hyperlink" Target="https://doi.org/10.3354/meps342085" TargetMode="External"/><Relationship Id="rId27" Type="http://schemas.openxmlformats.org/officeDocument/2006/relationships/hyperlink" Target="https://doi.org/10.1016/0016-7037(81)90244-1" TargetMode="External"/><Relationship Id="rId30" Type="http://schemas.openxmlformats.org/officeDocument/2006/relationships/hyperlink" Target="https://doi.org/10.1111/gcb.15551" TargetMode="External"/><Relationship Id="rId35" Type="http://schemas.openxmlformats.org/officeDocument/2006/relationships/hyperlink" Target="https://doi.org/10.4319/lo.2013.58.6.1931" TargetMode="External"/><Relationship Id="rId43" Type="http://schemas.openxmlformats.org/officeDocument/2006/relationships/hyperlink" Target="https://doi.org/10.1139/f06-168" TargetMode="External"/><Relationship Id="rId48" Type="http://schemas.openxmlformats.org/officeDocument/2006/relationships/hyperlink" Target="https://doi.org/10.1016/j.tree.2015.09.001" TargetMode="External"/><Relationship Id="rId56" Type="http://schemas.openxmlformats.org/officeDocument/2006/relationships/hyperlink" Target="https://doi.org/10.3354/meps197081" TargetMode="External"/><Relationship Id="rId64" Type="http://schemas.openxmlformats.org/officeDocument/2006/relationships/hyperlink" Target="https://doi.org/10.1127/1863-9135/2008/0172-0255" TargetMode="External"/><Relationship Id="rId69" Type="http://schemas.openxmlformats.org/officeDocument/2006/relationships/hyperlink" Target="https://doi.org/10.1007/s00442-003-1270-z" TargetMode="External"/><Relationship Id="rId77" Type="http://schemas.openxmlformats.org/officeDocument/2006/relationships/hyperlink" Target="https://doi.org/10.4319/lo.2001.46.8.2061" TargetMode="External"/><Relationship Id="rId8" Type="http://schemas.openxmlformats.org/officeDocument/2006/relationships/hyperlink" Target="https://doi.org/10.1899/0887-3593(2007)26%5b273:ETTPOA%5d2.0.CO;2" TargetMode="External"/><Relationship Id="rId51" Type="http://schemas.openxmlformats.org/officeDocument/2006/relationships/hyperlink" Target="https://doi.org/10.1007/s00442-015-3305-7" TargetMode="External"/><Relationship Id="rId72" Type="http://schemas.openxmlformats.org/officeDocument/2006/relationships/hyperlink" Target="https://doi.org/10.1371/journal.pone.0098087"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doi.org/10.3389/fevo.2020.00017" TargetMode="External"/><Relationship Id="rId17" Type="http://schemas.openxmlformats.org/officeDocument/2006/relationships/hyperlink" Target="https://doi.org/10.1038/46762" TargetMode="External"/><Relationship Id="rId25" Type="http://schemas.openxmlformats.org/officeDocument/2006/relationships/hyperlink" Target="https://doi.org/10.1007/s00442-005-0118-0" TargetMode="External"/><Relationship Id="rId33" Type="http://schemas.openxmlformats.org/officeDocument/2006/relationships/hyperlink" Target="https://doi.org/10.1007/s00442-009-1323-z" TargetMode="External"/><Relationship Id="rId38" Type="http://schemas.openxmlformats.org/officeDocument/2006/relationships/hyperlink" Target="https://doi.org/10.1002/ecm.1451" TargetMode="External"/><Relationship Id="rId46" Type="http://schemas.openxmlformats.org/officeDocument/2006/relationships/hyperlink" Target="https://doi.org/10.1002/lno.10441" TargetMode="External"/><Relationship Id="rId59" Type="http://schemas.openxmlformats.org/officeDocument/2006/relationships/hyperlink" Target="https://doi.org/10.1016/j.dsr.2008.05.013" TargetMode="External"/><Relationship Id="rId67" Type="http://schemas.openxmlformats.org/officeDocument/2006/relationships/hyperlink" Target="https://doi.org/10.1371/journal.pone.0116182" TargetMode="External"/><Relationship Id="rId20" Type="http://schemas.openxmlformats.org/officeDocument/2006/relationships/hyperlink" Target="https://doi.org/10.1007/s00442-006-0571-4" TargetMode="External"/><Relationship Id="rId41" Type="http://schemas.openxmlformats.org/officeDocument/2006/relationships/hyperlink" Target="https://doi.org/10.1016/j.ecss.2013.04.004" TargetMode="External"/><Relationship Id="rId54" Type="http://schemas.openxmlformats.org/officeDocument/2006/relationships/hyperlink" Target="https://doi.org/10.3354/meps13682" TargetMode="External"/><Relationship Id="rId62" Type="http://schemas.openxmlformats.org/officeDocument/2006/relationships/hyperlink" Target="https://doi.org/10.1111/j.1365-2427.2006.01557.x" TargetMode="External"/><Relationship Id="rId70" Type="http://schemas.openxmlformats.org/officeDocument/2006/relationships/hyperlink" Target="https://doi.org/10.1890/ES10-00011.1" TargetMode="External"/><Relationship Id="rId75" Type="http://schemas.openxmlformats.org/officeDocument/2006/relationships/hyperlink" Target="https://doi.org/10.1007/s00442-011-2178-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371/journal.pone.0085818" TargetMode="External"/><Relationship Id="rId23" Type="http://schemas.openxmlformats.org/officeDocument/2006/relationships/hyperlink" Target="https://doi.org/10.4319/lom.2009.7.740" TargetMode="External"/><Relationship Id="rId28" Type="http://schemas.openxmlformats.org/officeDocument/2006/relationships/hyperlink" Target="https://doi.org/10.3354/meps11030" TargetMode="External"/><Relationship Id="rId36" Type="http://schemas.openxmlformats.org/officeDocument/2006/relationships/hyperlink" Target="https://doi.org/10.1002/rra.2630" TargetMode="External"/><Relationship Id="rId49" Type="http://schemas.openxmlformats.org/officeDocument/2006/relationships/hyperlink" Target="https://doi.org/10.1177/0959683609345075" TargetMode="External"/><Relationship Id="rId57" Type="http://schemas.openxmlformats.org/officeDocument/2006/relationships/hyperlink" Target="https://doi.org/10.1017/S0025315406013324" TargetMode="External"/><Relationship Id="rId10" Type="http://schemas.openxmlformats.org/officeDocument/2006/relationships/hyperlink" Target="https://doi.org/10.1073/pnas.0700462104" TargetMode="External"/><Relationship Id="rId31" Type="http://schemas.openxmlformats.org/officeDocument/2006/relationships/hyperlink" Target="https://doi.org/10.1016/j.ecss.2020.106968" TargetMode="External"/><Relationship Id="rId44" Type="http://schemas.openxmlformats.org/officeDocument/2006/relationships/hyperlink" Target="https://doi.org/10.1016/j.gca.2007.06.061" TargetMode="External"/><Relationship Id="rId52" Type="http://schemas.openxmlformats.org/officeDocument/2006/relationships/hyperlink" Target="https://doi.org/10.1186/s40645-015-0032-y" TargetMode="External"/><Relationship Id="rId60" Type="http://schemas.openxmlformats.org/officeDocument/2006/relationships/hyperlink" Target="https://doi.org/10.1073/pnas.1004904108" TargetMode="External"/><Relationship Id="rId65" Type="http://schemas.openxmlformats.org/officeDocument/2006/relationships/hyperlink" Target="https://doi.org/10.1007/s10750-017-3110-x" TargetMode="External"/><Relationship Id="rId73" Type="http://schemas.openxmlformats.org/officeDocument/2006/relationships/hyperlink" Target="https://doi.org/10.1111/j.1365-2427.2006.01529.x" TargetMode="External"/><Relationship Id="rId78" Type="http://schemas.openxmlformats.org/officeDocument/2006/relationships/header" Target="header1.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3354/meps130085" TargetMode="External"/><Relationship Id="rId13" Type="http://schemas.openxmlformats.org/officeDocument/2006/relationships/hyperlink" Target="https://doi.org/10.1139/cjfas-2016-0420" TargetMode="External"/><Relationship Id="rId18" Type="http://schemas.openxmlformats.org/officeDocument/2006/relationships/hyperlink" Target="https://doi.org/10.1093/plankt/fbn074" TargetMode="External"/><Relationship Id="rId39" Type="http://schemas.openxmlformats.org/officeDocument/2006/relationships/hyperlink" Target="https://doi.org/10.1371/journal.pone.0096065" TargetMode="External"/><Relationship Id="rId34" Type="http://schemas.openxmlformats.org/officeDocument/2006/relationships/hyperlink" Target="https://doi.org/10.1139/f94-133" TargetMode="External"/><Relationship Id="rId50" Type="http://schemas.openxmlformats.org/officeDocument/2006/relationships/hyperlink" Target="https://doi.org/10.3354/ame048061" TargetMode="External"/><Relationship Id="rId55" Type="http://schemas.openxmlformats.org/officeDocument/2006/relationships/hyperlink" Target="https://doi.org/10.1890/0012-9658(2002)083%5b0703:USITET%5d2.0.CO;2" TargetMode="External"/><Relationship Id="rId76" Type="http://schemas.openxmlformats.org/officeDocument/2006/relationships/hyperlink" Target="https://doi.org/10.1006/ecss.1998.0409" TargetMode="External"/><Relationship Id="rId7" Type="http://schemas.openxmlformats.org/officeDocument/2006/relationships/endnotes" Target="endnotes.xml"/><Relationship Id="rId71" Type="http://schemas.openxmlformats.org/officeDocument/2006/relationships/hyperlink" Target="https://doi.org/10.1007/s00227-003-1027-6" TargetMode="External"/><Relationship Id="rId2" Type="http://schemas.openxmlformats.org/officeDocument/2006/relationships/numbering" Target="numbering.xml"/><Relationship Id="rId29" Type="http://schemas.openxmlformats.org/officeDocument/2006/relationships/hyperlink" Target="https://doi.org/10.1017/S0025315403008798" TargetMode="External"/><Relationship Id="rId24" Type="http://schemas.openxmlformats.org/officeDocument/2006/relationships/hyperlink" Target="https://doi.org/10.3354/meps09171" TargetMode="External"/><Relationship Id="rId40" Type="http://schemas.openxmlformats.org/officeDocument/2006/relationships/hyperlink" Target="https://doi.org/10.1016/j.dsr2.2014.02.003" TargetMode="External"/><Relationship Id="rId45" Type="http://schemas.openxmlformats.org/officeDocument/2006/relationships/hyperlink" Target="https://doi.org/10.1016/S0967-0637(03)00073-6" TargetMode="External"/><Relationship Id="rId66" Type="http://schemas.openxmlformats.org/officeDocument/2006/relationships/hyperlink" Target="https://doi.org/10.1111/1365-2656.123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85499-8E8D-EF4E-A69D-20DB2C441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11155</Words>
  <Characters>63586</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SU / SYSEKO / NEW CAMPUS AGREEMENT</Company>
  <LinksUpToDate>false</LinksUpToDate>
  <CharactersWithSpaces>74592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Nielsen</dc:creator>
  <cp:lastModifiedBy>Megan Feddern</cp:lastModifiedBy>
  <cp:revision>2</cp:revision>
  <dcterms:created xsi:type="dcterms:W3CDTF">2021-09-27T17:39:00Z</dcterms:created>
  <dcterms:modified xsi:type="dcterms:W3CDTF">2021-09-27T17:39:00Z</dcterms:modified>
</cp:coreProperties>
</file>