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2393" w14:textId="2300C877" w:rsidR="00EA68B2" w:rsidRDefault="008C52B3" w:rsidP="000623C4">
      <w:pPr>
        <w:suppressLineNumber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A68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Working title: </w:t>
      </w:r>
      <w:r w:rsidR="00F225EC"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EA68B2" w:rsidRPr="00EA68B2">
        <w:rPr>
          <w:rFonts w:ascii="Times New Roman" w:hAnsi="Times New Roman" w:cs="Times New Roman"/>
          <w:sz w:val="24"/>
          <w:szCs w:val="24"/>
          <w:lang w:val="en-US"/>
        </w:rPr>
        <w:t xml:space="preserve"> of long term enrichment of riparian areas with salmon carcasses on inorganic soil nitrogen pools, nitrogen transformations, and stable isotopic ratios.</w:t>
      </w:r>
    </w:p>
    <w:p w14:paraId="572F83A1" w14:textId="77777777" w:rsidR="006F7614" w:rsidRDefault="006F7614" w:rsidP="000623C4">
      <w:pPr>
        <w:suppressLineNumber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08130517" w14:textId="77777777" w:rsidR="006F7614" w:rsidRDefault="006F7614" w:rsidP="000623C4">
      <w:pPr>
        <w:suppressLineNumber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Megan Feddern</w:t>
      </w:r>
      <w:r w:rsidR="00EA6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10E79C" w14:textId="77777777" w:rsidR="006F7614" w:rsidRDefault="006F7614" w:rsidP="000623C4">
      <w:pPr>
        <w:suppressLineNumber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Gordon Holtgrieve</w:t>
      </w:r>
    </w:p>
    <w:p w14:paraId="49D45056" w14:textId="77777777" w:rsidR="006F7614" w:rsidRDefault="006F7614" w:rsidP="000623C4">
      <w:pPr>
        <w:suppressLineNumber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Julia Hart</w:t>
      </w:r>
    </w:p>
    <w:p w14:paraId="7BD5D1BD" w14:textId="77777777" w:rsidR="006F7614" w:rsidRDefault="006F7614" w:rsidP="000623C4">
      <w:pPr>
        <w:suppressLineNumber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Hyejoo Ro</w:t>
      </w:r>
    </w:p>
    <w:p w14:paraId="7ABF2B57" w14:textId="54DC37D8" w:rsidR="001C3B0C" w:rsidRDefault="00EA68B2" w:rsidP="000623C4">
      <w:pPr>
        <w:suppressLineNumbers/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Quinn</w:t>
      </w:r>
      <w:r w:rsidR="001C3B0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AE42084" w14:textId="77777777" w:rsidR="00EA68B2" w:rsidRPr="00EA68B2" w:rsidRDefault="00EA68B2" w:rsidP="000623C4">
      <w:pPr>
        <w:suppressLineNumbers/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58362BF" w14:textId="40165335" w:rsidR="00EA68B2" w:rsidRPr="00EA68B2" w:rsidRDefault="00EA68B2" w:rsidP="000623C4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Abstract </w:t>
      </w:r>
      <w:r w:rsidRPr="00EA68B2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350 words for ecology)</w:t>
      </w:r>
    </w:p>
    <w:p w14:paraId="125ED294" w14:textId="3C1D4005" w:rsidR="002223AF" w:rsidRDefault="00EA68B2" w:rsidP="000623C4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14:paraId="03D75B10" w14:textId="373CABCF" w:rsidR="0093265F" w:rsidRDefault="00EA68B2" w:rsidP="000623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623C4">
        <w:rPr>
          <w:rFonts w:ascii="Times New Roman" w:hAnsi="Times New Roman" w:cs="Times New Roman"/>
          <w:sz w:val="24"/>
          <w:szCs w:val="24"/>
          <w:lang w:val="en-US"/>
        </w:rPr>
        <w:t>The migration of Pacific salmon (</w:t>
      </w:r>
      <w:r w:rsidR="000623C4">
        <w:rPr>
          <w:rFonts w:ascii="Times New Roman" w:hAnsi="Times New Roman" w:cs="Times New Roman"/>
          <w:i/>
          <w:sz w:val="24"/>
          <w:szCs w:val="24"/>
          <w:lang w:val="en-US"/>
        </w:rPr>
        <w:t xml:space="preserve">Oncorhynchus </w:t>
      </w:r>
      <w:r w:rsidR="000623C4">
        <w:rPr>
          <w:rFonts w:ascii="Times New Roman" w:hAnsi="Times New Roman" w:cs="Times New Roman"/>
          <w:sz w:val="24"/>
          <w:szCs w:val="24"/>
          <w:lang w:val="en-US"/>
        </w:rPr>
        <w:t xml:space="preserve">spp.) from marine environments </w:t>
      </w:r>
      <w:r w:rsidR="00A267F6">
        <w:rPr>
          <w:rFonts w:ascii="Times New Roman" w:hAnsi="Times New Roman" w:cs="Times New Roman"/>
          <w:sz w:val="24"/>
          <w:szCs w:val="24"/>
          <w:lang w:val="en-US"/>
        </w:rPr>
        <w:t>to freshwater spawning grounds</w:t>
      </w:r>
      <w:r w:rsidR="0089766F">
        <w:rPr>
          <w:rFonts w:ascii="Times New Roman" w:hAnsi="Times New Roman" w:cs="Times New Roman"/>
          <w:sz w:val="24"/>
          <w:szCs w:val="24"/>
          <w:lang w:val="en-US"/>
        </w:rPr>
        <w:t xml:space="preserve"> contributes</w:t>
      </w:r>
      <w:r w:rsidR="0006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F00">
        <w:rPr>
          <w:rFonts w:ascii="Times New Roman" w:hAnsi="Times New Roman" w:cs="Times New Roman"/>
          <w:sz w:val="24"/>
          <w:szCs w:val="24"/>
          <w:lang w:val="en-US"/>
        </w:rPr>
        <w:t>nutrients and organic material</w:t>
      </w:r>
      <w:r w:rsidR="000623C4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A267F6">
        <w:rPr>
          <w:rFonts w:ascii="Times New Roman" w:hAnsi="Times New Roman" w:cs="Times New Roman"/>
          <w:sz w:val="24"/>
          <w:szCs w:val="24"/>
          <w:lang w:val="en-US"/>
        </w:rPr>
        <w:t xml:space="preserve">freshwater </w:t>
      </w:r>
      <w:r w:rsidR="002A6D46">
        <w:rPr>
          <w:rFonts w:ascii="Times New Roman" w:hAnsi="Times New Roman" w:cs="Times New Roman"/>
          <w:sz w:val="24"/>
          <w:szCs w:val="24"/>
          <w:lang w:val="en-US"/>
        </w:rPr>
        <w:t>and terrestrial ecosystems</w:t>
      </w:r>
      <w:r w:rsidR="00A267F6">
        <w:rPr>
          <w:rFonts w:ascii="Times New Roman" w:hAnsi="Times New Roman" w:cs="Times New Roman"/>
          <w:sz w:val="24"/>
          <w:szCs w:val="24"/>
          <w:lang w:val="en-US"/>
        </w:rPr>
        <w:t xml:space="preserve"> (Gende et al. 2002</w:t>
      </w:r>
      <w:r w:rsidR="000623C4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31173D">
        <w:rPr>
          <w:rFonts w:ascii="Times New Roman" w:hAnsi="Times New Roman" w:cs="Times New Roman"/>
          <w:sz w:val="24"/>
          <w:szCs w:val="24"/>
          <w:lang w:val="en-US"/>
        </w:rPr>
        <w:t xml:space="preserve"> Given a majority of salmon growth occurs in the ocean, these annual events provide an</w:t>
      </w:r>
      <w:r w:rsidR="00F22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27B2">
        <w:rPr>
          <w:rFonts w:ascii="Times New Roman" w:hAnsi="Times New Roman" w:cs="Times New Roman"/>
          <w:sz w:val="24"/>
          <w:szCs w:val="24"/>
          <w:lang w:val="en-US"/>
        </w:rPr>
        <w:t>influx of marine derived nutrients</w:t>
      </w:r>
      <w:r w:rsidR="007D2618">
        <w:rPr>
          <w:rFonts w:ascii="Times New Roman" w:hAnsi="Times New Roman" w:cs="Times New Roman"/>
          <w:sz w:val="24"/>
          <w:szCs w:val="24"/>
          <w:lang w:val="en-US"/>
        </w:rPr>
        <w:t xml:space="preserve"> (MDN)</w:t>
      </w:r>
      <w:r w:rsidR="0031173D">
        <w:rPr>
          <w:rFonts w:ascii="Times New Roman" w:hAnsi="Times New Roman" w:cs="Times New Roman"/>
          <w:sz w:val="24"/>
          <w:szCs w:val="24"/>
          <w:lang w:val="en-US"/>
        </w:rPr>
        <w:t xml:space="preserve">. Carcasses and roe </w:t>
      </w:r>
      <w:r w:rsidR="00F225EC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31173D">
        <w:rPr>
          <w:rFonts w:ascii="Times New Roman" w:hAnsi="Times New Roman" w:cs="Times New Roman"/>
          <w:sz w:val="24"/>
          <w:szCs w:val="24"/>
          <w:lang w:val="en-US"/>
        </w:rPr>
        <w:t xml:space="preserve"> prey for a variety of organisms, and this resource pulse</w:t>
      </w:r>
      <w:r w:rsidR="00A33EF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9027B2">
        <w:rPr>
          <w:rFonts w:ascii="Times New Roman" w:hAnsi="Times New Roman" w:cs="Times New Roman"/>
          <w:sz w:val="24"/>
          <w:szCs w:val="24"/>
          <w:lang w:val="en-US"/>
        </w:rPr>
        <w:t xml:space="preserve"> linked to </w:t>
      </w:r>
      <w:r w:rsidR="0031173D">
        <w:rPr>
          <w:rFonts w:ascii="Times New Roman" w:hAnsi="Times New Roman" w:cs="Times New Roman"/>
          <w:sz w:val="24"/>
          <w:szCs w:val="24"/>
          <w:lang w:val="en-US"/>
        </w:rPr>
        <w:t xml:space="preserve">variable </w:t>
      </w:r>
      <w:r w:rsidR="007B7AF1">
        <w:rPr>
          <w:rFonts w:ascii="Times New Roman" w:hAnsi="Times New Roman" w:cs="Times New Roman"/>
          <w:sz w:val="24"/>
          <w:szCs w:val="24"/>
          <w:lang w:val="en-US"/>
        </w:rPr>
        <w:t xml:space="preserve">responses in </w:t>
      </w:r>
      <w:r w:rsidR="009027B2">
        <w:rPr>
          <w:rFonts w:ascii="Times New Roman" w:hAnsi="Times New Roman" w:cs="Times New Roman"/>
          <w:sz w:val="24"/>
          <w:szCs w:val="24"/>
          <w:lang w:val="en-US"/>
        </w:rPr>
        <w:t xml:space="preserve">periphyton density, stream biofilms, freshwater nutrient concentration, </w:t>
      </w:r>
      <w:r w:rsidR="007B7AF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9027B2">
        <w:rPr>
          <w:rFonts w:ascii="Times New Roman" w:hAnsi="Times New Roman" w:cs="Times New Roman"/>
          <w:sz w:val="24"/>
          <w:szCs w:val="24"/>
          <w:lang w:val="en-US"/>
        </w:rPr>
        <w:t>insect abundance (Mitchell and Lamberti 2005; Rüegg et al. 2011).</w:t>
      </w:r>
      <w:r w:rsidR="000623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25E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74058">
        <w:rPr>
          <w:rFonts w:ascii="Times New Roman" w:hAnsi="Times New Roman" w:cs="Times New Roman"/>
          <w:sz w:val="24"/>
          <w:szCs w:val="24"/>
          <w:lang w:val="en-US"/>
        </w:rPr>
        <w:t xml:space="preserve"> majority of these nutrients are</w:t>
      </w:r>
      <w:r w:rsidR="002F3F62">
        <w:rPr>
          <w:rFonts w:ascii="Times New Roman" w:hAnsi="Times New Roman" w:cs="Times New Roman"/>
          <w:sz w:val="24"/>
          <w:szCs w:val="24"/>
          <w:lang w:val="en-US"/>
        </w:rPr>
        <w:t xml:space="preserve"> directly</w:t>
      </w:r>
      <w:r w:rsidR="00174058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F225EC">
        <w:rPr>
          <w:rFonts w:ascii="Times New Roman" w:hAnsi="Times New Roman" w:cs="Times New Roman"/>
          <w:sz w:val="24"/>
          <w:szCs w:val="24"/>
          <w:lang w:val="en-US"/>
        </w:rPr>
        <w:t>eposited to freshwater systems</w:t>
      </w:r>
      <w:r w:rsidR="000578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225E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7405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05942">
        <w:rPr>
          <w:rFonts w:ascii="Times New Roman" w:hAnsi="Times New Roman" w:cs="Times New Roman"/>
          <w:sz w:val="24"/>
          <w:szCs w:val="24"/>
          <w:lang w:val="en-US"/>
        </w:rPr>
        <w:t xml:space="preserve">quatic ecosystems demonstrate strong influences </w:t>
      </w:r>
      <w:r w:rsidR="000A2DC7">
        <w:rPr>
          <w:rFonts w:ascii="Times New Roman" w:hAnsi="Times New Roman" w:cs="Times New Roman"/>
          <w:sz w:val="24"/>
          <w:szCs w:val="24"/>
          <w:lang w:val="en-US"/>
        </w:rPr>
        <w:t>on their riparian counterparts</w:t>
      </w:r>
      <w:r w:rsidR="00174058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="00505942">
        <w:rPr>
          <w:rFonts w:ascii="Times New Roman" w:hAnsi="Times New Roman" w:cs="Times New Roman"/>
          <w:sz w:val="24"/>
          <w:szCs w:val="24"/>
          <w:lang w:val="en-US"/>
        </w:rPr>
        <w:t>looding, erosion, and sedim</w:t>
      </w:r>
      <w:r w:rsidR="000A2DC7">
        <w:rPr>
          <w:rFonts w:ascii="Times New Roman" w:hAnsi="Times New Roman" w:cs="Times New Roman"/>
          <w:sz w:val="24"/>
          <w:szCs w:val="24"/>
          <w:lang w:val="en-US"/>
        </w:rPr>
        <w:t>ent deposition can alter nutrient dynamics and soil composition</w:t>
      </w:r>
      <w:r w:rsidR="00174058">
        <w:rPr>
          <w:rFonts w:ascii="Times New Roman" w:hAnsi="Times New Roman" w:cs="Times New Roman"/>
          <w:sz w:val="24"/>
          <w:szCs w:val="24"/>
          <w:lang w:val="en-US"/>
        </w:rPr>
        <w:t xml:space="preserve"> in adjacent ecosystems</w:t>
      </w:r>
      <w:r w:rsidR="000A2DC7">
        <w:rPr>
          <w:rFonts w:ascii="Times New Roman" w:hAnsi="Times New Roman" w:cs="Times New Roman"/>
          <w:sz w:val="24"/>
          <w:szCs w:val="24"/>
          <w:lang w:val="en-US"/>
        </w:rPr>
        <w:t xml:space="preserve"> (Naiman 1998; Naiman and Decamps 1997). </w:t>
      </w:r>
      <w:r w:rsidR="0089766F">
        <w:rPr>
          <w:rFonts w:ascii="Times New Roman" w:hAnsi="Times New Roman" w:cs="Times New Roman"/>
          <w:sz w:val="24"/>
          <w:szCs w:val="24"/>
          <w:lang w:val="en-US"/>
        </w:rPr>
        <w:t xml:space="preserve">Transport of salmon carcasses by bears </w:t>
      </w:r>
      <w:r w:rsidR="007425E0">
        <w:rPr>
          <w:rFonts w:ascii="Times New Roman" w:hAnsi="Times New Roman" w:cs="Times New Roman"/>
          <w:sz w:val="24"/>
          <w:szCs w:val="24"/>
          <w:lang w:val="en-US"/>
        </w:rPr>
        <w:t xml:space="preserve">increases </w:t>
      </w:r>
      <w:r w:rsidR="0089766F">
        <w:rPr>
          <w:rFonts w:ascii="Times New Roman" w:hAnsi="Times New Roman" w:cs="Times New Roman"/>
          <w:sz w:val="24"/>
          <w:szCs w:val="24"/>
          <w:lang w:val="en-US"/>
        </w:rPr>
        <w:t>soil ammonium (</w:t>
      </w:r>
      <w:r w:rsidR="0089766F" w:rsidRPr="0089766F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89766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9766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89766F">
        <w:rPr>
          <w:rFonts w:ascii="Times New Roman" w:hAnsi="Times New Roman" w:cs="Times New Roman"/>
          <w:sz w:val="24"/>
          <w:szCs w:val="24"/>
          <w:lang w:val="en-US"/>
        </w:rPr>
        <w:t xml:space="preserve">) concentrations </w:t>
      </w:r>
      <w:r w:rsidR="00E03AE8">
        <w:rPr>
          <w:rFonts w:ascii="Times New Roman" w:hAnsi="Times New Roman" w:cs="Times New Roman"/>
          <w:sz w:val="24"/>
          <w:szCs w:val="24"/>
          <w:lang w:val="en-US"/>
        </w:rPr>
        <w:t>(Holtgrieve et al.</w:t>
      </w:r>
      <w:r w:rsidR="0089766F">
        <w:rPr>
          <w:rFonts w:ascii="Times New Roman" w:hAnsi="Times New Roman" w:cs="Times New Roman"/>
          <w:sz w:val="24"/>
          <w:szCs w:val="24"/>
          <w:lang w:val="en-US"/>
        </w:rPr>
        <w:t xml:space="preserve"> 2009)</w:t>
      </w:r>
      <w:r w:rsidR="00145E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766F">
        <w:rPr>
          <w:rFonts w:ascii="Times New Roman" w:hAnsi="Times New Roman" w:cs="Times New Roman"/>
          <w:sz w:val="24"/>
          <w:szCs w:val="24"/>
          <w:lang w:val="en-US"/>
        </w:rPr>
        <w:t xml:space="preserve"> and the spatial</w:t>
      </w:r>
      <w:r w:rsidR="007D2618">
        <w:rPr>
          <w:rFonts w:ascii="Times New Roman" w:hAnsi="Times New Roman" w:cs="Times New Roman"/>
          <w:sz w:val="24"/>
          <w:szCs w:val="24"/>
          <w:lang w:val="en-US"/>
        </w:rPr>
        <w:t xml:space="preserve"> distribution of MDN in foliar material is </w:t>
      </w:r>
      <w:r w:rsidR="00097220">
        <w:rPr>
          <w:rFonts w:ascii="Times New Roman" w:hAnsi="Times New Roman" w:cs="Times New Roman"/>
          <w:sz w:val="24"/>
          <w:szCs w:val="24"/>
          <w:lang w:val="en-US"/>
        </w:rPr>
        <w:t>linked to</w:t>
      </w:r>
      <w:r w:rsidR="007D2618">
        <w:rPr>
          <w:rFonts w:ascii="Times New Roman" w:hAnsi="Times New Roman" w:cs="Times New Roman"/>
          <w:sz w:val="24"/>
          <w:szCs w:val="24"/>
          <w:lang w:val="en-US"/>
        </w:rPr>
        <w:t xml:space="preserve"> flooding and piscivorous predator activity (Ben-David et al. 1998). </w:t>
      </w:r>
      <w:r w:rsidR="005059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E7EE90" w14:textId="5BB6B3A7" w:rsidR="00174058" w:rsidRPr="002571B1" w:rsidRDefault="00097220" w:rsidP="000623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 body of research focused on </w:t>
      </w:r>
      <w:r w:rsidR="007243F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contributions </w:t>
      </w:r>
      <w:r w:rsidR="007243FC">
        <w:rPr>
          <w:rFonts w:ascii="Times New Roman" w:hAnsi="Times New Roman" w:cs="Times New Roman"/>
          <w:sz w:val="24"/>
          <w:szCs w:val="24"/>
          <w:lang w:val="en-US"/>
        </w:rPr>
        <w:t>of MDN from anadromous</w:t>
      </w:r>
      <w:r w:rsidR="00E03AE8">
        <w:rPr>
          <w:rFonts w:ascii="Times New Roman" w:hAnsi="Times New Roman" w:cs="Times New Roman"/>
          <w:sz w:val="24"/>
          <w:szCs w:val="24"/>
          <w:lang w:val="en-US"/>
        </w:rPr>
        <w:t>, semelparous,</w:t>
      </w:r>
      <w:r w:rsidR="007243FC">
        <w:rPr>
          <w:rFonts w:ascii="Times New Roman" w:hAnsi="Times New Roman" w:cs="Times New Roman"/>
          <w:sz w:val="24"/>
          <w:szCs w:val="24"/>
          <w:lang w:val="en-US"/>
        </w:rPr>
        <w:t xml:space="preserve"> fish species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surrounding ecosystems is </w:t>
      </w:r>
      <w:r w:rsidR="0075325A">
        <w:rPr>
          <w:rFonts w:ascii="Times New Roman" w:hAnsi="Times New Roman" w:cs="Times New Roman"/>
          <w:sz w:val="24"/>
          <w:szCs w:val="24"/>
          <w:lang w:val="en-US"/>
        </w:rPr>
        <w:t xml:space="preserve">primarily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stable isotope analysis of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03AE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03AE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E03AE8">
        <w:rPr>
          <w:rFonts w:ascii="Times New Roman" w:hAnsi="Times New Roman" w:cs="Times New Roman"/>
          <w:sz w:val="24"/>
          <w:szCs w:val="24"/>
          <w:lang w:val="en-US"/>
        </w:rPr>
        <w:t>N/</w:t>
      </w:r>
      <w:r w:rsidR="00E03AE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="00E03AE8">
        <w:rPr>
          <w:rFonts w:ascii="Times New Roman" w:hAnsi="Times New Roman" w:cs="Times New Roman"/>
          <w:sz w:val="24"/>
          <w:szCs w:val="24"/>
          <w:lang w:val="en-US"/>
        </w:rPr>
        <w:t>N)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5325A">
        <w:rPr>
          <w:rFonts w:ascii="Times New Roman" w:hAnsi="Times New Roman" w:cs="Times New Roman"/>
          <w:sz w:val="24"/>
          <w:szCs w:val="24"/>
          <w:lang w:val="en-US"/>
        </w:rPr>
        <w:t xml:space="preserve">Salmon tend to be enriched in </w:t>
      </w:r>
      <w:r w:rsidR="007532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75325A">
        <w:rPr>
          <w:rFonts w:ascii="Times New Roman" w:hAnsi="Times New Roman" w:cs="Times New Roman"/>
          <w:sz w:val="24"/>
          <w:szCs w:val="24"/>
          <w:lang w:val="en-US"/>
        </w:rPr>
        <w:t xml:space="preserve">N relative to </w:t>
      </w:r>
      <w:r w:rsidR="0075325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="0075325A">
        <w:rPr>
          <w:rFonts w:ascii="Times New Roman" w:hAnsi="Times New Roman" w:cs="Times New Roman"/>
          <w:sz w:val="24"/>
          <w:szCs w:val="24"/>
          <w:lang w:val="en-US"/>
        </w:rPr>
        <w:t xml:space="preserve">N when compared to freshwater </w:t>
      </w:r>
      <w:r w:rsidR="002571B1">
        <w:rPr>
          <w:rFonts w:ascii="Times New Roman" w:hAnsi="Times New Roman" w:cs="Times New Roman"/>
          <w:sz w:val="24"/>
          <w:szCs w:val="24"/>
          <w:lang w:val="en-US"/>
        </w:rPr>
        <w:t>nitrogen</w:t>
      </w:r>
      <w:r w:rsidR="00057878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7243FC">
        <w:rPr>
          <w:rFonts w:ascii="Times New Roman" w:hAnsi="Times New Roman" w:cs="Times New Roman"/>
          <w:sz w:val="24"/>
          <w:szCs w:val="24"/>
          <w:lang w:val="en-US"/>
        </w:rPr>
        <w:t xml:space="preserve"> this elevation of the heavier isotope can be used to trace the fate and distribution of MDN</w:t>
      </w:r>
      <w:r w:rsidR="00F225EC">
        <w:rPr>
          <w:rFonts w:ascii="Times New Roman" w:hAnsi="Times New Roman" w:cs="Times New Roman"/>
          <w:sz w:val="24"/>
          <w:szCs w:val="24"/>
          <w:lang w:val="en-US"/>
        </w:rPr>
        <w:t xml:space="preserve"> (Schindler et al. 2003).</w:t>
      </w:r>
      <w:r w:rsidR="007532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7878">
        <w:rPr>
          <w:rFonts w:ascii="Times New Roman" w:hAnsi="Times New Roman" w:cs="Times New Roman"/>
          <w:sz w:val="24"/>
          <w:szCs w:val="24"/>
          <w:lang w:val="en-US"/>
        </w:rPr>
        <w:t xml:space="preserve">Higher salmon returns have demonstrated elevated </w:t>
      </w:r>
      <w:r w:rsidR="00057878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0578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057878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057878">
        <w:rPr>
          <w:rFonts w:ascii="Times New Roman" w:hAnsi="Times New Roman" w:cs="Times New Roman"/>
          <w:sz w:val="24"/>
          <w:szCs w:val="24"/>
          <w:lang w:val="en-US"/>
        </w:rPr>
        <w:t xml:space="preserve">in zooplankton and periphyton (Finney et al. 2000; Holtgrieve et al. 2010). </w:t>
      </w:r>
      <w:r w:rsidR="007243FC">
        <w:rPr>
          <w:rFonts w:ascii="Times New Roman" w:hAnsi="Times New Roman" w:cs="Times New Roman"/>
          <w:sz w:val="24"/>
          <w:szCs w:val="24"/>
          <w:lang w:val="en-US"/>
        </w:rPr>
        <w:t>Stable isotope analysi</w:t>
      </w:r>
      <w:r w:rsidR="007425E0">
        <w:rPr>
          <w:rFonts w:ascii="Times New Roman" w:hAnsi="Times New Roman" w:cs="Times New Roman"/>
          <w:sz w:val="24"/>
          <w:szCs w:val="24"/>
          <w:lang w:val="en-US"/>
        </w:rPr>
        <w:t>s is used to understand utiliza</w:t>
      </w:r>
      <w:r w:rsidR="00145E53">
        <w:rPr>
          <w:rFonts w:ascii="Times New Roman" w:hAnsi="Times New Roman" w:cs="Times New Roman"/>
          <w:sz w:val="24"/>
          <w:szCs w:val="24"/>
          <w:lang w:val="en-US"/>
        </w:rPr>
        <w:t xml:space="preserve">tion of MDN by juvenile </w:t>
      </w:r>
      <w:r w:rsidR="007425E0">
        <w:rPr>
          <w:rFonts w:ascii="Times New Roman" w:hAnsi="Times New Roman" w:cs="Times New Roman"/>
          <w:sz w:val="24"/>
          <w:szCs w:val="24"/>
          <w:lang w:val="en-US"/>
        </w:rPr>
        <w:t xml:space="preserve">and adult salmon, </w:t>
      </w:r>
      <w:r w:rsidR="00145E53">
        <w:rPr>
          <w:rFonts w:ascii="Times New Roman" w:hAnsi="Times New Roman" w:cs="Times New Roman"/>
          <w:sz w:val="24"/>
          <w:szCs w:val="24"/>
          <w:lang w:val="en-US"/>
        </w:rPr>
        <w:t xml:space="preserve">plankton, and </w:t>
      </w:r>
      <w:r w:rsidR="00E22AFA">
        <w:rPr>
          <w:rFonts w:ascii="Times New Roman" w:hAnsi="Times New Roman" w:cs="Times New Roman"/>
          <w:sz w:val="24"/>
          <w:szCs w:val="24"/>
          <w:lang w:val="en-US"/>
        </w:rPr>
        <w:t>piscivorous predators</w:t>
      </w:r>
      <w:r w:rsidR="007425E0">
        <w:rPr>
          <w:rFonts w:ascii="Times New Roman" w:hAnsi="Times New Roman" w:cs="Times New Roman"/>
          <w:sz w:val="24"/>
          <w:szCs w:val="24"/>
          <w:lang w:val="en-US"/>
        </w:rPr>
        <w:t xml:space="preserve"> (Hicks et al. 2005;</w:t>
      </w:r>
      <w:r w:rsidR="00E22AFA">
        <w:rPr>
          <w:rFonts w:ascii="Times New Roman" w:hAnsi="Times New Roman" w:cs="Times New Roman"/>
          <w:sz w:val="24"/>
          <w:szCs w:val="24"/>
          <w:lang w:val="en-US"/>
        </w:rPr>
        <w:t xml:space="preserve"> Chaloner et al 2002; Claeson et al. 2006; Rinella et al. 2013)</w:t>
      </w:r>
      <w:r w:rsidR="002571B1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2571B1">
        <w:rPr>
          <w:rFonts w:ascii="Times New Roman" w:hAnsi="Times New Roman" w:cs="Times New Roman"/>
          <w:sz w:val="24"/>
          <w:szCs w:val="24"/>
          <w:lang w:val="en-US"/>
        </w:rPr>
        <w:t xml:space="preserve">Additionally, salmon has been identified as an important source of </w:t>
      </w:r>
      <w:r w:rsidR="002571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terrestrial nitrogen and a contributor to plant growth and distribution (Bilby et al. 2003; Helfield and Naiman 2001, 2006; </w:t>
      </w:r>
      <w:r w:rsidR="007425E0">
        <w:rPr>
          <w:rFonts w:ascii="Times New Roman" w:hAnsi="Times New Roman" w:cs="Times New Roman"/>
          <w:sz w:val="24"/>
          <w:szCs w:val="24"/>
          <w:lang w:val="en-US"/>
        </w:rPr>
        <w:t>Ben-David et al. 1998)</w:t>
      </w:r>
      <w:r w:rsidR="002571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5DEF149" w14:textId="687CD99C" w:rsidR="007A064E" w:rsidRPr="0055631A" w:rsidRDefault="007A064E" w:rsidP="000623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Studies using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lang w:val="en-US"/>
        </w:rPr>
        <w:t>N as a</w:t>
      </w:r>
      <w:r w:rsidR="00A678BE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>MDN</w:t>
      </w:r>
      <w:r w:rsidR="00436FCD">
        <w:rPr>
          <w:rFonts w:ascii="Times New Roman" w:hAnsi="Times New Roman" w:cs="Times New Roman"/>
          <w:sz w:val="24"/>
          <w:szCs w:val="24"/>
          <w:lang w:val="en-US"/>
        </w:rPr>
        <w:t xml:space="preserve"> tracer for plants frequently assume nitrogen from salmon is directly </w:t>
      </w:r>
      <w:r w:rsidR="002571B1">
        <w:rPr>
          <w:rFonts w:ascii="Times New Roman" w:hAnsi="Times New Roman" w:cs="Times New Roman"/>
          <w:sz w:val="24"/>
          <w:szCs w:val="24"/>
          <w:lang w:val="en-US"/>
        </w:rPr>
        <w:t>assimilated</w:t>
      </w:r>
      <w:r w:rsidR="00436FCD">
        <w:rPr>
          <w:rFonts w:ascii="Times New Roman" w:hAnsi="Times New Roman" w:cs="Times New Roman"/>
          <w:sz w:val="24"/>
          <w:szCs w:val="24"/>
          <w:lang w:val="en-US"/>
        </w:rPr>
        <w:t xml:space="preserve"> by plants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 by using salmon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4321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 as a mixing model end member</w:t>
      </w:r>
      <w:r w:rsidR="00436FCD">
        <w:rPr>
          <w:rFonts w:ascii="Times New Roman" w:hAnsi="Times New Roman" w:cs="Times New Roman"/>
          <w:sz w:val="24"/>
          <w:szCs w:val="24"/>
          <w:lang w:val="en-US"/>
        </w:rPr>
        <w:t>, an assumpti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>on that is demonstrably false. The nitrogen cycle in soils contains a number of potentially fractionating step (Figure 1). O</w:t>
      </w:r>
      <w:r w:rsidR="00436FCD">
        <w:rPr>
          <w:rFonts w:ascii="Times New Roman" w:hAnsi="Times New Roman" w:cs="Times New Roman"/>
          <w:sz w:val="24"/>
          <w:szCs w:val="24"/>
          <w:lang w:val="en-US"/>
        </w:rPr>
        <w:t>rganic material from decomposing salmon must undergo mineralization, or the conversion of organic compounds to ammonium by nitrogen fixing bacteria. Ammonium then must then be converted to nitrate (NO</w:t>
      </w:r>
      <w:r w:rsidR="00436F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436FC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436FCD">
        <w:rPr>
          <w:rFonts w:ascii="Times New Roman" w:hAnsi="Times New Roman" w:cs="Times New Roman"/>
          <w:sz w:val="24"/>
          <w:szCs w:val="24"/>
          <w:lang w:val="en-US"/>
        </w:rPr>
        <w:t xml:space="preserve">) by nitrifying bacteria before it can be assimilated into plant tissues. </w:t>
      </w:r>
      <w:r w:rsidR="00C30D4C"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="00145E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30D4C">
        <w:rPr>
          <w:rFonts w:ascii="Times New Roman" w:hAnsi="Times New Roman" w:cs="Times New Roman"/>
          <w:sz w:val="24"/>
          <w:szCs w:val="24"/>
          <w:lang w:val="en-US"/>
        </w:rPr>
        <w:t xml:space="preserve"> processes such as mineralization and nitrification control plant available nitrogen pools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 xml:space="preserve"> and ultimately its corresponding 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DC12F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30D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B071C">
        <w:rPr>
          <w:rFonts w:ascii="Times New Roman" w:hAnsi="Times New Roman" w:cs="Times New Roman"/>
          <w:sz w:val="24"/>
          <w:szCs w:val="24"/>
          <w:lang w:val="en-US"/>
        </w:rPr>
        <w:t>These conversions also have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 xml:space="preserve"> the potential to enrich nitrogen pools in </w:t>
      </w:r>
      <w:r w:rsidR="0055631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E42FA">
        <w:rPr>
          <w:rFonts w:ascii="Times New Roman" w:hAnsi="Times New Roman" w:cs="Times New Roman"/>
          <w:sz w:val="24"/>
          <w:szCs w:val="24"/>
          <w:lang w:val="en-US"/>
        </w:rPr>
        <w:t xml:space="preserve"> (Gende et al. 2002; Schindler et al. 2003)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 xml:space="preserve"> which is likely to provide misleading estimates of the contributions of MDN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571B1">
        <w:rPr>
          <w:rFonts w:ascii="Times New Roman" w:hAnsi="Times New Roman" w:cs="Times New Roman"/>
          <w:sz w:val="24"/>
          <w:szCs w:val="24"/>
          <w:lang w:val="en-US"/>
        </w:rPr>
        <w:t xml:space="preserve"> terrestrial flora and its consumers</w:t>
      </w:r>
      <w:r w:rsidR="000E42F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7878">
        <w:rPr>
          <w:rFonts w:ascii="Times New Roman" w:hAnsi="Times New Roman" w:cs="Times New Roman"/>
          <w:sz w:val="24"/>
          <w:szCs w:val="24"/>
          <w:lang w:val="en-US"/>
        </w:rPr>
        <w:t xml:space="preserve"> Additionally, there is evidence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4321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N and nitrogen availability are correlated, with foliar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4321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 becoming more enriched when</w:t>
      </w:r>
      <w:r w:rsidR="007B071C">
        <w:rPr>
          <w:rFonts w:ascii="Times New Roman" w:hAnsi="Times New Roman" w:cs="Times New Roman"/>
          <w:sz w:val="24"/>
          <w:szCs w:val="24"/>
          <w:lang w:val="en-US"/>
        </w:rPr>
        <w:t xml:space="preserve"> plant available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 nitrogen is abundant. Therefore</w:t>
      </w:r>
      <w:r w:rsidR="007B071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 foliar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4321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is a signature of both the source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4321D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of inorganic nitrogen in soils and nitrogen availability (Crane et al. 2009). 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 xml:space="preserve">Given plants assimilate nitrogen that has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>been converted to inorganic forms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 xml:space="preserve"> in soil rather than direct uptake of organic matter from salmon, fractionation </w:t>
      </w:r>
      <w:r w:rsidR="004321D1">
        <w:rPr>
          <w:rFonts w:ascii="Times New Roman" w:hAnsi="Times New Roman" w:cs="Times New Roman"/>
          <w:sz w:val="24"/>
          <w:szCs w:val="24"/>
          <w:lang w:val="en-US"/>
        </w:rPr>
        <w:t xml:space="preserve">in soils and nitrogen availability 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>must be accounted for when calculating the relative contribution of MD</w:t>
      </w:r>
      <w:r w:rsidR="000E42FA">
        <w:rPr>
          <w:rFonts w:ascii="Times New Roman" w:hAnsi="Times New Roman" w:cs="Times New Roman"/>
          <w:sz w:val="24"/>
          <w:szCs w:val="24"/>
          <w:lang w:val="en-US"/>
        </w:rPr>
        <w:t>N to terrestrial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 xml:space="preserve"> communities</w:t>
      </w:r>
      <w:r w:rsidR="007B071C">
        <w:rPr>
          <w:rFonts w:ascii="Times New Roman" w:hAnsi="Times New Roman" w:cs="Times New Roman"/>
          <w:sz w:val="24"/>
          <w:szCs w:val="24"/>
          <w:lang w:val="en-US"/>
        </w:rPr>
        <w:t xml:space="preserve"> via pathways that do not involve direct consumption of salmon</w:t>
      </w:r>
      <w:r w:rsidR="00556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1A5E22" w14:textId="02DCC244" w:rsidR="007A064E" w:rsidRPr="002E7FB0" w:rsidRDefault="002571B1" w:rsidP="000623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01C0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examining the contributions of MDN are of</w:t>
      </w:r>
      <w:r w:rsidR="00247201">
        <w:rPr>
          <w:rFonts w:ascii="Times New Roman" w:hAnsi="Times New Roman" w:cs="Times New Roman"/>
          <w:sz w:val="24"/>
          <w:szCs w:val="24"/>
          <w:lang w:val="en-US"/>
        </w:rPr>
        <w:t>ten limited by short timescales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1C0">
        <w:rPr>
          <w:rFonts w:ascii="Times New Roman" w:hAnsi="Times New Roman" w:cs="Times New Roman"/>
          <w:sz w:val="24"/>
          <w:szCs w:val="24"/>
          <w:lang w:val="en-US"/>
        </w:rPr>
        <w:t xml:space="preserve">and few experiments investigate plant available nitrogen pools. Collins et al. 2015 demonstrated the need to evaluate ecosystem responses over longer periods of time to understand </w:t>
      </w:r>
      <w:r w:rsidR="002C2EBA">
        <w:rPr>
          <w:rFonts w:ascii="Times New Roman" w:hAnsi="Times New Roman" w:cs="Times New Roman"/>
          <w:sz w:val="24"/>
          <w:szCs w:val="24"/>
          <w:lang w:val="en-US"/>
        </w:rPr>
        <w:t xml:space="preserve">the magnitude and timescale of </w:t>
      </w:r>
      <w:r w:rsidR="008162C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C2EBA"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8162CB">
        <w:rPr>
          <w:rFonts w:ascii="Times New Roman" w:hAnsi="Times New Roman" w:cs="Times New Roman"/>
          <w:sz w:val="24"/>
          <w:szCs w:val="24"/>
          <w:lang w:val="en-US"/>
        </w:rPr>
        <w:t xml:space="preserve"> of salmon on ecosystems</w:t>
      </w:r>
      <w:r w:rsidR="00A301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E2A60">
        <w:rPr>
          <w:rFonts w:ascii="Times New Roman" w:hAnsi="Times New Roman" w:cs="Times New Roman"/>
          <w:sz w:val="24"/>
          <w:szCs w:val="24"/>
          <w:lang w:val="en-US"/>
        </w:rPr>
        <w:t xml:space="preserve">Studies examining spatial and temporal impacts of salmon on inorganic nitrogen pools have 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8E2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lastRenderedPageBreak/>
        <w:t>responses</w:t>
      </w:r>
      <w:r w:rsidR="00B01BC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0E42FA">
        <w:rPr>
          <w:rFonts w:ascii="Times New Roman" w:hAnsi="Times New Roman" w:cs="Times New Roman"/>
          <w:sz w:val="24"/>
          <w:szCs w:val="24"/>
          <w:lang w:val="en-US"/>
        </w:rPr>
        <w:t>re highly localized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 xml:space="preserve">effects only observed 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>less than 30 cm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 xml:space="preserve"> from carcasses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C12F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 xml:space="preserve"> and NH</w:t>
      </w:r>
      <w:r w:rsidR="002E7F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2E7F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="002E7FB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2E7F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- 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 xml:space="preserve">become biologically available on the order of </w:t>
      </w:r>
      <w:r w:rsidR="008162CB">
        <w:rPr>
          <w:rFonts w:ascii="Times New Roman" w:hAnsi="Times New Roman" w:cs="Times New Roman"/>
          <w:sz w:val="24"/>
          <w:szCs w:val="24"/>
          <w:lang w:val="en-US"/>
        </w:rPr>
        <w:t xml:space="preserve">weeks to 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>months</w:t>
      </w:r>
      <w:r w:rsidR="008162CB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="002E7FB0">
        <w:rPr>
          <w:rFonts w:ascii="Times New Roman" w:hAnsi="Times New Roman" w:cs="Times New Roman"/>
          <w:sz w:val="24"/>
          <w:szCs w:val="24"/>
          <w:lang w:val="en-US"/>
        </w:rPr>
        <w:t xml:space="preserve"> (Gende et al. 2007; Drake et al. 2005). </w:t>
      </w:r>
      <w:r w:rsidR="003B38C2">
        <w:rPr>
          <w:rFonts w:ascii="Times New Roman" w:hAnsi="Times New Roman" w:cs="Times New Roman"/>
          <w:sz w:val="24"/>
          <w:szCs w:val="24"/>
          <w:lang w:val="en-US"/>
        </w:rPr>
        <w:t xml:space="preserve">Predator exclosure experiments </w:t>
      </w:r>
      <w:r w:rsidR="008162CB">
        <w:rPr>
          <w:rFonts w:ascii="Times New Roman" w:hAnsi="Times New Roman" w:cs="Times New Roman"/>
          <w:sz w:val="24"/>
          <w:szCs w:val="24"/>
          <w:lang w:val="en-US"/>
        </w:rPr>
        <w:t>determined</w:t>
      </w:r>
      <w:r w:rsidR="003B38C2">
        <w:rPr>
          <w:rFonts w:ascii="Times New Roman" w:hAnsi="Times New Roman" w:cs="Times New Roman"/>
          <w:sz w:val="24"/>
          <w:szCs w:val="24"/>
          <w:lang w:val="en-US"/>
        </w:rPr>
        <w:t xml:space="preserve"> impacts to soil N processing only persist for a year (Holtgrieve et al. 2009). </w:t>
      </w:r>
      <w:r w:rsidR="008162CB">
        <w:rPr>
          <w:rFonts w:ascii="Times New Roman" w:hAnsi="Times New Roman" w:cs="Times New Roman"/>
          <w:sz w:val="24"/>
          <w:szCs w:val="24"/>
          <w:lang w:val="en-US"/>
        </w:rPr>
        <w:t xml:space="preserve">While these results provide a framework of the importance of soil processing of MDN on inorganic nitrogen pools, no experiment has examined the impacts of salmon removal on soil nitrogen pools on long time scales </w:t>
      </w:r>
    </w:p>
    <w:p w14:paraId="1ECDAA4F" w14:textId="18255558" w:rsidR="001C3B0C" w:rsidRDefault="00865EF4" w:rsidP="000623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3013">
        <w:rPr>
          <w:rFonts w:ascii="Times New Roman" w:hAnsi="Times New Roman" w:cs="Times New Roman"/>
          <w:sz w:val="24"/>
          <w:szCs w:val="24"/>
          <w:lang w:val="en-US"/>
        </w:rPr>
        <w:t>To resolve the extent to which salmon carcasses impact plant available nitrogen pools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 xml:space="preserve"> (NH</w:t>
      </w:r>
      <w:r w:rsidR="009354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354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="009354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354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>) and</w:t>
      </w:r>
      <w:r w:rsidR="00B93013">
        <w:rPr>
          <w:rFonts w:ascii="Times New Roman" w:hAnsi="Times New Roman" w:cs="Times New Roman"/>
          <w:sz w:val="24"/>
          <w:szCs w:val="24"/>
          <w:lang w:val="en-US"/>
        </w:rPr>
        <w:t xml:space="preserve"> the rate of supply of these pools (via nitrification and mineralization)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93013">
        <w:rPr>
          <w:rFonts w:ascii="Times New Roman" w:hAnsi="Times New Roman" w:cs="Times New Roman"/>
          <w:sz w:val="24"/>
          <w:szCs w:val="24"/>
          <w:lang w:val="en-US"/>
        </w:rPr>
        <w:t xml:space="preserve"> we</w:t>
      </w:r>
      <w:r w:rsidR="000E42FA">
        <w:rPr>
          <w:rFonts w:ascii="Times New Roman" w:hAnsi="Times New Roman" w:cs="Times New Roman"/>
          <w:sz w:val="24"/>
          <w:szCs w:val="24"/>
          <w:lang w:val="en-US"/>
        </w:rPr>
        <w:t xml:space="preserve"> present the results of a long-</w:t>
      </w:r>
      <w:r w:rsidR="00B93013">
        <w:rPr>
          <w:rFonts w:ascii="Times New Roman" w:hAnsi="Times New Roman" w:cs="Times New Roman"/>
          <w:sz w:val="24"/>
          <w:szCs w:val="24"/>
          <w:lang w:val="en-US"/>
        </w:rPr>
        <w:t>term fertilization experiment in southwestern Alaska.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 xml:space="preserve"> We also evaluate the impacts of microbial processing on 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9354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 xml:space="preserve">N by examining the 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9354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>N of NH</w:t>
      </w:r>
      <w:r w:rsidR="009354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354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="009354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354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- </w:t>
      </w:r>
      <w:r w:rsidR="0093544F">
        <w:rPr>
          <w:rFonts w:ascii="Times New Roman" w:hAnsi="Times New Roman" w:cs="Times New Roman"/>
          <w:sz w:val="24"/>
          <w:szCs w:val="24"/>
          <w:lang w:val="en-US"/>
        </w:rPr>
        <w:t xml:space="preserve">in soils. Finally, we assess the spatial scale of these response variables. </w:t>
      </w:r>
      <w:r w:rsidR="000E42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FB8D83" w14:textId="1CE3EB6C" w:rsidR="00A61694" w:rsidRPr="001C3B0C" w:rsidRDefault="00EA68B2" w:rsidP="000623C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Methods</w:t>
      </w:r>
    </w:p>
    <w:p w14:paraId="334747AC" w14:textId="7F0C2140" w:rsidR="0025716B" w:rsidRDefault="00AC04ED" w:rsidP="000623C4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Sample Collection</w:t>
      </w:r>
    </w:p>
    <w:p w14:paraId="2854D606" w14:textId="499BBF90" w:rsidR="006951E6" w:rsidRDefault="006951E6" w:rsidP="006951E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study was conducted on Hansen Creek, a small stream flowing from a beaver pond to Lake Aleknagik in the Wood River system of Bristol Bay, AK. </w:t>
      </w:r>
      <w:commentRangeStart w:id="0"/>
      <w:r w:rsidR="00BB1762">
        <w:rPr>
          <w:rFonts w:ascii="Times New Roman" w:hAnsi="Times New Roman" w:cs="Times New Roman"/>
          <w:sz w:val="24"/>
          <w:szCs w:val="24"/>
          <w:lang w:val="en-US"/>
        </w:rPr>
        <w:t>For</w:t>
      </w:r>
      <w:commentRangeEnd w:id="0"/>
      <w:r w:rsidR="00B1249C">
        <w:rPr>
          <w:rStyle w:val="CommentReference"/>
        </w:rPr>
        <w:commentReference w:id="0"/>
      </w:r>
      <w:r w:rsidR="00BB1762">
        <w:rPr>
          <w:rFonts w:ascii="Times New Roman" w:hAnsi="Times New Roman" w:cs="Times New Roman"/>
          <w:sz w:val="24"/>
          <w:szCs w:val="24"/>
          <w:lang w:val="en-US"/>
        </w:rPr>
        <w:t xml:space="preserve"> the last 20 years </w:t>
      </w:r>
      <w:r w:rsidR="00AC04ED">
        <w:rPr>
          <w:rFonts w:ascii="Times New Roman" w:hAnsi="Times New Roman" w:cs="Times New Roman"/>
          <w:sz w:val="24"/>
          <w:szCs w:val="24"/>
          <w:lang w:val="en-US"/>
        </w:rPr>
        <w:t>adult spawned out sockeye salmon (</w:t>
      </w:r>
      <w:r w:rsidR="00AC04ED">
        <w:rPr>
          <w:rFonts w:ascii="Times New Roman" w:hAnsi="Times New Roman" w:cs="Times New Roman"/>
          <w:i/>
          <w:sz w:val="24"/>
          <w:szCs w:val="24"/>
          <w:lang w:val="en-US"/>
        </w:rPr>
        <w:t>Oncorhynchus nerka</w:t>
      </w:r>
      <w:r w:rsidR="00AC04ED">
        <w:rPr>
          <w:rFonts w:ascii="Times New Roman" w:hAnsi="Times New Roman" w:cs="Times New Roman"/>
          <w:sz w:val="24"/>
          <w:szCs w:val="24"/>
          <w:lang w:val="en-US"/>
        </w:rPr>
        <w:t>) were remo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>ved from Hansen Creek</w:t>
      </w:r>
      <w:r w:rsidR="00C54BBB">
        <w:rPr>
          <w:rFonts w:ascii="Times New Roman" w:hAnsi="Times New Roman" w:cs="Times New Roman"/>
          <w:sz w:val="24"/>
          <w:szCs w:val="24"/>
          <w:lang w:val="en-US"/>
        </w:rPr>
        <w:t xml:space="preserve"> and its river right bank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(decreasing salmon density) 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>and tossed</w:t>
      </w:r>
      <w:r w:rsidR="00AC04ED">
        <w:rPr>
          <w:rFonts w:ascii="Times New Roman" w:hAnsi="Times New Roman" w:cs="Times New Roman"/>
          <w:sz w:val="24"/>
          <w:szCs w:val="24"/>
          <w:lang w:val="en-US"/>
        </w:rPr>
        <w:t xml:space="preserve"> on the river left bank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(increasing salmon density)</w:t>
      </w:r>
      <w:r w:rsidR="00AC04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Unlike some watershed in the region, Hansen Creek has a low density of alder (</w:t>
      </w:r>
      <w:r w:rsidRPr="006951E6">
        <w:rPr>
          <w:rFonts w:ascii="Times New Roman" w:hAnsi="Times New Roman" w:cs="Times New Roman"/>
          <w:i/>
          <w:sz w:val="24"/>
          <w:szCs w:val="24"/>
          <w:lang w:val="en-US"/>
        </w:rPr>
        <w:t>Alnus crispa</w:t>
      </w:r>
      <w:r>
        <w:rPr>
          <w:rFonts w:ascii="Times New Roman" w:hAnsi="Times New Roman" w:cs="Times New Roman"/>
          <w:sz w:val="24"/>
          <w:szCs w:val="24"/>
          <w:lang w:val="en-US"/>
        </w:rPr>
        <w:t>) which can be a source of nitrogen via symbiotic fixation of atmospheric N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, making it a useful system for studying MDN in plant available nitrogen in soils.</w:t>
      </w:r>
    </w:p>
    <w:p w14:paraId="62F57EBE" w14:textId="69336F53" w:rsidR="00AC04ED" w:rsidRDefault="00AC04ED" w:rsidP="006951E6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6951E6">
        <w:rPr>
          <w:rFonts w:ascii="Times New Roman" w:hAnsi="Times New Roman" w:cs="Times New Roman"/>
          <w:sz w:val="24"/>
          <w:szCs w:val="24"/>
          <w:lang w:val="en-US"/>
        </w:rPr>
        <w:t>Soil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samples were collected from on July 13</w:t>
      </w:r>
      <w:r w:rsidRPr="00AC04E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 xml:space="preserve"> 2017 along nine sets of paired transects on the river left and river right banks at 1m, 3m, 6m, 10m, and 20m from the proper bank. </w:t>
      </w:r>
      <w:r w:rsidR="00697F1B">
        <w:rPr>
          <w:rFonts w:ascii="Times New Roman" w:hAnsi="Times New Roman" w:cs="Times New Roman"/>
          <w:sz w:val="24"/>
          <w:szCs w:val="24"/>
          <w:lang w:val="en-US"/>
        </w:rPr>
        <w:t xml:space="preserve">Sites were selected to be representative of typical riparian vegetation and high spawning </w:t>
      </w:r>
      <w:r w:rsidR="00697F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intensity. 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>An ap</w:t>
      </w:r>
      <w:r w:rsidR="000E4104">
        <w:rPr>
          <w:rFonts w:ascii="Times New Roman" w:hAnsi="Times New Roman" w:cs="Times New Roman"/>
          <w:sz w:val="24"/>
          <w:szCs w:val="24"/>
          <w:lang w:val="en-US"/>
        </w:rPr>
        <w:t>proximate 5cm x 5cm x 10cm soil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 xml:space="preserve"> column was taken for each sample and </w:t>
      </w:r>
      <w:r w:rsidR="00697F1B">
        <w:rPr>
          <w:rFonts w:ascii="Times New Roman" w:hAnsi="Times New Roman" w:cs="Times New Roman"/>
          <w:sz w:val="24"/>
          <w:szCs w:val="24"/>
          <w:lang w:val="en-US"/>
        </w:rPr>
        <w:t>plant matter was removed from the samples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 xml:space="preserve">. Samples were stored at 4 degrees C in </w:t>
      </w:r>
      <w:r w:rsidR="00FD75A5">
        <w:rPr>
          <w:rFonts w:ascii="Times New Roman" w:hAnsi="Times New Roman" w:cs="Times New Roman"/>
          <w:sz w:val="24"/>
          <w:szCs w:val="24"/>
          <w:lang w:val="en-US"/>
        </w:rPr>
        <w:t>airtight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5A5">
        <w:rPr>
          <w:rFonts w:ascii="Times New Roman" w:hAnsi="Times New Roman" w:cs="Times New Roman"/>
          <w:sz w:val="24"/>
          <w:szCs w:val="24"/>
          <w:lang w:val="en-US"/>
        </w:rPr>
        <w:t>plastic bags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697F1B">
        <w:rPr>
          <w:rFonts w:ascii="Times New Roman" w:hAnsi="Times New Roman" w:cs="Times New Roman"/>
          <w:sz w:val="24"/>
          <w:szCs w:val="24"/>
          <w:lang w:val="en-US"/>
        </w:rPr>
        <w:t>48 hours</w:t>
      </w:r>
      <w:r w:rsidR="002A3F5D">
        <w:rPr>
          <w:rFonts w:ascii="Times New Roman" w:hAnsi="Times New Roman" w:cs="Times New Roman"/>
          <w:sz w:val="24"/>
          <w:szCs w:val="24"/>
          <w:lang w:val="en-US"/>
        </w:rPr>
        <w:t xml:space="preserve"> prior to processing. </w:t>
      </w:r>
      <w:r w:rsidR="00724C99">
        <w:rPr>
          <w:rFonts w:ascii="Times New Roman" w:hAnsi="Times New Roman" w:cs="Times New Roman"/>
          <w:sz w:val="24"/>
          <w:szCs w:val="24"/>
          <w:lang w:val="en-US"/>
        </w:rPr>
        <w:t>To determine soil water content 50 – 100 g of soil (wet weight) were dried at 105</w:t>
      </w:r>
      <w:r w:rsidR="00724C99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724C99">
        <w:rPr>
          <w:rFonts w:ascii="Times New Roman" w:hAnsi="Times New Roman" w:cs="Times New Roman"/>
          <w:sz w:val="24"/>
          <w:szCs w:val="24"/>
          <w:lang w:val="en-US"/>
        </w:rPr>
        <w:t xml:space="preserve">C until dry soil reached a constant mass, and gravimetric water content was calculated. </w:t>
      </w:r>
    </w:p>
    <w:p w14:paraId="38924E35" w14:textId="48A358C1" w:rsidR="00697F1B" w:rsidRDefault="008D1AC4" w:rsidP="00697F1B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Soil nutrient concentrations (</w:t>
      </w:r>
      <w:r w:rsidRPr="008D1AC4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8D1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4</w:t>
      </w:r>
      <w:r w:rsidRPr="008D1AC4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 xml:space="preserve">+ </w:t>
      </w:r>
      <w:r w:rsidRPr="008D1AC4">
        <w:rPr>
          <w:rFonts w:ascii="Times New Roman" w:hAnsi="Times New Roman" w:cs="Times New Roman"/>
          <w:i/>
          <w:sz w:val="24"/>
          <w:szCs w:val="24"/>
          <w:lang w:val="en-US"/>
        </w:rPr>
        <w:t>and NO</w:t>
      </w:r>
      <w:r w:rsidRPr="008D1AC4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3</w:t>
      </w:r>
      <w:r w:rsidRPr="008D1AC4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-</w:t>
      </w:r>
      <w:r w:rsidRPr="008D1AC4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N transformations</w:t>
      </w:r>
    </w:p>
    <w:p w14:paraId="7471271E" w14:textId="47047B47" w:rsidR="009B56FD" w:rsidRDefault="009B56FD" w:rsidP="00697F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8D1AC4">
        <w:rPr>
          <w:rFonts w:ascii="Times New Roman" w:hAnsi="Times New Roman" w:cs="Times New Roman"/>
          <w:sz w:val="24"/>
          <w:szCs w:val="24"/>
          <w:lang w:val="en-US"/>
        </w:rPr>
        <w:t xml:space="preserve">Soil nutrient concentration and N transformations were conducted </w:t>
      </w:r>
      <w:r w:rsidR="009A4E50">
        <w:rPr>
          <w:rFonts w:ascii="Times New Roman" w:hAnsi="Times New Roman" w:cs="Times New Roman"/>
          <w:sz w:val="24"/>
          <w:szCs w:val="24"/>
          <w:lang w:val="en-US"/>
        </w:rPr>
        <w:t>according to Holtgrieve and Schindler 2009. Briefly, t</w:t>
      </w:r>
      <w:r>
        <w:rPr>
          <w:rFonts w:ascii="Times New Roman" w:hAnsi="Times New Roman" w:cs="Times New Roman"/>
          <w:sz w:val="24"/>
          <w:szCs w:val="24"/>
          <w:lang w:val="en-US"/>
        </w:rPr>
        <w:t>o determine the initial NH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and NO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 xml:space="preserve"> concentrations, sub</w:t>
      </w:r>
      <w:r>
        <w:rPr>
          <w:rFonts w:ascii="Times New Roman" w:hAnsi="Times New Roman" w:cs="Times New Roman"/>
          <w:sz w:val="24"/>
          <w:szCs w:val="24"/>
          <w:lang w:val="en-US"/>
        </w:rPr>
        <w:t>samples (10-12 g wet weight) of sieved so</w:t>
      </w:r>
      <w:r w:rsidR="008D1AC4">
        <w:rPr>
          <w:rFonts w:ascii="Times New Roman" w:hAnsi="Times New Roman" w:cs="Times New Roman"/>
          <w:sz w:val="24"/>
          <w:szCs w:val="24"/>
          <w:lang w:val="en-US"/>
        </w:rPr>
        <w:t>ils were extracted within 48 hours of collection in 100 ml of 2 M potassium chloride (KCl) (Hart et al. 1994).  Soil extracts were shaken for 60 s then left to settle for 24-48 h before being filtered through Whatman #1paper filters pre-lea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>ched with 10</w:t>
      </w:r>
      <w:r w:rsidR="008D1AC4">
        <w:rPr>
          <w:rFonts w:ascii="Times New Roman" w:hAnsi="Times New Roman" w:cs="Times New Roman"/>
          <w:sz w:val="24"/>
          <w:szCs w:val="24"/>
          <w:lang w:val="en-US"/>
        </w:rPr>
        <w:t xml:space="preserve">0 ml of KCl. 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>Approximately 8 ml of f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 xml:space="preserve">iltered extracts were frozen and later analyzed colorimetrically with an Alpkem Flow Solution IV (OI Analytical, College Station, TX, USA). 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 xml:space="preserve">All leftover filtered extracts were frozen and stored for inorganic nitrogen stable isotope analysis. 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>A second 10-12 g soil subsample was incubated aerobically in the dark for 15 days at 12-16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>C prior to extraction with KCl as above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 xml:space="preserve">, an 8ml were frozen and </w:t>
      </w:r>
      <w:r w:rsidR="00B1249C">
        <w:rPr>
          <w:rFonts w:ascii="Times New Roman" w:hAnsi="Times New Roman" w:cs="Times New Roman"/>
          <w:sz w:val="24"/>
          <w:szCs w:val="24"/>
          <w:lang w:val="en-US"/>
        </w:rPr>
        <w:t>stored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 xml:space="preserve"> for colormetric analysis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>. Net mineralization calculated as the change in inorganic N concentration (NH</w:t>
      </w:r>
      <w:r w:rsidR="009123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1230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="009123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1230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>) divided by the incubation duration, while net nitrification was calculated as the change in NO</w:t>
      </w:r>
      <w:r w:rsidR="0091230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1230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1230C">
        <w:rPr>
          <w:rFonts w:ascii="Times New Roman" w:hAnsi="Times New Roman" w:cs="Times New Roman"/>
          <w:sz w:val="24"/>
          <w:szCs w:val="24"/>
          <w:lang w:val="en-US"/>
        </w:rPr>
        <w:t xml:space="preserve"> concentration over the incubation.</w:t>
      </w:r>
    </w:p>
    <w:p w14:paraId="0AC67748" w14:textId="06A7A5C3" w:rsidR="0091230C" w:rsidRDefault="0091230C" w:rsidP="00697F1B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Stable isotope analysis</w:t>
      </w:r>
    </w:p>
    <w:p w14:paraId="5A58404D" w14:textId="20093C4A" w:rsidR="0091230C" w:rsidRDefault="00AE606A" w:rsidP="00697F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D6132">
        <w:rPr>
          <w:rFonts w:ascii="Times New Roman" w:hAnsi="Times New Roman" w:cs="Times New Roman"/>
          <w:sz w:val="24"/>
          <w:szCs w:val="24"/>
          <w:lang w:val="en-US"/>
        </w:rPr>
        <w:t>Soil subsamples wer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e freeze dried for 48 hours, </w:t>
      </w:r>
      <w:r w:rsidR="00BD6132">
        <w:rPr>
          <w:rFonts w:ascii="Times New Roman" w:hAnsi="Times New Roman" w:cs="Times New Roman"/>
          <w:sz w:val="24"/>
          <w:szCs w:val="24"/>
          <w:lang w:val="en-US"/>
        </w:rPr>
        <w:t>sieved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, and ground into a uniform powder (&lt; 212 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sym w:font="Symbol" w:char="F06D"/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>m) using a ball mill grinder</w:t>
      </w:r>
      <w:r w:rsidR="00BD6132">
        <w:rPr>
          <w:rFonts w:ascii="Times New Roman" w:hAnsi="Times New Roman" w:cs="Times New Roman"/>
          <w:sz w:val="24"/>
          <w:szCs w:val="24"/>
          <w:lang w:val="en-US"/>
        </w:rPr>
        <w:t xml:space="preserve"> for bulk isotope analysis. 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2 mg of soil were packed in 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t>tin capsules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 and analyzed for nitrogen</w:t>
      </w:r>
      <w:r w:rsidR="0076329A" w:rsidRPr="007632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t>stable isotope ratios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F147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>N/</w:t>
      </w:r>
      <w:r w:rsidR="00F147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>N) using Air-</w:t>
      </w:r>
      <w:r w:rsidR="00F14726" w:rsidRPr="00F147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147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 for reference </w:t>
      </w:r>
      <w:r w:rsidR="00F14726" w:rsidRPr="00F1472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 carbon (</w:t>
      </w:r>
      <w:r w:rsidR="00F147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13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>C/</w:t>
      </w:r>
      <w:r w:rsidR="00F147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C) stable isotope ratios using VPDB for 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. Samples 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were analyzed at University of Washington’s IsoLab using a Costech Elemental Analyzer, Conflo III MAT253 for continuous 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t>flow-based</w:t>
      </w:r>
      <w:r w:rsidR="00F14726">
        <w:rPr>
          <w:rFonts w:ascii="Times New Roman" w:hAnsi="Times New Roman" w:cs="Times New Roman"/>
          <w:sz w:val="24"/>
          <w:szCs w:val="24"/>
          <w:lang w:val="en-US"/>
        </w:rPr>
        <w:t xml:space="preserve"> measurements. 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t xml:space="preserve">Measurements are reported as 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76329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t xml:space="preserve">N or 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76329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13</w:t>
      </w:r>
      <w:r w:rsidR="0076329A">
        <w:rPr>
          <w:rFonts w:ascii="Times New Roman" w:hAnsi="Times New Roman" w:cs="Times New Roman"/>
          <w:sz w:val="24"/>
          <w:szCs w:val="24"/>
          <w:lang w:val="en-US"/>
        </w:rPr>
        <w:t xml:space="preserve">C which represent the per mil deviation in heavy isotope abundance from the isotopic standard (Schoeninger et al. 1983). </w:t>
      </w:r>
    </w:p>
    <w:p w14:paraId="28196A09" w14:textId="479F0F24" w:rsidR="00E76169" w:rsidRPr="00892EA3" w:rsidRDefault="0076329A" w:rsidP="00697F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>For inorganic stable isotope analysis of NH</w:t>
      </w:r>
      <w:r w:rsidR="005C4B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C4B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="005C4B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4B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 xml:space="preserve">, total volume of formerly frozen filtered extracts were measured and placed in Erlenmeyer flasks. 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>To retrieve NH</w:t>
      </w:r>
      <w:r w:rsidR="00892E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92E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92E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>300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>mg of MgO and an acid trap (1 cm glass fiber filter treated with KHSO</w:t>
      </w:r>
      <w:r w:rsidR="005C4B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 xml:space="preserve"> and sealed in Teflon tape) were added to each flask, whic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>h were immediately stoppered,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 xml:space="preserve"> sealed with parafilm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>, and placed on a shaker table</w:t>
      </w:r>
      <w:r w:rsidR="005C4B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 xml:space="preserve"> Samples shook continuously for six days after which acid traps were removed and stored in desiccator for 3-4 days </w:t>
      </w:r>
      <w:r w:rsidR="00E76169">
        <w:rPr>
          <w:rFonts w:ascii="Times New Roman" w:hAnsi="Times New Roman" w:cs="Times New Roman"/>
          <w:sz w:val="24"/>
          <w:szCs w:val="24"/>
          <w:lang w:val="en-US"/>
        </w:rPr>
        <w:t>before filters were removed and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 xml:space="preserve"> packed in tin capsules for analysis. Extracts were returned to the shaker table and left open to the atmosphere to remove remaining NH</w:t>
      </w:r>
      <w:r w:rsidR="00892E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92E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>. To retrieve NO</w:t>
      </w:r>
      <w:r w:rsidR="00892E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892E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892EA3">
        <w:rPr>
          <w:rFonts w:ascii="Times New Roman" w:hAnsi="Times New Roman" w:cs="Times New Roman"/>
          <w:sz w:val="24"/>
          <w:szCs w:val="24"/>
          <w:lang w:val="en-US"/>
        </w:rPr>
        <w:t xml:space="preserve">, 300 mg of MgO were added to each </w:t>
      </w:r>
      <w:r w:rsidR="00E76169">
        <w:rPr>
          <w:rFonts w:ascii="Times New Roman" w:hAnsi="Times New Roman" w:cs="Times New Roman"/>
          <w:sz w:val="24"/>
          <w:szCs w:val="24"/>
          <w:lang w:val="en-US"/>
        </w:rPr>
        <w:t>extract and immediately followed with 75 mg of Devarda’s alloy and an acid trap. Extracts were immediately stoppered, sealed with parafilm, and placed on a shaker table for six days before acid traps were removed and filters were packed as described above.</w:t>
      </w:r>
    </w:p>
    <w:p w14:paraId="7BB2DFF3" w14:textId="51745D4E" w:rsidR="0091230C" w:rsidRDefault="001F0772" w:rsidP="00697F1B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Statistical analyses</w:t>
      </w:r>
    </w:p>
    <w:p w14:paraId="0C138C00" w14:textId="4D650CB8" w:rsidR="00E76169" w:rsidRPr="00BF7C4A" w:rsidRDefault="00E76169" w:rsidP="00697F1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F0772">
        <w:rPr>
          <w:rFonts w:ascii="Times New Roman" w:hAnsi="Times New Roman" w:cs="Times New Roman"/>
          <w:sz w:val="24"/>
          <w:szCs w:val="24"/>
          <w:lang w:val="en-US"/>
        </w:rPr>
        <w:t>Our study design resulted in samples being collected at 9 sites (transects) across three reaches of Hansen Creek. Samples were also collected at 5 distances from the streams edge on two dif</w:t>
      </w:r>
      <w:r w:rsidR="00016AF6">
        <w:rPr>
          <w:rFonts w:ascii="Times New Roman" w:hAnsi="Times New Roman" w:cs="Times New Roman"/>
          <w:sz w:val="24"/>
          <w:szCs w:val="24"/>
          <w:lang w:val="en-US"/>
        </w:rPr>
        <w:t xml:space="preserve">ferent banks. </w:t>
      </w:r>
      <w:r w:rsidR="00963DDD">
        <w:rPr>
          <w:rFonts w:ascii="Times New Roman" w:hAnsi="Times New Roman" w:cs="Times New Roman"/>
          <w:sz w:val="24"/>
          <w:szCs w:val="24"/>
          <w:lang w:val="en-US"/>
        </w:rPr>
        <w:t>Linear models and mixed effects models were fit to the data for each response variable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s:</w:t>
      </w:r>
      <w:r w:rsidR="00963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initial NH</w:t>
      </w:r>
      <w:r w:rsidR="00915DF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15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="00915DF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15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 xml:space="preserve"> concentration, net mineralization and net nitrification,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915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 xml:space="preserve">N and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915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13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 xml:space="preserve">C of bulk isotopes, and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sym w:font="Symbol" w:char="F064"/>
      </w:r>
      <w:r w:rsidR="00915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15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N of NH</w:t>
      </w:r>
      <w:r w:rsidR="00915DF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915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+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and NO</w:t>
      </w:r>
      <w:r w:rsidR="00915DF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15DF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963DDD">
        <w:rPr>
          <w:rFonts w:ascii="Times New Roman" w:hAnsi="Times New Roman" w:cs="Times New Roman"/>
          <w:sz w:val="24"/>
          <w:szCs w:val="24"/>
          <w:lang w:val="en-US"/>
        </w:rPr>
        <w:t xml:space="preserve">he best model was selected using AIC.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 xml:space="preserve">Under </w:t>
      </w:r>
      <w:r w:rsidR="00963DDD">
        <w:rPr>
          <w:rFonts w:ascii="Times New Roman" w:hAnsi="Times New Roman" w:cs="Times New Roman"/>
          <w:sz w:val="24"/>
          <w:szCs w:val="24"/>
          <w:lang w:val="en-US"/>
        </w:rPr>
        <w:t>circumstances where multiple models had a difference in AIC value of &lt; 2 relative to the best model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, the most parsimonious model was selceted</w:t>
      </w:r>
      <w:r w:rsidR="00963DDD">
        <w:rPr>
          <w:rFonts w:ascii="Times New Roman" w:hAnsi="Times New Roman" w:cs="Times New Roman"/>
          <w:sz w:val="24"/>
          <w:szCs w:val="24"/>
          <w:lang w:val="en-US"/>
        </w:rPr>
        <w:t>. For all response variables, reach and site were considered as nested random effects and gravimetric water content was considered as a fixed effect.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FB8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DF3FB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DF3FB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DF3FB8">
        <w:rPr>
          <w:rFonts w:ascii="Times New Roman" w:hAnsi="Times New Roman" w:cs="Times New Roman"/>
          <w:sz w:val="24"/>
          <w:szCs w:val="24"/>
          <w:lang w:val="en-US"/>
        </w:rPr>
        <w:t xml:space="preserve"> concentration was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considered</w:t>
      </w:r>
      <w:r w:rsidR="00DF3FB8">
        <w:rPr>
          <w:rFonts w:ascii="Times New Roman" w:hAnsi="Times New Roman" w:cs="Times New Roman"/>
          <w:sz w:val="24"/>
          <w:szCs w:val="24"/>
          <w:lang w:val="en-US"/>
        </w:rPr>
        <w:t xml:space="preserve"> as a fixed </w:t>
      </w:r>
      <w:r w:rsidR="00DF3FB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effect for net </w:t>
      </w:r>
      <w:r w:rsidR="00EE26F3">
        <w:rPr>
          <w:rFonts w:ascii="Times New Roman" w:hAnsi="Times New Roman" w:cs="Times New Roman"/>
          <w:sz w:val="24"/>
          <w:szCs w:val="24"/>
          <w:lang w:val="en-US"/>
        </w:rPr>
        <w:t>nitrification</w:t>
      </w:r>
      <w:r w:rsidR="00DF3FB8">
        <w:rPr>
          <w:rFonts w:ascii="Times New Roman" w:hAnsi="Times New Roman" w:cs="Times New Roman"/>
          <w:sz w:val="24"/>
          <w:szCs w:val="24"/>
          <w:lang w:val="en-US"/>
        </w:rPr>
        <w:t xml:space="preserve">, and organic nitrogen concentration was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 xml:space="preserve">considered </w:t>
      </w:r>
      <w:r w:rsidR="00DF3FB8">
        <w:rPr>
          <w:rFonts w:ascii="Times New Roman" w:hAnsi="Times New Roman" w:cs="Times New Roman"/>
          <w:sz w:val="24"/>
          <w:szCs w:val="24"/>
          <w:lang w:val="en-US"/>
        </w:rPr>
        <w:t xml:space="preserve">as a fixed effect </w:t>
      </w:r>
      <w:r w:rsidR="00EE26F3">
        <w:rPr>
          <w:rFonts w:ascii="Times New Roman" w:hAnsi="Times New Roman" w:cs="Times New Roman"/>
          <w:sz w:val="24"/>
          <w:szCs w:val="24"/>
          <w:lang w:val="en-US"/>
        </w:rPr>
        <w:t>for net mineralization</w:t>
      </w:r>
      <w:r w:rsidR="00DF3FB8">
        <w:rPr>
          <w:rFonts w:ascii="Times New Roman" w:hAnsi="Times New Roman" w:cs="Times New Roman"/>
          <w:sz w:val="24"/>
          <w:szCs w:val="24"/>
          <w:lang w:val="en-US"/>
        </w:rPr>
        <w:t xml:space="preserve">, given they function as the substrate for the corresponding reactions. </w:t>
      </w:r>
      <w:r w:rsidR="00B1249C">
        <w:rPr>
          <w:rFonts w:ascii="Times New Roman" w:hAnsi="Times New Roman" w:cs="Times New Roman"/>
          <w:sz w:val="24"/>
          <w:szCs w:val="24"/>
          <w:lang w:val="en-US"/>
        </w:rPr>
        <w:t xml:space="preserve">To test the hypothesis MDN provided by salmon carcasses impacts plant available nitrogen, </w:t>
      </w:r>
      <w:r w:rsidR="00915DF9">
        <w:rPr>
          <w:rFonts w:ascii="Times New Roman" w:hAnsi="Times New Roman" w:cs="Times New Roman"/>
          <w:sz w:val="24"/>
          <w:szCs w:val="24"/>
          <w:lang w:val="en-US"/>
        </w:rPr>
        <w:t>the significance of the bank effect was tested</w:t>
      </w:r>
      <w:r w:rsidR="00B124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66D1F4" w14:textId="48E28019" w:rsidR="0093719A" w:rsidRDefault="0093719A" w:rsidP="007243FC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</w:p>
    <w:p w14:paraId="129ECB94" w14:textId="31F944CD" w:rsidR="00145E53" w:rsidRDefault="00145E53" w:rsidP="007243FC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Discussion</w:t>
      </w:r>
    </w:p>
    <w:p w14:paraId="64ABE83C" w14:textId="6A927AA3" w:rsidR="00145E53" w:rsidRPr="00145E53" w:rsidRDefault="00145E53" w:rsidP="00145E53">
      <w:pPr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 global declines in Pacific salmon populations caused by anthropogenic impacts (overharvest, habitat degradation, hydropower dams), concern has grown for the preservation of this ecosystem service and has been a focal point for many management and mitigation strategies (Collins et al. 2015; Lichatowich 1999). – put elsewhere?</w:t>
      </w:r>
    </w:p>
    <w:p w14:paraId="6953104D" w14:textId="7DA9245C" w:rsidR="0093719A" w:rsidRDefault="007243FC" w:rsidP="007243FC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Acknowledgements</w:t>
      </w:r>
    </w:p>
    <w:p w14:paraId="4B830D7C" w14:textId="6F4FB55A" w:rsidR="007243FC" w:rsidRDefault="007243FC" w:rsidP="007243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FRI, Jackie</w:t>
      </w:r>
      <w:r w:rsidR="0029107A">
        <w:rPr>
          <w:rFonts w:ascii="Times New Roman" w:hAnsi="Times New Roman" w:cs="Times New Roman"/>
          <w:sz w:val="24"/>
          <w:szCs w:val="24"/>
          <w:lang w:val="en-US"/>
        </w:rPr>
        <w:t xml:space="preserve"> Carter, Katie McElroy, Max ???(field sampling), Eric Ward (advice with models)</w:t>
      </w:r>
    </w:p>
    <w:p w14:paraId="3C8D445D" w14:textId="70A395C4" w:rsidR="0029107A" w:rsidRDefault="0029107A" w:rsidP="0029107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References</w:t>
      </w:r>
    </w:p>
    <w:p w14:paraId="31493DFE" w14:textId="445EFE5B" w:rsidR="00915DF9" w:rsidRDefault="00915DF9" w:rsidP="0029107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Tables</w:t>
      </w:r>
    </w:p>
    <w:p w14:paraId="16BAFA8B" w14:textId="34EB23E7" w:rsidR="00450875" w:rsidRPr="00450875" w:rsidRDefault="00450875" w:rsidP="0029107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1: </w:t>
      </w:r>
      <w:bookmarkStart w:id="1" w:name="_GoBack"/>
      <w:bookmarkEnd w:id="1"/>
    </w:p>
    <w:tbl>
      <w:tblPr>
        <w:tblStyle w:val="TableGrid"/>
        <w:tblW w:w="931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7496"/>
      </w:tblGrid>
      <w:tr w:rsidR="00915DF9" w:rsidRPr="00517532" w14:paraId="6F2768E6" w14:textId="77777777" w:rsidTr="009E3308">
        <w:trPr>
          <w:trHeight w:val="542"/>
        </w:trPr>
        <w:tc>
          <w:tcPr>
            <w:tcW w:w="1818" w:type="dxa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15C7E526" w14:textId="7BD9E572" w:rsidR="00915DF9" w:rsidRPr="00C4797F" w:rsidRDefault="00915DF9" w:rsidP="005C2BE2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Response Variable</w:t>
            </w:r>
          </w:p>
        </w:tc>
        <w:tc>
          <w:tcPr>
            <w:tcW w:w="7496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4035E88E" w14:textId="5285C769" w:rsidR="00915DF9" w:rsidRPr="00C4797F" w:rsidRDefault="002F1C90" w:rsidP="005C2BE2">
            <w:pPr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Model Selected</w:t>
            </w:r>
          </w:p>
        </w:tc>
      </w:tr>
      <w:tr w:rsidR="00915DF9" w:rsidRPr="00517532" w14:paraId="33924DF6" w14:textId="77777777" w:rsidTr="009E3308">
        <w:trPr>
          <w:trHeight w:val="296"/>
        </w:trPr>
        <w:tc>
          <w:tcPr>
            <w:tcW w:w="1818" w:type="dxa"/>
            <w:tcBorders>
              <w:top w:val="single" w:sz="12" w:space="0" w:color="auto"/>
              <w:left w:val="nil"/>
              <w:bottom w:val="nil"/>
            </w:tcBorders>
            <w:vAlign w:val="bottom"/>
          </w:tcPr>
          <w:p w14:paraId="55F02D2C" w14:textId="713FE254" w:rsidR="00915DF9" w:rsidRPr="009E3308" w:rsidRDefault="002F1C90" w:rsidP="009E3308">
            <w:pP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vertAlign w:val="subscript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t xml:space="preserve">Bulk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7496" w:type="dxa"/>
            <w:tcBorders>
              <w:top w:val="single" w:sz="12" w:space="0" w:color="auto"/>
              <w:bottom w:val="nil"/>
              <w:right w:val="nil"/>
            </w:tcBorders>
            <w:vAlign w:val="bottom"/>
          </w:tcPr>
          <w:p w14:paraId="13E0D684" w14:textId="53A43BBF" w:rsidR="00915DF9" w:rsidRPr="009E3308" w:rsidRDefault="002F1C90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N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 xml:space="preserve"> = bank*log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(distance)+I(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</w:t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)*bank</w:t>
            </w:r>
          </w:p>
        </w:tc>
      </w:tr>
      <w:tr w:rsidR="002F1C90" w:rsidRPr="00517532" w14:paraId="3E1FAE4F" w14:textId="77777777" w:rsidTr="009E3308">
        <w:trPr>
          <w:trHeight w:val="286"/>
        </w:trPr>
        <w:tc>
          <w:tcPr>
            <w:tcW w:w="1818" w:type="dxa"/>
            <w:tcBorders>
              <w:top w:val="nil"/>
              <w:left w:val="nil"/>
              <w:bottom w:val="nil"/>
            </w:tcBorders>
            <w:vAlign w:val="bottom"/>
          </w:tcPr>
          <w:p w14:paraId="0EC59F33" w14:textId="007D6B02" w:rsidR="002F1C90" w:rsidRPr="009E3308" w:rsidRDefault="002F1C90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Bulk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</w:t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7496" w:type="dxa"/>
            <w:tcBorders>
              <w:top w:val="nil"/>
              <w:bottom w:val="nil"/>
              <w:right w:val="nil"/>
            </w:tcBorders>
            <w:vAlign w:val="bottom"/>
          </w:tcPr>
          <w:p w14:paraId="721F8434" w14:textId="3CCA58AE" w:rsidR="002F1C90" w:rsidRPr="009E3308" w:rsidRDefault="002F1C90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</w:t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C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 xml:space="preserve"> = bank*log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(distance)+I(log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</w:t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)*bank</w:t>
            </w:r>
          </w:p>
        </w:tc>
      </w:tr>
      <w:tr w:rsidR="002F1C90" w:rsidRPr="00517532" w14:paraId="05E651E7" w14:textId="77777777" w:rsidTr="009E3308">
        <w:trPr>
          <w:trHeight w:val="276"/>
        </w:trPr>
        <w:tc>
          <w:tcPr>
            <w:tcW w:w="1818" w:type="dxa"/>
            <w:tcBorders>
              <w:top w:val="nil"/>
              <w:left w:val="nil"/>
              <w:bottom w:val="nil"/>
            </w:tcBorders>
            <w:vAlign w:val="bottom"/>
          </w:tcPr>
          <w:p w14:paraId="606EEA6F" w14:textId="6A2DF833" w:rsidR="002F1C90" w:rsidRPr="009E3308" w:rsidRDefault="002F1C90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NO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3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-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concentration</w:t>
            </w:r>
          </w:p>
        </w:tc>
        <w:tc>
          <w:tcPr>
            <w:tcW w:w="7496" w:type="dxa"/>
            <w:tcBorders>
              <w:top w:val="nil"/>
              <w:bottom w:val="nil"/>
              <w:right w:val="nil"/>
            </w:tcBorders>
            <w:vAlign w:val="bottom"/>
          </w:tcPr>
          <w:p w14:paraId="588BCA8C" w14:textId="29C19595" w:rsidR="002F1C90" w:rsidRPr="009E3308" w:rsidRDefault="002F1C90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NO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3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-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oncentration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=</w:t>
            </w:r>
            <w:r w:rsidR="009E3308" w:rsidRPr="009E330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E3308" w:rsidRPr="009E3308">
              <w:rPr>
                <w:rFonts w:ascii="Times New Roman" w:hAnsi="Times New Roman"/>
                <w:sz w:val="20"/>
                <w:szCs w:val="20"/>
              </w:rPr>
              <w:t>bank*log</w:t>
            </w:r>
            <w:r w:rsidR="009E3308"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="009E3308" w:rsidRPr="009E3308">
              <w:rPr>
                <w:rFonts w:ascii="Times New Roman" w:hAnsi="Times New Roman"/>
                <w:sz w:val="20"/>
                <w:szCs w:val="20"/>
              </w:rPr>
              <w:t>(distance)+I(log</w:t>
            </w:r>
            <w:r w:rsidR="009E3308"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="009E3308" w:rsidRPr="009E3308">
              <w:rPr>
                <w:rFonts w:ascii="Times New Roman" w:hAnsi="Times New Roman"/>
                <w:sz w:val="20"/>
                <w:szCs w:val="20"/>
              </w:rPr>
              <w:t>(distance)</w:t>
            </w:r>
            <w:r w:rsidR="009E3308"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="009E3308" w:rsidRPr="009E3308">
              <w:rPr>
                <w:rFonts w:ascii="Times New Roman" w:hAnsi="Times New Roman"/>
                <w:sz w:val="20"/>
                <w:szCs w:val="20"/>
              </w:rPr>
              <w:t>)*bank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2F1C90" w:rsidRPr="00517532" w14:paraId="6131079C" w14:textId="77777777" w:rsidTr="009E3308">
        <w:trPr>
          <w:trHeight w:val="266"/>
        </w:trPr>
        <w:tc>
          <w:tcPr>
            <w:tcW w:w="1818" w:type="dxa"/>
            <w:tcBorders>
              <w:top w:val="nil"/>
              <w:left w:val="nil"/>
              <w:bottom w:val="nil"/>
            </w:tcBorders>
            <w:vAlign w:val="bottom"/>
          </w:tcPr>
          <w:p w14:paraId="6FE0B3C0" w14:textId="34362F16" w:rsidR="002F1C90" w:rsidRPr="009E3308" w:rsidRDefault="002F1C90" w:rsidP="009E3308">
            <w:pP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4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+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co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ncentration</w:t>
            </w:r>
          </w:p>
        </w:tc>
        <w:tc>
          <w:tcPr>
            <w:tcW w:w="7496" w:type="dxa"/>
            <w:tcBorders>
              <w:top w:val="nil"/>
              <w:bottom w:val="nil"/>
              <w:right w:val="nil"/>
            </w:tcBorders>
            <w:vAlign w:val="bottom"/>
          </w:tcPr>
          <w:p w14:paraId="2D52EBE9" w14:textId="3D6BEEDB" w:rsidR="002F1C90" w:rsidRPr="009E3308" w:rsidRDefault="009E3308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NH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4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+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concentration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 xml:space="preserve">=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bank*log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</w:t>
            </w:r>
          </w:p>
        </w:tc>
      </w:tr>
      <w:tr w:rsidR="002F1C90" w:rsidRPr="00517532" w14:paraId="7BB905E5" w14:textId="77777777" w:rsidTr="009E3308">
        <w:trPr>
          <w:trHeight w:val="276"/>
        </w:trPr>
        <w:tc>
          <w:tcPr>
            <w:tcW w:w="1818" w:type="dxa"/>
            <w:tcBorders>
              <w:top w:val="nil"/>
              <w:left w:val="nil"/>
              <w:bottom w:val="nil"/>
            </w:tcBorders>
            <w:vAlign w:val="bottom"/>
          </w:tcPr>
          <w:p w14:paraId="30FDCDD4" w14:textId="6BD13476" w:rsidR="002F1C90" w:rsidRPr="009E3308" w:rsidRDefault="002F1C90" w:rsidP="009E3308">
            <w:pPr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t>Net Mineralization</w:t>
            </w:r>
          </w:p>
        </w:tc>
        <w:tc>
          <w:tcPr>
            <w:tcW w:w="7496" w:type="dxa"/>
            <w:tcBorders>
              <w:top w:val="nil"/>
              <w:bottom w:val="nil"/>
              <w:right w:val="nil"/>
            </w:tcBorders>
            <w:vAlign w:val="bottom"/>
          </w:tcPr>
          <w:p w14:paraId="5397A59B" w14:textId="7BDC275A" w:rsidR="002F1C90" w:rsidRPr="009E3308" w:rsidRDefault="009E3308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Net Mineralization =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bank*log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+ o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rganic nitrogen concentration</w:t>
            </w:r>
          </w:p>
        </w:tc>
      </w:tr>
      <w:tr w:rsidR="002F1C90" w:rsidRPr="00517532" w14:paraId="268B6BAB" w14:textId="77777777" w:rsidTr="009E3308">
        <w:trPr>
          <w:trHeight w:val="276"/>
        </w:trPr>
        <w:tc>
          <w:tcPr>
            <w:tcW w:w="1818" w:type="dxa"/>
            <w:tcBorders>
              <w:top w:val="nil"/>
              <w:left w:val="nil"/>
              <w:bottom w:val="nil"/>
            </w:tcBorders>
            <w:vAlign w:val="bottom"/>
          </w:tcPr>
          <w:p w14:paraId="2E29D90C" w14:textId="58012FAA" w:rsidR="002F1C90" w:rsidRPr="009E3308" w:rsidRDefault="002F1C90" w:rsidP="009E3308">
            <w:pPr>
              <w:rPr>
                <w:rFonts w:ascii="Times New Roman" w:hAnsi="Times New Roman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t>Net Nitrification</w:t>
            </w:r>
          </w:p>
        </w:tc>
        <w:tc>
          <w:tcPr>
            <w:tcW w:w="7496" w:type="dxa"/>
            <w:tcBorders>
              <w:top w:val="nil"/>
              <w:bottom w:val="nil"/>
              <w:right w:val="nil"/>
            </w:tcBorders>
            <w:vAlign w:val="bottom"/>
          </w:tcPr>
          <w:p w14:paraId="16787774" w14:textId="1083B93E" w:rsidR="002F1C90" w:rsidRPr="009E3308" w:rsidRDefault="009E3308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Net Nitrification =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bank*log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</w:t>
            </w:r>
            <w:r>
              <w:rPr>
                <w:rFonts w:ascii="Times New Roman" w:hAnsi="Times New Roman"/>
                <w:sz w:val="20"/>
                <w:szCs w:val="20"/>
              </w:rPr>
              <w:t>) + NH</w:t>
            </w:r>
            <w:r>
              <w:rPr>
                <w:rFonts w:ascii="Times New Roman" w:hAnsi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+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concentration + gravimetric water content</w:t>
            </w:r>
          </w:p>
        </w:tc>
      </w:tr>
      <w:tr w:rsidR="002F1C90" w:rsidRPr="00517532" w14:paraId="48177D33" w14:textId="77777777" w:rsidTr="009E3308">
        <w:trPr>
          <w:trHeight w:val="276"/>
        </w:trPr>
        <w:tc>
          <w:tcPr>
            <w:tcW w:w="1818" w:type="dxa"/>
            <w:tcBorders>
              <w:top w:val="nil"/>
              <w:left w:val="nil"/>
              <w:bottom w:val="nil"/>
            </w:tcBorders>
            <w:vAlign w:val="bottom"/>
          </w:tcPr>
          <w:p w14:paraId="2039E988" w14:textId="127F909E" w:rsidR="002F1C90" w:rsidRPr="009E3308" w:rsidRDefault="002F1C90" w:rsidP="009E3308">
            <w:pPr>
              <w:rPr>
                <w:rFonts w:ascii="Times New Roman" w:hAnsi="Times New Roman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N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 xml:space="preserve"> of 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NO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3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7496" w:type="dxa"/>
            <w:tcBorders>
              <w:top w:val="nil"/>
              <w:bottom w:val="nil"/>
              <w:right w:val="nil"/>
            </w:tcBorders>
            <w:vAlign w:val="bottom"/>
          </w:tcPr>
          <w:p w14:paraId="68C0D0CF" w14:textId="7AAFA124" w:rsidR="002F1C90" w:rsidRPr="009E3308" w:rsidRDefault="009E3308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 xml:space="preserve">N of 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NO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3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-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=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bank*log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(distance)+I(log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</w:t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2F1C90" w:rsidRPr="00517532" w14:paraId="35309E27" w14:textId="77777777" w:rsidTr="009E3308">
        <w:trPr>
          <w:trHeight w:val="266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14:paraId="04241330" w14:textId="0FE27815" w:rsidR="002F1C90" w:rsidRPr="009E3308" w:rsidRDefault="002F1C90" w:rsidP="009E3308">
            <w:pPr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vertAlign w:val="superscript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 xml:space="preserve">N of 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4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7496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4145FE11" w14:textId="47DA3DAA" w:rsidR="002F1C90" w:rsidRPr="009E3308" w:rsidRDefault="009E3308" w:rsidP="009E3308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9E3308">
              <w:rPr>
                <w:rFonts w:ascii="Times New Roman" w:hAnsi="Times New Roman"/>
                <w:sz w:val="20"/>
                <w:szCs w:val="20"/>
              </w:rPr>
              <w:sym w:font="Symbol" w:char="F064"/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15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 xml:space="preserve">N of </w:t>
            </w:r>
            <w:r w:rsidRPr="009E3308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H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  <w:vertAlign w:val="superscript"/>
              </w:rPr>
              <w:t>+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= 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bank*log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(distance)+I(log</w:t>
            </w:r>
            <w:r w:rsidRPr="009E3308">
              <w:rPr>
                <w:rFonts w:ascii="Times New Roman" w:hAnsi="Times New Roman"/>
                <w:sz w:val="20"/>
                <w:szCs w:val="20"/>
                <w:vertAlign w:val="subscript"/>
              </w:rPr>
              <w:t>10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(distance)</w:t>
            </w:r>
            <w:r w:rsidRPr="009E3308">
              <w:rPr>
                <w:rFonts w:ascii="Times New Roman" w:hAnsi="Times New Roman"/>
                <w:sz w:val="20"/>
                <w:szCs w:val="20"/>
                <w:vertAlign w:val="superscript"/>
              </w:rPr>
              <w:t>2</w:t>
            </w:r>
            <w:r w:rsidRPr="009E330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14:paraId="0E7BF47C" w14:textId="77777777" w:rsidR="00915DF9" w:rsidRDefault="00915DF9" w:rsidP="0029107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41E964" w14:textId="16E383F8" w:rsidR="0029107A" w:rsidRDefault="0029107A" w:rsidP="0029107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Figures</w:t>
      </w:r>
    </w:p>
    <w:p w14:paraId="5A48136A" w14:textId="5018471A" w:rsidR="0029107A" w:rsidRPr="0029107A" w:rsidRDefault="0029107A" w:rsidP="0029107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1: Soil processing pathways where MDN enters terrestrial systems via decay of salmon organic tissues or excretion from direct consumers such as bears. Arrows represent conversion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pathways with the potential to impart a fractionation on plant available nitrogen (NH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NO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6F39C911" w14:textId="169D1C5C" w:rsidR="0029107A" w:rsidRDefault="0029107A" w:rsidP="0029107A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455C3B9" wp14:editId="7CB17299">
            <wp:extent cx="5105400" cy="381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08 at 12.59.37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171" cy="381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66E2" w14:textId="77777777" w:rsidR="0029107A" w:rsidRPr="007243FC" w:rsidRDefault="0029107A" w:rsidP="007243F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107A" w:rsidRPr="007243FC" w:rsidSect="00C014C2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8-05-03T14:52:00Z" w:initials="MOU">
    <w:p w14:paraId="5E5C8E85" w14:textId="798123D2" w:rsidR="00B1249C" w:rsidRDefault="00B1249C">
      <w:pPr>
        <w:pStyle w:val="CommentText"/>
      </w:pPr>
      <w:r>
        <w:rPr>
          <w:rStyle w:val="CommentReference"/>
        </w:rPr>
        <w:annotationRef/>
      </w:r>
      <w:r>
        <w:t>This probably needs more background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5C8E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5C8E85" w16cid:durableId="1E95A0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7B33B" w14:textId="77777777" w:rsidR="00285DB9" w:rsidRDefault="00285DB9" w:rsidP="00E76169">
      <w:pPr>
        <w:spacing w:after="0" w:line="240" w:lineRule="auto"/>
      </w:pPr>
      <w:r>
        <w:separator/>
      </w:r>
    </w:p>
  </w:endnote>
  <w:endnote w:type="continuationSeparator" w:id="0">
    <w:p w14:paraId="2B0C240E" w14:textId="77777777" w:rsidR="00285DB9" w:rsidRDefault="00285DB9" w:rsidP="00E7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28355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10B8BC" w14:textId="7DD9444B" w:rsidR="00E76169" w:rsidRDefault="00E76169" w:rsidP="00DF56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177C85" w14:textId="77777777" w:rsidR="00E76169" w:rsidRDefault="00E76169" w:rsidP="00E761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3173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590E70" w14:textId="62E784E3" w:rsidR="00E76169" w:rsidRDefault="00E76169" w:rsidP="00DF56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70D2EF" w14:textId="77777777" w:rsidR="00E76169" w:rsidRDefault="00E76169" w:rsidP="00E761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3A57" w14:textId="77777777" w:rsidR="00285DB9" w:rsidRDefault="00285DB9" w:rsidP="00E76169">
      <w:pPr>
        <w:spacing w:after="0" w:line="240" w:lineRule="auto"/>
      </w:pPr>
      <w:r>
        <w:separator/>
      </w:r>
    </w:p>
  </w:footnote>
  <w:footnote w:type="continuationSeparator" w:id="0">
    <w:p w14:paraId="48006BC3" w14:textId="77777777" w:rsidR="00285DB9" w:rsidRDefault="00285DB9" w:rsidP="00E7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29D"/>
    <w:multiLevelType w:val="hybridMultilevel"/>
    <w:tmpl w:val="8F72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C1000"/>
    <w:multiLevelType w:val="hybridMultilevel"/>
    <w:tmpl w:val="E6E201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67410"/>
    <w:multiLevelType w:val="hybridMultilevel"/>
    <w:tmpl w:val="36AA918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F231E"/>
    <w:multiLevelType w:val="hybridMultilevel"/>
    <w:tmpl w:val="0260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48D"/>
    <w:rsid w:val="00012EEF"/>
    <w:rsid w:val="000143B2"/>
    <w:rsid w:val="00014C35"/>
    <w:rsid w:val="00016AF6"/>
    <w:rsid w:val="00020225"/>
    <w:rsid w:val="00020301"/>
    <w:rsid w:val="00021356"/>
    <w:rsid w:val="00043FC8"/>
    <w:rsid w:val="00057878"/>
    <w:rsid w:val="000623C4"/>
    <w:rsid w:val="00073E6E"/>
    <w:rsid w:val="00092EBE"/>
    <w:rsid w:val="000940CF"/>
    <w:rsid w:val="00094523"/>
    <w:rsid w:val="00097220"/>
    <w:rsid w:val="000972E4"/>
    <w:rsid w:val="000A2DC7"/>
    <w:rsid w:val="000B39DE"/>
    <w:rsid w:val="000B59A4"/>
    <w:rsid w:val="000B7281"/>
    <w:rsid w:val="000C2A59"/>
    <w:rsid w:val="000C719D"/>
    <w:rsid w:val="000D32F2"/>
    <w:rsid w:val="000D3365"/>
    <w:rsid w:val="000E4104"/>
    <w:rsid w:val="000E42FA"/>
    <w:rsid w:val="000E4E7A"/>
    <w:rsid w:val="001016F4"/>
    <w:rsid w:val="00103DFE"/>
    <w:rsid w:val="0010572D"/>
    <w:rsid w:val="00110B67"/>
    <w:rsid w:val="00116A8A"/>
    <w:rsid w:val="00123F00"/>
    <w:rsid w:val="001272CA"/>
    <w:rsid w:val="00135E22"/>
    <w:rsid w:val="0014117A"/>
    <w:rsid w:val="00145B2F"/>
    <w:rsid w:val="00145E53"/>
    <w:rsid w:val="001538FF"/>
    <w:rsid w:val="00153BA2"/>
    <w:rsid w:val="00160327"/>
    <w:rsid w:val="001615C8"/>
    <w:rsid w:val="0017206A"/>
    <w:rsid w:val="00173789"/>
    <w:rsid w:val="00174058"/>
    <w:rsid w:val="00177210"/>
    <w:rsid w:val="00181754"/>
    <w:rsid w:val="00190067"/>
    <w:rsid w:val="001917D8"/>
    <w:rsid w:val="00191DE8"/>
    <w:rsid w:val="001C3B0C"/>
    <w:rsid w:val="001D0FD2"/>
    <w:rsid w:val="001E4BAE"/>
    <w:rsid w:val="001F0772"/>
    <w:rsid w:val="001F4298"/>
    <w:rsid w:val="001F5F00"/>
    <w:rsid w:val="001F7F3F"/>
    <w:rsid w:val="00203434"/>
    <w:rsid w:val="002223AF"/>
    <w:rsid w:val="002268EB"/>
    <w:rsid w:val="0023147B"/>
    <w:rsid w:val="002345F0"/>
    <w:rsid w:val="0023798E"/>
    <w:rsid w:val="00246FA0"/>
    <w:rsid w:val="00247201"/>
    <w:rsid w:val="00255490"/>
    <w:rsid w:val="0025716B"/>
    <w:rsid w:val="002571B1"/>
    <w:rsid w:val="00257F8F"/>
    <w:rsid w:val="0027243C"/>
    <w:rsid w:val="002759D2"/>
    <w:rsid w:val="00280AB9"/>
    <w:rsid w:val="00281D29"/>
    <w:rsid w:val="00285DB9"/>
    <w:rsid w:val="0028666B"/>
    <w:rsid w:val="00290AB8"/>
    <w:rsid w:val="0029107A"/>
    <w:rsid w:val="00294C39"/>
    <w:rsid w:val="002967B4"/>
    <w:rsid w:val="002A07BC"/>
    <w:rsid w:val="002A151F"/>
    <w:rsid w:val="002A22EE"/>
    <w:rsid w:val="002A3F5D"/>
    <w:rsid w:val="002A68CD"/>
    <w:rsid w:val="002A6D46"/>
    <w:rsid w:val="002B0269"/>
    <w:rsid w:val="002B1956"/>
    <w:rsid w:val="002C0B04"/>
    <w:rsid w:val="002C2EBA"/>
    <w:rsid w:val="002D2E8B"/>
    <w:rsid w:val="002D5379"/>
    <w:rsid w:val="002D5B1B"/>
    <w:rsid w:val="002D73B6"/>
    <w:rsid w:val="002E7FB0"/>
    <w:rsid w:val="002F0E5A"/>
    <w:rsid w:val="002F1C90"/>
    <w:rsid w:val="002F2857"/>
    <w:rsid w:val="002F3F62"/>
    <w:rsid w:val="00300928"/>
    <w:rsid w:val="00305C28"/>
    <w:rsid w:val="003102DB"/>
    <w:rsid w:val="0031173D"/>
    <w:rsid w:val="00320C66"/>
    <w:rsid w:val="00324834"/>
    <w:rsid w:val="00333EF4"/>
    <w:rsid w:val="003360F8"/>
    <w:rsid w:val="00345725"/>
    <w:rsid w:val="00355264"/>
    <w:rsid w:val="003570DA"/>
    <w:rsid w:val="00361AE2"/>
    <w:rsid w:val="00365A3A"/>
    <w:rsid w:val="00385E73"/>
    <w:rsid w:val="0038684D"/>
    <w:rsid w:val="003A225C"/>
    <w:rsid w:val="003B38C2"/>
    <w:rsid w:val="003C0BF4"/>
    <w:rsid w:val="003C1786"/>
    <w:rsid w:val="003E25AF"/>
    <w:rsid w:val="003E3379"/>
    <w:rsid w:val="003F16F4"/>
    <w:rsid w:val="003F2C1F"/>
    <w:rsid w:val="003F49CA"/>
    <w:rsid w:val="003F59B9"/>
    <w:rsid w:val="00426565"/>
    <w:rsid w:val="004321D1"/>
    <w:rsid w:val="0043558D"/>
    <w:rsid w:val="00436FCD"/>
    <w:rsid w:val="004439DF"/>
    <w:rsid w:val="00444B77"/>
    <w:rsid w:val="004501C0"/>
    <w:rsid w:val="00450875"/>
    <w:rsid w:val="0045368E"/>
    <w:rsid w:val="00453F5D"/>
    <w:rsid w:val="00466A81"/>
    <w:rsid w:val="00472134"/>
    <w:rsid w:val="00477703"/>
    <w:rsid w:val="00477C85"/>
    <w:rsid w:val="004816D5"/>
    <w:rsid w:val="0048468B"/>
    <w:rsid w:val="0048784C"/>
    <w:rsid w:val="00487B30"/>
    <w:rsid w:val="004923FF"/>
    <w:rsid w:val="0049484C"/>
    <w:rsid w:val="00494FF7"/>
    <w:rsid w:val="004A04F7"/>
    <w:rsid w:val="004A0DCE"/>
    <w:rsid w:val="004A57BE"/>
    <w:rsid w:val="004D42AB"/>
    <w:rsid w:val="004D524E"/>
    <w:rsid w:val="004E0257"/>
    <w:rsid w:val="004F1B2D"/>
    <w:rsid w:val="004F2C8A"/>
    <w:rsid w:val="005019B5"/>
    <w:rsid w:val="00505942"/>
    <w:rsid w:val="005114DE"/>
    <w:rsid w:val="005251A9"/>
    <w:rsid w:val="00530734"/>
    <w:rsid w:val="00533283"/>
    <w:rsid w:val="00533BBB"/>
    <w:rsid w:val="00536C11"/>
    <w:rsid w:val="00540A76"/>
    <w:rsid w:val="00543E92"/>
    <w:rsid w:val="0055631A"/>
    <w:rsid w:val="00557375"/>
    <w:rsid w:val="005605E5"/>
    <w:rsid w:val="00563E2B"/>
    <w:rsid w:val="00571B5D"/>
    <w:rsid w:val="00573572"/>
    <w:rsid w:val="005812B2"/>
    <w:rsid w:val="00585162"/>
    <w:rsid w:val="0059400D"/>
    <w:rsid w:val="00594131"/>
    <w:rsid w:val="005A3C18"/>
    <w:rsid w:val="005A791A"/>
    <w:rsid w:val="005B092E"/>
    <w:rsid w:val="005B4093"/>
    <w:rsid w:val="005C2BCA"/>
    <w:rsid w:val="005C3A6E"/>
    <w:rsid w:val="005C4B78"/>
    <w:rsid w:val="005C5063"/>
    <w:rsid w:val="005E27A1"/>
    <w:rsid w:val="005E51FE"/>
    <w:rsid w:val="005F20A4"/>
    <w:rsid w:val="00605464"/>
    <w:rsid w:val="00610C11"/>
    <w:rsid w:val="00615287"/>
    <w:rsid w:val="00615D06"/>
    <w:rsid w:val="00627246"/>
    <w:rsid w:val="00630119"/>
    <w:rsid w:val="006354F1"/>
    <w:rsid w:val="0064153C"/>
    <w:rsid w:val="00682653"/>
    <w:rsid w:val="00687AE7"/>
    <w:rsid w:val="00693D66"/>
    <w:rsid w:val="00694C97"/>
    <w:rsid w:val="006951E6"/>
    <w:rsid w:val="00697F1B"/>
    <w:rsid w:val="006A01C0"/>
    <w:rsid w:val="006B147C"/>
    <w:rsid w:val="006D3C87"/>
    <w:rsid w:val="006D6D6A"/>
    <w:rsid w:val="006E0663"/>
    <w:rsid w:val="006E1A53"/>
    <w:rsid w:val="006F7614"/>
    <w:rsid w:val="0071165C"/>
    <w:rsid w:val="007156C2"/>
    <w:rsid w:val="00715AAE"/>
    <w:rsid w:val="007243FC"/>
    <w:rsid w:val="00724C99"/>
    <w:rsid w:val="00725585"/>
    <w:rsid w:val="007302E2"/>
    <w:rsid w:val="00730507"/>
    <w:rsid w:val="00740E15"/>
    <w:rsid w:val="007425E0"/>
    <w:rsid w:val="007515A9"/>
    <w:rsid w:val="0075325A"/>
    <w:rsid w:val="0076329A"/>
    <w:rsid w:val="00780156"/>
    <w:rsid w:val="00791FE3"/>
    <w:rsid w:val="007943CB"/>
    <w:rsid w:val="007A064E"/>
    <w:rsid w:val="007A08C4"/>
    <w:rsid w:val="007A7970"/>
    <w:rsid w:val="007B071C"/>
    <w:rsid w:val="007B1CA3"/>
    <w:rsid w:val="007B7AF1"/>
    <w:rsid w:val="007C16B9"/>
    <w:rsid w:val="007D2618"/>
    <w:rsid w:val="007D32C4"/>
    <w:rsid w:val="007D6B93"/>
    <w:rsid w:val="007E3A9F"/>
    <w:rsid w:val="007F1689"/>
    <w:rsid w:val="007F2AAF"/>
    <w:rsid w:val="007F30C6"/>
    <w:rsid w:val="007F7B59"/>
    <w:rsid w:val="00811AD9"/>
    <w:rsid w:val="008162CB"/>
    <w:rsid w:val="00817FB3"/>
    <w:rsid w:val="008239DF"/>
    <w:rsid w:val="008334FD"/>
    <w:rsid w:val="00834014"/>
    <w:rsid w:val="008344B9"/>
    <w:rsid w:val="00842337"/>
    <w:rsid w:val="00846A05"/>
    <w:rsid w:val="00852CE9"/>
    <w:rsid w:val="00852EF1"/>
    <w:rsid w:val="008566DB"/>
    <w:rsid w:val="00856A39"/>
    <w:rsid w:val="00865EF4"/>
    <w:rsid w:val="0086643D"/>
    <w:rsid w:val="00867460"/>
    <w:rsid w:val="00877E7E"/>
    <w:rsid w:val="00890545"/>
    <w:rsid w:val="00892EA3"/>
    <w:rsid w:val="0089766F"/>
    <w:rsid w:val="0089778B"/>
    <w:rsid w:val="008A2C4C"/>
    <w:rsid w:val="008B4351"/>
    <w:rsid w:val="008B50B4"/>
    <w:rsid w:val="008C274B"/>
    <w:rsid w:val="008C52B3"/>
    <w:rsid w:val="008D0079"/>
    <w:rsid w:val="008D1AC4"/>
    <w:rsid w:val="008D34FB"/>
    <w:rsid w:val="008D6B03"/>
    <w:rsid w:val="008E2A60"/>
    <w:rsid w:val="008E38D0"/>
    <w:rsid w:val="008F2109"/>
    <w:rsid w:val="009027B2"/>
    <w:rsid w:val="00903804"/>
    <w:rsid w:val="0091230C"/>
    <w:rsid w:val="00915DF9"/>
    <w:rsid w:val="00920BC3"/>
    <w:rsid w:val="0092600C"/>
    <w:rsid w:val="0093265F"/>
    <w:rsid w:val="0093544F"/>
    <w:rsid w:val="0093706B"/>
    <w:rsid w:val="0093719A"/>
    <w:rsid w:val="009416B5"/>
    <w:rsid w:val="00951029"/>
    <w:rsid w:val="0095409C"/>
    <w:rsid w:val="00957259"/>
    <w:rsid w:val="00960CD8"/>
    <w:rsid w:val="00961E15"/>
    <w:rsid w:val="00962331"/>
    <w:rsid w:val="00963DDD"/>
    <w:rsid w:val="00972559"/>
    <w:rsid w:val="00984387"/>
    <w:rsid w:val="009909E5"/>
    <w:rsid w:val="009A4E50"/>
    <w:rsid w:val="009A5E73"/>
    <w:rsid w:val="009B0331"/>
    <w:rsid w:val="009B56FD"/>
    <w:rsid w:val="009C3A31"/>
    <w:rsid w:val="009E0BC8"/>
    <w:rsid w:val="009E23B2"/>
    <w:rsid w:val="009E3308"/>
    <w:rsid w:val="009E3A72"/>
    <w:rsid w:val="009E6C74"/>
    <w:rsid w:val="009E7B7E"/>
    <w:rsid w:val="009F110E"/>
    <w:rsid w:val="009F156E"/>
    <w:rsid w:val="00A004FD"/>
    <w:rsid w:val="00A01B0F"/>
    <w:rsid w:val="00A243DE"/>
    <w:rsid w:val="00A267F6"/>
    <w:rsid w:val="00A301C0"/>
    <w:rsid w:val="00A31B3A"/>
    <w:rsid w:val="00A3313A"/>
    <w:rsid w:val="00A33EF5"/>
    <w:rsid w:val="00A4013A"/>
    <w:rsid w:val="00A42BD3"/>
    <w:rsid w:val="00A519C7"/>
    <w:rsid w:val="00A52EF9"/>
    <w:rsid w:val="00A61694"/>
    <w:rsid w:val="00A63668"/>
    <w:rsid w:val="00A678BE"/>
    <w:rsid w:val="00A77A08"/>
    <w:rsid w:val="00A85881"/>
    <w:rsid w:val="00A95C9A"/>
    <w:rsid w:val="00AA26D4"/>
    <w:rsid w:val="00AC04ED"/>
    <w:rsid w:val="00AC32C7"/>
    <w:rsid w:val="00AC3F8F"/>
    <w:rsid w:val="00AE204F"/>
    <w:rsid w:val="00AE5FBA"/>
    <w:rsid w:val="00AE606A"/>
    <w:rsid w:val="00AF148D"/>
    <w:rsid w:val="00B01BCA"/>
    <w:rsid w:val="00B04EA0"/>
    <w:rsid w:val="00B113E8"/>
    <w:rsid w:val="00B11A75"/>
    <w:rsid w:val="00B1249C"/>
    <w:rsid w:val="00B21C33"/>
    <w:rsid w:val="00B25F8B"/>
    <w:rsid w:val="00B3358E"/>
    <w:rsid w:val="00B36A90"/>
    <w:rsid w:val="00B41821"/>
    <w:rsid w:val="00B542C9"/>
    <w:rsid w:val="00B54A60"/>
    <w:rsid w:val="00B6767C"/>
    <w:rsid w:val="00B72969"/>
    <w:rsid w:val="00B81BA3"/>
    <w:rsid w:val="00B93013"/>
    <w:rsid w:val="00BA4CE5"/>
    <w:rsid w:val="00BB1762"/>
    <w:rsid w:val="00BB6347"/>
    <w:rsid w:val="00BB7727"/>
    <w:rsid w:val="00BC291B"/>
    <w:rsid w:val="00BD1340"/>
    <w:rsid w:val="00BD6132"/>
    <w:rsid w:val="00BF7C4A"/>
    <w:rsid w:val="00C00EF4"/>
    <w:rsid w:val="00C014C2"/>
    <w:rsid w:val="00C01D74"/>
    <w:rsid w:val="00C045F6"/>
    <w:rsid w:val="00C0653C"/>
    <w:rsid w:val="00C07971"/>
    <w:rsid w:val="00C07B8D"/>
    <w:rsid w:val="00C14574"/>
    <w:rsid w:val="00C30D4C"/>
    <w:rsid w:val="00C32203"/>
    <w:rsid w:val="00C32EB4"/>
    <w:rsid w:val="00C364E9"/>
    <w:rsid w:val="00C44D3C"/>
    <w:rsid w:val="00C54BBB"/>
    <w:rsid w:val="00C56F5B"/>
    <w:rsid w:val="00C57629"/>
    <w:rsid w:val="00C64D57"/>
    <w:rsid w:val="00C67B9B"/>
    <w:rsid w:val="00C709FD"/>
    <w:rsid w:val="00C736D7"/>
    <w:rsid w:val="00C737EE"/>
    <w:rsid w:val="00C74C13"/>
    <w:rsid w:val="00C7616A"/>
    <w:rsid w:val="00C958F0"/>
    <w:rsid w:val="00CB607E"/>
    <w:rsid w:val="00CC07A8"/>
    <w:rsid w:val="00CC2117"/>
    <w:rsid w:val="00CD3EEB"/>
    <w:rsid w:val="00CE707A"/>
    <w:rsid w:val="00CF13E4"/>
    <w:rsid w:val="00CF3DEE"/>
    <w:rsid w:val="00CF73BF"/>
    <w:rsid w:val="00CF7CD2"/>
    <w:rsid w:val="00D02AB6"/>
    <w:rsid w:val="00D07C50"/>
    <w:rsid w:val="00D151E1"/>
    <w:rsid w:val="00D175BF"/>
    <w:rsid w:val="00D20859"/>
    <w:rsid w:val="00D2189B"/>
    <w:rsid w:val="00D2648F"/>
    <w:rsid w:val="00D357E8"/>
    <w:rsid w:val="00D3657A"/>
    <w:rsid w:val="00D55CEC"/>
    <w:rsid w:val="00D76411"/>
    <w:rsid w:val="00D772E1"/>
    <w:rsid w:val="00D876EE"/>
    <w:rsid w:val="00D921FB"/>
    <w:rsid w:val="00D959E9"/>
    <w:rsid w:val="00D965A8"/>
    <w:rsid w:val="00D968DA"/>
    <w:rsid w:val="00DA4E9D"/>
    <w:rsid w:val="00DA5CAD"/>
    <w:rsid w:val="00DB063F"/>
    <w:rsid w:val="00DC0F8D"/>
    <w:rsid w:val="00DC12F3"/>
    <w:rsid w:val="00DC3A70"/>
    <w:rsid w:val="00DD24B5"/>
    <w:rsid w:val="00DD5E94"/>
    <w:rsid w:val="00DE108D"/>
    <w:rsid w:val="00DE3684"/>
    <w:rsid w:val="00DE6701"/>
    <w:rsid w:val="00DE789B"/>
    <w:rsid w:val="00DF14A7"/>
    <w:rsid w:val="00DF3FB8"/>
    <w:rsid w:val="00DF4860"/>
    <w:rsid w:val="00DF551A"/>
    <w:rsid w:val="00E03AE8"/>
    <w:rsid w:val="00E05C74"/>
    <w:rsid w:val="00E15CBC"/>
    <w:rsid w:val="00E17852"/>
    <w:rsid w:val="00E21F56"/>
    <w:rsid w:val="00E22AFA"/>
    <w:rsid w:val="00E26100"/>
    <w:rsid w:val="00E30A68"/>
    <w:rsid w:val="00E32C70"/>
    <w:rsid w:val="00E360F5"/>
    <w:rsid w:val="00E46764"/>
    <w:rsid w:val="00E53186"/>
    <w:rsid w:val="00E573FA"/>
    <w:rsid w:val="00E60094"/>
    <w:rsid w:val="00E62273"/>
    <w:rsid w:val="00E64316"/>
    <w:rsid w:val="00E76169"/>
    <w:rsid w:val="00E82593"/>
    <w:rsid w:val="00E85516"/>
    <w:rsid w:val="00E870F0"/>
    <w:rsid w:val="00E94096"/>
    <w:rsid w:val="00EA05F1"/>
    <w:rsid w:val="00EA68B2"/>
    <w:rsid w:val="00EB5DB5"/>
    <w:rsid w:val="00EC5E6C"/>
    <w:rsid w:val="00ED66DA"/>
    <w:rsid w:val="00EE26F3"/>
    <w:rsid w:val="00EF42AC"/>
    <w:rsid w:val="00EF749B"/>
    <w:rsid w:val="00F10177"/>
    <w:rsid w:val="00F10ACD"/>
    <w:rsid w:val="00F12FAC"/>
    <w:rsid w:val="00F14726"/>
    <w:rsid w:val="00F16778"/>
    <w:rsid w:val="00F17090"/>
    <w:rsid w:val="00F202C8"/>
    <w:rsid w:val="00F225EC"/>
    <w:rsid w:val="00F30C28"/>
    <w:rsid w:val="00F40C39"/>
    <w:rsid w:val="00F412F7"/>
    <w:rsid w:val="00F53362"/>
    <w:rsid w:val="00F6027D"/>
    <w:rsid w:val="00F709C7"/>
    <w:rsid w:val="00F70D3F"/>
    <w:rsid w:val="00F73F51"/>
    <w:rsid w:val="00F76FC3"/>
    <w:rsid w:val="00F863D0"/>
    <w:rsid w:val="00F921C3"/>
    <w:rsid w:val="00FA4EFE"/>
    <w:rsid w:val="00FA64D4"/>
    <w:rsid w:val="00FC52F9"/>
    <w:rsid w:val="00FD02DF"/>
    <w:rsid w:val="00FD3D73"/>
    <w:rsid w:val="00FD75A5"/>
    <w:rsid w:val="00FF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9FBF4A"/>
  <w15:docId w15:val="{429E866C-DBF7-FA49-BCD9-3135473E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qFormat/>
    <w:rsid w:val="00DE789B"/>
    <w:pPr>
      <w:keepNext/>
      <w:suppressAutoHyphens/>
      <w:spacing w:before="220" w:after="40" w:line="260" w:lineRule="exact"/>
      <w:jc w:val="both"/>
      <w:outlineLvl w:val="3"/>
    </w:pPr>
    <w:rPr>
      <w:rFonts w:ascii="Times New Roman" w:eastAsia="Times New Roman" w:hAnsi="Times New Roman" w:cs="Times New Roman"/>
      <w:b/>
      <w:sz w:val="28"/>
      <w:szCs w:val="20"/>
      <w:lang w:val="en-GB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E789B"/>
    <w:rPr>
      <w:rFonts w:ascii="Times New Roman" w:eastAsia="Times New Roman" w:hAnsi="Times New Roman" w:cs="Times New Roman"/>
      <w:b/>
      <w:sz w:val="28"/>
      <w:szCs w:val="20"/>
      <w:lang w:val="en-GB" w:eastAsia="sv-SE"/>
    </w:rPr>
  </w:style>
  <w:style w:type="paragraph" w:styleId="ListParagraph">
    <w:name w:val="List Paragraph"/>
    <w:basedOn w:val="Normal"/>
    <w:uiPriority w:val="34"/>
    <w:qFormat/>
    <w:rsid w:val="006D3C8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3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F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F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C8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C014C2"/>
  </w:style>
  <w:style w:type="paragraph" w:styleId="Footer">
    <w:name w:val="footer"/>
    <w:basedOn w:val="Normal"/>
    <w:link w:val="FooterChar"/>
    <w:uiPriority w:val="99"/>
    <w:unhideWhenUsed/>
    <w:rsid w:val="00E76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169"/>
  </w:style>
  <w:style w:type="character" w:styleId="PageNumber">
    <w:name w:val="page number"/>
    <w:basedOn w:val="DefaultParagraphFont"/>
    <w:uiPriority w:val="99"/>
    <w:semiHidden/>
    <w:unhideWhenUsed/>
    <w:rsid w:val="00E76169"/>
  </w:style>
  <w:style w:type="table" w:styleId="TableGrid">
    <w:name w:val="Table Grid"/>
    <w:basedOn w:val="TableNormal"/>
    <w:uiPriority w:val="39"/>
    <w:rsid w:val="00915DF9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B396-7371-8247-8500-F7173359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1828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 / SYSEKO / NEW CAMPUS AGREEMENT</Company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Nielsen</dc:creator>
  <cp:lastModifiedBy>Microsoft Office User</cp:lastModifiedBy>
  <cp:revision>29</cp:revision>
  <dcterms:created xsi:type="dcterms:W3CDTF">2017-10-03T19:30:00Z</dcterms:created>
  <dcterms:modified xsi:type="dcterms:W3CDTF">2018-06-08T21:06:00Z</dcterms:modified>
</cp:coreProperties>
</file>