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83DEC" w14:textId="66FA0823" w:rsidR="00C15426" w:rsidRDefault="00C15426">
      <w:pPr>
        <w:rPr>
          <w:rFonts w:ascii="Times New Roman" w:hAnsi="Times New Roman" w:cs="Times New Roman"/>
          <w:b/>
          <w:bCs/>
        </w:rPr>
      </w:pPr>
      <w:r>
        <w:rPr>
          <w:rFonts w:ascii="Times New Roman" w:hAnsi="Times New Roman" w:cs="Times New Roman"/>
          <w:b/>
          <w:bCs/>
        </w:rPr>
        <w:t>Introduction</w:t>
      </w:r>
    </w:p>
    <w:p w14:paraId="1FF30B6E" w14:textId="77777777" w:rsidR="00BC1B30" w:rsidRDefault="00BC1B30">
      <w:pPr>
        <w:rPr>
          <w:rFonts w:ascii="Times New Roman" w:hAnsi="Times New Roman" w:cs="Times New Roman"/>
        </w:rPr>
      </w:pPr>
    </w:p>
    <w:p w14:paraId="5826C35C" w14:textId="1C4D715A" w:rsidR="00BC1B30" w:rsidRDefault="00BC1B30" w:rsidP="00A42D7B">
      <w:pPr>
        <w:spacing w:line="480" w:lineRule="auto"/>
        <w:rPr>
          <w:rFonts w:ascii="Times New Roman" w:hAnsi="Times New Roman" w:cs="Times New Roman"/>
        </w:rPr>
      </w:pPr>
      <w:r>
        <w:rPr>
          <w:rFonts w:ascii="Times New Roman" w:hAnsi="Times New Roman" w:cs="Times New Roman"/>
        </w:rPr>
        <w:tab/>
        <w:t>Food web structure is regulated by availability of resources (bottom-up</w:t>
      </w:r>
      <w:r w:rsidR="00A42D7B">
        <w:rPr>
          <w:rFonts w:ascii="Times New Roman" w:hAnsi="Times New Roman" w:cs="Times New Roman"/>
        </w:rPr>
        <w:t xml:space="preserve"> control</w:t>
      </w:r>
      <w:r>
        <w:rPr>
          <w:rFonts w:ascii="Times New Roman" w:hAnsi="Times New Roman" w:cs="Times New Roman"/>
        </w:rPr>
        <w:t>) and the presence of top predators (top-down</w:t>
      </w:r>
      <w:r w:rsidR="00A42D7B">
        <w:rPr>
          <w:rFonts w:ascii="Times New Roman" w:hAnsi="Times New Roman" w:cs="Times New Roman"/>
        </w:rPr>
        <w:t xml:space="preserve"> control</w:t>
      </w:r>
      <w:r>
        <w:rPr>
          <w:rFonts w:ascii="Times New Roman" w:hAnsi="Times New Roman" w:cs="Times New Roman"/>
        </w:rPr>
        <w:t>) (</w:t>
      </w:r>
      <w:r>
        <w:rPr>
          <w:rFonts w:ascii="Times New Roman" w:hAnsi="Times New Roman" w:cs="Times New Roman"/>
          <w:b/>
          <w:bCs/>
        </w:rPr>
        <w:t>citation</w:t>
      </w:r>
      <w:r>
        <w:rPr>
          <w:rFonts w:ascii="Times New Roman" w:hAnsi="Times New Roman" w:cs="Times New Roman"/>
        </w:rPr>
        <w:t xml:space="preserve">). </w:t>
      </w:r>
      <w:r w:rsidRPr="00BC1B30">
        <w:rPr>
          <w:rFonts w:ascii="Times New Roman" w:hAnsi="Times New Roman" w:cs="Times New Roman"/>
        </w:rPr>
        <w:t>Anthropogenic and environmental drivers alter the structure and composition of marine ecosystems</w:t>
      </w:r>
      <w:r w:rsidR="00A42D7B">
        <w:rPr>
          <w:rFonts w:ascii="Times New Roman" w:hAnsi="Times New Roman" w:cs="Times New Roman"/>
        </w:rPr>
        <w:t xml:space="preserve"> by changing</w:t>
      </w:r>
      <w:r w:rsidRPr="00BC1B30">
        <w:rPr>
          <w:rFonts w:ascii="Times New Roman" w:hAnsi="Times New Roman" w:cs="Times New Roman"/>
        </w:rPr>
        <w:t xml:space="preserve"> predation </w:t>
      </w:r>
      <w:r w:rsidR="00A42D7B">
        <w:rPr>
          <w:rFonts w:ascii="Times New Roman" w:hAnsi="Times New Roman" w:cs="Times New Roman"/>
        </w:rPr>
        <w:t xml:space="preserve">pressure </w:t>
      </w:r>
      <w:r w:rsidRPr="00BC1B30">
        <w:rPr>
          <w:rFonts w:ascii="Times New Roman" w:hAnsi="Times New Roman" w:cs="Times New Roman"/>
        </w:rPr>
        <w:t xml:space="preserve">and competition </w:t>
      </w:r>
      <w:r w:rsidR="00A42D7B">
        <w:rPr>
          <w:rFonts w:ascii="Times New Roman" w:hAnsi="Times New Roman" w:cs="Times New Roman"/>
        </w:rPr>
        <w:t xml:space="preserve">for resources </w:t>
      </w:r>
      <w:r w:rsidRPr="00BC1B30">
        <w:rPr>
          <w:rFonts w:ascii="Times New Roman" w:hAnsi="Times New Roman" w:cs="Times New Roman"/>
        </w:rPr>
        <w:t>(</w:t>
      </w:r>
      <w:proofErr w:type="spellStart"/>
      <w:r w:rsidRPr="00BC1B30">
        <w:rPr>
          <w:rFonts w:ascii="Times New Roman" w:hAnsi="Times New Roman" w:cs="Times New Roman"/>
        </w:rPr>
        <w:t>Kordas</w:t>
      </w:r>
      <w:proofErr w:type="spellEnd"/>
      <w:r w:rsidRPr="00BC1B30">
        <w:rPr>
          <w:rFonts w:ascii="Times New Roman" w:hAnsi="Times New Roman" w:cs="Times New Roman"/>
        </w:rPr>
        <w:t xml:space="preserve"> et al. 2011). </w:t>
      </w:r>
      <w:r w:rsidR="00A42D7B">
        <w:rPr>
          <w:rFonts w:ascii="Times New Roman" w:hAnsi="Times New Roman" w:cs="Times New Roman"/>
        </w:rPr>
        <w:t>Physical ocean conditions alter nutrient distribution, light penetration, and community composition at the base of the food web (citation), which can impact primary productivity and ultimately constrain energy availability and thus abundance at higher trophic levels (citation). Similarly, the removal of top predators from an ecosystem as a result of human activities such as fishing can decrease predation pressure and increase abundance on adjacent trophic, an effect that can cascade through the food web and impact abundance at non=adjacent trophic levels (cite trophic cascades). L</w:t>
      </w:r>
      <w:r>
        <w:rPr>
          <w:rFonts w:ascii="Times New Roman" w:hAnsi="Times New Roman" w:cs="Times New Roman"/>
        </w:rPr>
        <w:t>egislative action</w:t>
      </w:r>
      <w:r w:rsidR="00A42D7B">
        <w:rPr>
          <w:rFonts w:ascii="Times New Roman" w:hAnsi="Times New Roman" w:cs="Times New Roman"/>
        </w:rPr>
        <w:t xml:space="preserve"> aimed at promoting top predator abundance by reducing fishing pressure or by-catch can have inverse effect; top predator abundance increases, increasing predation pressure on adjacent trophic levels. </w:t>
      </w:r>
      <w:r>
        <w:rPr>
          <w:rFonts w:ascii="Times New Roman" w:hAnsi="Times New Roman" w:cs="Times New Roman"/>
        </w:rPr>
        <w:t xml:space="preserve"> </w:t>
      </w:r>
      <w:r w:rsidR="00A42D7B">
        <w:rPr>
          <w:rFonts w:ascii="Times New Roman" w:hAnsi="Times New Roman" w:cs="Times New Roman"/>
        </w:rPr>
        <w:t xml:space="preserve">Top-down and bottom-up control are often studied as independent mechanisms, however large scale changes in nutrient availability (citations) and top predator abundance over the past century (citation) means many food webs are experiencing shifts in both mechanisms of regulation in tandem, making it challenging to identify dominant mechanisms structuring abundance.  </w:t>
      </w:r>
    </w:p>
    <w:p w14:paraId="2355D2B8" w14:textId="1B8D112F" w:rsidR="00C22E48" w:rsidRDefault="00BC1B30" w:rsidP="00A42D7B">
      <w:pPr>
        <w:spacing w:line="480" w:lineRule="auto"/>
        <w:rPr>
          <w:rFonts w:ascii="Times New Roman" w:hAnsi="Times New Roman" w:cs="Times New Roman"/>
        </w:rPr>
      </w:pPr>
      <w:r>
        <w:rPr>
          <w:rFonts w:ascii="Times New Roman" w:hAnsi="Times New Roman" w:cs="Times New Roman"/>
        </w:rPr>
        <w:tab/>
        <w:t xml:space="preserve">Ecosystems in coastal Washington and the Salish Sea have experienced dramatic restructuring over the past century due to declines and subsequent recoveries of marine predators </w:t>
      </w:r>
      <w:r w:rsidR="00A42D7B">
        <w:rPr>
          <w:rFonts w:ascii="Times New Roman" w:hAnsi="Times New Roman" w:cs="Times New Roman"/>
        </w:rPr>
        <w:t xml:space="preserve">(citation) </w:t>
      </w:r>
      <w:r>
        <w:rPr>
          <w:rFonts w:ascii="Times New Roman" w:hAnsi="Times New Roman" w:cs="Times New Roman"/>
        </w:rPr>
        <w:t>and changes in environmental conditions</w:t>
      </w:r>
      <w:r w:rsidR="00A42D7B">
        <w:rPr>
          <w:rFonts w:ascii="Times New Roman" w:hAnsi="Times New Roman" w:cs="Times New Roman"/>
        </w:rPr>
        <w:t xml:space="preserve"> (citation)</w:t>
      </w:r>
      <w:r>
        <w:rPr>
          <w:rFonts w:ascii="Times New Roman" w:hAnsi="Times New Roman" w:cs="Times New Roman"/>
        </w:rPr>
        <w:t>.</w:t>
      </w:r>
      <w:r w:rsidR="00A42D7B">
        <w:rPr>
          <w:rFonts w:ascii="Times New Roman" w:hAnsi="Times New Roman" w:cs="Times New Roman"/>
        </w:rPr>
        <w:t xml:space="preserve"> Decades of hunting resulted marine mammal populations reaching a historic low in the 1970's, with harbor seal abundance estimated to be XXX (citation). Following the Marine Mammal Protection Act in 1972 top-predator </w:t>
      </w:r>
      <w:r w:rsidR="00A42D7B">
        <w:rPr>
          <w:rFonts w:ascii="Times New Roman" w:hAnsi="Times New Roman" w:cs="Times New Roman"/>
        </w:rPr>
        <w:lastRenderedPageBreak/>
        <w:t xml:space="preserve">abundance increased dramatically. Benefitting from a relatively short life history, generalist diet, and legislation, harbor seal populations increased 10-fold from 1970-2010 (citation Jeffries). This increase in abundance </w:t>
      </w:r>
      <w:r>
        <w:rPr>
          <w:rFonts w:ascii="Times New Roman" w:hAnsi="Times New Roman" w:cs="Times New Roman"/>
        </w:rPr>
        <w:t xml:space="preserve">While increases in marine mammal abundance has been a primary change in the ecosystem, dramatic changes in physical oceanic conditions have occurred </w:t>
      </w:r>
      <w:proofErr w:type="spellStart"/>
      <w:r>
        <w:rPr>
          <w:rFonts w:ascii="Times New Roman" w:hAnsi="Times New Roman" w:cs="Times New Roman"/>
        </w:rPr>
        <w:t>i</w:t>
      </w:r>
      <w:r w:rsidR="00A42D7B">
        <w:rPr>
          <w:rFonts w:ascii="Times New Roman" w:hAnsi="Times New Roman" w:cs="Times New Roman"/>
        </w:rPr>
        <w:t>simultaneously</w:t>
      </w:r>
      <w:proofErr w:type="spellEnd"/>
      <w:r>
        <w:rPr>
          <w:rFonts w:ascii="Times New Roman" w:hAnsi="Times New Roman" w:cs="Times New Roman"/>
        </w:rPr>
        <w:t xml:space="preserve">, which have an equal potential for altering the food web. </w:t>
      </w:r>
    </w:p>
    <w:p w14:paraId="536CB294" w14:textId="552C0939" w:rsidR="00A42D7B" w:rsidRDefault="00A42D7B" w:rsidP="00A42D7B">
      <w:pPr>
        <w:spacing w:line="480" w:lineRule="auto"/>
        <w:rPr>
          <w:rFonts w:ascii="Times New Roman" w:hAnsi="Times New Roman" w:cs="Times New Roman"/>
        </w:rPr>
      </w:pPr>
      <w:r>
        <w:rPr>
          <w:rFonts w:ascii="Times New Roman" w:hAnsi="Times New Roman" w:cs="Times New Roman"/>
        </w:rPr>
        <w:tab/>
        <w:t xml:space="preserve">Paragraph about tradeoffs and decision making...what is important for informed decisions? comprehensive understanding of how harbor seals interact with the </w:t>
      </w:r>
      <w:proofErr w:type="spellStart"/>
      <w:r>
        <w:rPr>
          <w:rFonts w:ascii="Times New Roman" w:hAnsi="Times New Roman" w:cs="Times New Roman"/>
        </w:rPr>
        <w:t>eccosystem</w:t>
      </w:r>
      <w:proofErr w:type="spellEnd"/>
    </w:p>
    <w:p w14:paraId="5AF11672" w14:textId="7328B653" w:rsidR="00C15426" w:rsidRDefault="00C15426" w:rsidP="00A42D7B">
      <w:pPr>
        <w:spacing w:line="480" w:lineRule="auto"/>
        <w:rPr>
          <w:rFonts w:ascii="Times New Roman" w:hAnsi="Times New Roman" w:cs="Times New Roman"/>
        </w:rPr>
      </w:pPr>
      <w:r>
        <w:rPr>
          <w:rFonts w:ascii="Times New Roman" w:hAnsi="Times New Roman" w:cs="Times New Roman"/>
        </w:rPr>
        <w:tab/>
        <w:t xml:space="preserve">Top-down pressures exerted by marine predators’ function in tandem with bottom-up forces, physical and oceanographic conditions have the potential to alter abundance and availability of lower trophic level species, thus altering predation pressure. Predation pressure exerted by generalist predators, which feed opportunistically on a variety of available prey sources, are particularly </w:t>
      </w:r>
      <w:r w:rsidR="003C7F54">
        <w:rPr>
          <w:rFonts w:ascii="Times New Roman" w:hAnsi="Times New Roman" w:cs="Times New Roman"/>
        </w:rPr>
        <w:t>susceptible</w:t>
      </w:r>
      <w:r>
        <w:rPr>
          <w:rFonts w:ascii="Times New Roman" w:hAnsi="Times New Roman" w:cs="Times New Roman"/>
        </w:rPr>
        <w:t xml:space="preserve"> to shifting predation pressure in response to prey availability. </w:t>
      </w:r>
    </w:p>
    <w:p w14:paraId="0440C3F5" w14:textId="0704312B" w:rsidR="00BC1B30" w:rsidRDefault="00C15426" w:rsidP="00A42D7B">
      <w:pPr>
        <w:spacing w:line="480" w:lineRule="auto"/>
        <w:rPr>
          <w:rFonts w:ascii="Times New Roman" w:hAnsi="Times New Roman" w:cs="Times New Roman"/>
        </w:rPr>
      </w:pPr>
      <w:r>
        <w:rPr>
          <w:rFonts w:ascii="Times New Roman" w:hAnsi="Times New Roman" w:cs="Times New Roman"/>
        </w:rPr>
        <w:tab/>
      </w:r>
      <w:r w:rsidR="00BC1B30" w:rsidRPr="00BC1B30">
        <w:rPr>
          <w:rFonts w:ascii="Times New Roman" w:hAnsi="Times New Roman" w:cs="Times New Roman"/>
        </w:rPr>
        <w:t>Understanding historical context of ecosystem function is necessary to predict future ecosystem responses to human disturbance and environmental chang</w:t>
      </w:r>
      <w:r w:rsidR="00BC1B30">
        <w:rPr>
          <w:rFonts w:ascii="Times New Roman" w:hAnsi="Times New Roman" w:cs="Times New Roman"/>
        </w:rPr>
        <w:t>e.</w:t>
      </w:r>
      <w:r w:rsidR="00BC1B30" w:rsidRPr="00BC1B30">
        <w:t xml:space="preserve"> </w:t>
      </w:r>
      <w:r w:rsidR="00BC1B30" w:rsidRPr="00BC1B30">
        <w:rPr>
          <w:rFonts w:ascii="Times New Roman" w:hAnsi="Times New Roman" w:cs="Times New Roman"/>
        </w:rPr>
        <w:t>Historic datasets are important for understanding ecosystem dynamics in the absence of anthropogenic pressure and ecological responses to climatic shifts. However, historic data and methods for analyzing these data are limited, which presents a challenge for robust ecosystem-based management</w:t>
      </w:r>
      <w:r w:rsidR="00BC1B30">
        <w:rPr>
          <w:rFonts w:ascii="Times New Roman" w:hAnsi="Times New Roman" w:cs="Times New Roman"/>
        </w:rPr>
        <w:t>.</w:t>
      </w:r>
    </w:p>
    <w:p w14:paraId="79FFF0D3" w14:textId="709AF89E" w:rsidR="003C7F54" w:rsidRDefault="003C7F54" w:rsidP="00A42D7B">
      <w:pPr>
        <w:spacing w:line="480" w:lineRule="auto"/>
        <w:rPr>
          <w:rFonts w:ascii="Times New Roman" w:hAnsi="Times New Roman" w:cs="Times New Roman"/>
        </w:rPr>
      </w:pPr>
      <w:r>
        <w:rPr>
          <w:rFonts w:ascii="Times New Roman" w:hAnsi="Times New Roman" w:cs="Times New Roman"/>
        </w:rPr>
        <w:tab/>
        <w:t>CSIA provides the necessary means for reconstructing historical ecological data.</w:t>
      </w:r>
    </w:p>
    <w:p w14:paraId="0771BF86" w14:textId="10901D80" w:rsidR="003C7F54" w:rsidRPr="00C15426" w:rsidRDefault="003C7F54" w:rsidP="00A42D7B">
      <w:pPr>
        <w:spacing w:line="480" w:lineRule="auto"/>
        <w:rPr>
          <w:rFonts w:ascii="Times New Roman" w:hAnsi="Times New Roman" w:cs="Times New Roman"/>
        </w:rPr>
      </w:pPr>
      <w:r>
        <w:rPr>
          <w:rFonts w:ascii="Times New Roman" w:hAnsi="Times New Roman" w:cs="Times New Roman"/>
        </w:rPr>
        <w:tab/>
        <w:t xml:space="preserve">Here we examine a century of harbor seal trophic position data...The objectives of this work are to identify how physical ocean drivers, productivity, and prey availability </w:t>
      </w:r>
    </w:p>
    <w:p w14:paraId="29E2005D" w14:textId="05FB0AC1" w:rsidR="005C632E" w:rsidRDefault="00991000" w:rsidP="00A42D7B">
      <w:pPr>
        <w:spacing w:line="480" w:lineRule="auto"/>
        <w:rPr>
          <w:rFonts w:ascii="Times New Roman" w:hAnsi="Times New Roman" w:cs="Times New Roman"/>
          <w:b/>
          <w:bCs/>
        </w:rPr>
      </w:pPr>
      <w:r>
        <w:rPr>
          <w:rFonts w:ascii="Times New Roman" w:hAnsi="Times New Roman" w:cs="Times New Roman"/>
          <w:b/>
          <w:bCs/>
        </w:rPr>
        <w:t>Methods</w:t>
      </w:r>
    </w:p>
    <w:p w14:paraId="11F768A5" w14:textId="2B55AB88" w:rsidR="00991000" w:rsidRDefault="00991000" w:rsidP="00A42D7B">
      <w:pPr>
        <w:spacing w:line="480" w:lineRule="auto"/>
        <w:rPr>
          <w:rFonts w:ascii="Times New Roman" w:hAnsi="Times New Roman" w:cs="Times New Roman"/>
        </w:rPr>
      </w:pPr>
      <w:r>
        <w:rPr>
          <w:rFonts w:ascii="Times New Roman" w:hAnsi="Times New Roman" w:cs="Times New Roman"/>
        </w:rPr>
        <w:lastRenderedPageBreak/>
        <w:tab/>
        <w:t xml:space="preserve">Prey and isotope data </w:t>
      </w:r>
      <w:proofErr w:type="gramStart"/>
      <w:r>
        <w:rPr>
          <w:rFonts w:ascii="Times New Roman" w:hAnsi="Times New Roman" w:cs="Times New Roman"/>
        </w:rPr>
        <w:t>was</w:t>
      </w:r>
      <w:proofErr w:type="gramEnd"/>
      <w:r>
        <w:rPr>
          <w:rFonts w:ascii="Times New Roman" w:hAnsi="Times New Roman" w:cs="Times New Roman"/>
        </w:rPr>
        <w:t xml:space="preserve"> standardized around a mean of 0 and divided by the standard deviation.</w:t>
      </w:r>
    </w:p>
    <w:p w14:paraId="10A24BF0" w14:textId="3D47ED43" w:rsidR="00BA35DB" w:rsidRDefault="00BA35DB" w:rsidP="00A42D7B">
      <w:pPr>
        <w:spacing w:line="480" w:lineRule="auto"/>
        <w:rPr>
          <w:rFonts w:ascii="Times New Roman" w:hAnsi="Times New Roman" w:cs="Times New Roman"/>
        </w:rPr>
      </w:pPr>
    </w:p>
    <w:p w14:paraId="0B65EA3A" w14:textId="143CF381" w:rsidR="00BA35DB" w:rsidRDefault="00BA35DB" w:rsidP="00A42D7B">
      <w:pPr>
        <w:spacing w:line="480" w:lineRule="auto"/>
        <w:rPr>
          <w:rFonts w:ascii="Times New Roman" w:hAnsi="Times New Roman" w:cs="Times New Roman"/>
          <w:i/>
          <w:iCs/>
        </w:rPr>
      </w:pPr>
      <w:r>
        <w:rPr>
          <w:rFonts w:ascii="Times New Roman" w:hAnsi="Times New Roman" w:cs="Times New Roman"/>
          <w:i/>
          <w:iCs/>
        </w:rPr>
        <w:t>Trophic Position Calculation</w:t>
      </w:r>
    </w:p>
    <w:p w14:paraId="01564826" w14:textId="4E90EBC8" w:rsidR="00BA35DB" w:rsidRPr="00EF357D" w:rsidRDefault="00EF357D" w:rsidP="00A42D7B">
      <w:pPr>
        <w:spacing w:line="480" w:lineRule="auto"/>
        <w:rPr>
          <w:rFonts w:ascii="Times New Roman" w:hAnsi="Times New Roman" w:cs="Times New Roman"/>
        </w:rPr>
      </w:pPr>
      <w:r>
        <w:rPr>
          <w:rFonts w:ascii="Times New Roman" w:hAnsi="Times New Roman" w:cs="Times New Roman"/>
        </w:rPr>
        <w:tab/>
        <w:t xml:space="preserve">Bone collagen </w:t>
      </w:r>
      <w:r w:rsidRPr="00EF357D">
        <w:rPr>
          <w:rFonts w:ascii="Times New Roman" w:hAnsi="Times New Roman" w:cs="Times New Roman"/>
        </w:rPr>
        <w:t>was decalcified, acid hydrolyzed, derivatized and analyzed for compound-specific stable isotope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 analysis (CSIA) of 12</w:t>
      </w:r>
      <w:r>
        <w:rPr>
          <w:rFonts w:ascii="Times New Roman" w:hAnsi="Times New Roman" w:cs="Times New Roman"/>
          <w:bCs/>
          <w:color w:val="222222"/>
        </w:rPr>
        <w:t xml:space="preserve"> individual amino acids (</w:t>
      </w:r>
      <w:r>
        <w:rPr>
          <w:rFonts w:ascii="Times New Roman" w:hAnsi="Times New Roman" w:cs="Times New Roman"/>
          <w:bCs/>
          <w:i/>
          <w:iCs/>
          <w:color w:val="222222"/>
        </w:rPr>
        <w:t>SI Appendix 1</w:t>
      </w:r>
      <w:r>
        <w:rPr>
          <w:rFonts w:ascii="Times New Roman" w:hAnsi="Times New Roman" w:cs="Times New Roman"/>
          <w:bCs/>
          <w:color w:val="222222"/>
        </w:rPr>
        <w:t xml:space="preserv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w:t>
      </w:r>
      <w:r>
        <w:rPr>
          <w:rFonts w:ascii="Times New Roman" w:hAnsi="Times New Roman" w:cs="Times New Roman"/>
          <w:bCs/>
          <w:color w:val="222222"/>
        </w:rPr>
        <w:t xml:space="preserve"> was measured as:</w:t>
      </w:r>
    </w:p>
    <w:p w14:paraId="4BE23147" w14:textId="3F894769" w:rsidR="00EF357D" w:rsidRDefault="00EF357D" w:rsidP="00A42D7B">
      <w:pPr>
        <w:spacing w:line="480" w:lineRule="auto"/>
        <w:rPr>
          <w:rFonts w:ascii="Times New Roman" w:hAnsi="Times New Roman" w:cs="Times New Roman"/>
        </w:rPr>
      </w:pPr>
    </w:p>
    <w:p w14:paraId="56CB6AB0" w14:textId="39F5F78F" w:rsidR="00EF357D" w:rsidRPr="00EF357D" w:rsidRDefault="00EF357D" w:rsidP="00A42D7B">
      <w:pPr>
        <w:spacing w:line="480" w:lineRule="auto"/>
        <w:rPr>
          <w:rFonts w:eastAsiaTheme="minorEastAsia"/>
          <w:color w:val="222222"/>
          <w:vertAlign w:val="subscript"/>
        </w:rPr>
      </w:pPr>
      <m:oMathPara>
        <m:oMath>
          <m:r>
            <w:rPr>
              <w:rFonts w:ascii="Cambria Math" w:hAnsi="Cambria Math"/>
              <w:color w:val="222222"/>
            </w:rPr>
            <m:t xml:space="preserve">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10856016" w14:textId="7A6FD039" w:rsidR="00EF357D" w:rsidRDefault="00EF357D" w:rsidP="00A42D7B">
      <w:pPr>
        <w:spacing w:line="480" w:lineRule="auto"/>
        <w:rPr>
          <w:rFonts w:ascii="Times New Roman" w:hAnsi="Times New Roman" w:cs="Times New Roman"/>
        </w:rPr>
      </w:pPr>
      <w:r>
        <w:rPr>
          <w:rFonts w:ascii="Times New Roman" w:hAnsi="Times New Roman" w:cs="Times New Roman"/>
        </w:rPr>
        <w:t xml:space="preserve">Collagen samples were measured in triplicate with a laboratory standard containing a 12 amino acid mixture of known isotopic composition (mean reproducibility </w:t>
      </w:r>
      <w:proofErr w:type="gramStart"/>
      <w:r>
        <w:rPr>
          <w:rFonts w:ascii="Times New Roman" w:hAnsi="Times New Roman" w:cs="Times New Roman"/>
        </w:rPr>
        <w:t>= )</w:t>
      </w:r>
      <w:proofErr w:type="gramEnd"/>
      <w:r>
        <w:rPr>
          <w:rFonts w:ascii="Times New Roman" w:hAnsi="Times New Roman" w:cs="Times New Roman"/>
        </w:rPr>
        <w:t>.</w:t>
      </w:r>
      <w:r w:rsidR="00D13FC2">
        <w:rPr>
          <w:rFonts w:ascii="Times New Roman" w:hAnsi="Times New Roman" w:cs="Times New Roman"/>
        </w:rPr>
        <w:t xml:space="preserve"> Previous controlled feeding studies have determined the trophic discrimination factor (TDF) for harbor seals is substantially lower than the conventional literature value of 7.6</w:t>
      </w:r>
      <w:r w:rsidR="00D13FC2" w:rsidRPr="00D13FC2">
        <w:rPr>
          <w:rFonts w:ascii="Arial" w:eastAsia="Times New Roman" w:hAnsi="Arial" w:cs="Arial"/>
          <w:color w:val="4D5156"/>
          <w:sz w:val="21"/>
          <w:szCs w:val="21"/>
          <w:shd w:val="clear" w:color="auto" w:fill="FFFFFF"/>
        </w:rPr>
        <w:t>‰</w:t>
      </w:r>
      <w:r w:rsidR="00D13FC2">
        <w:rPr>
          <w:rFonts w:ascii="Times New Roman" w:eastAsia="Times New Roman" w:hAnsi="Times New Roman" w:cs="Times New Roman"/>
        </w:rPr>
        <w:t xml:space="preserve"> (Germain et al. 2013) and thus applying a harbor seal specific trophic discrimination factor is more ecologically realistic (McMahon et al. 2015).</w:t>
      </w:r>
      <w:r>
        <w:rPr>
          <w:rFonts w:ascii="Times New Roman" w:hAnsi="Times New Roman" w:cs="Times New Roman"/>
        </w:rPr>
        <w:t xml:space="preserve"> </w:t>
      </w:r>
      <w:r w:rsidR="00D13FC2">
        <w:rPr>
          <w:rFonts w:ascii="Times New Roman" w:hAnsi="Times New Roman" w:cs="Times New Roman"/>
        </w:rPr>
        <w:t>Therefore, t</w:t>
      </w:r>
      <w:r>
        <w:rPr>
          <w:rFonts w:ascii="Times New Roman" w:hAnsi="Times New Roman" w:cs="Times New Roman"/>
        </w:rPr>
        <w:t xml:space="preserve">rophic position was calculated using a harbor seal specific </w:t>
      </w:r>
      <w:r w:rsidR="00D13FC2">
        <w:rPr>
          <w:rFonts w:ascii="Times New Roman" w:hAnsi="Times New Roman" w:cs="Times New Roman"/>
        </w:rPr>
        <w:t xml:space="preserve">TDF, described by McMahon et al. (2015) as a "multi-TDF" approach, using the following equation:  </w:t>
      </w:r>
    </w:p>
    <w:p w14:paraId="0299F13E" w14:textId="4C517AFE" w:rsidR="00D13FC2" w:rsidRPr="00EF357D" w:rsidRDefault="008251B2" w:rsidP="00A42D7B">
      <w:pPr>
        <w:spacing w:line="480" w:lineRule="auto"/>
        <w:rPr>
          <w:rFonts w:eastAsiaTheme="minorEastAsia"/>
          <w:color w:val="222222"/>
          <w:vertAlign w:val="subscript"/>
        </w:rPr>
      </w:pPr>
      <m:oMathPara>
        <m:oMath>
          <m:r>
            <w:rPr>
              <w:rFonts w:ascii="Cambria Math" w:hAnsi="Cambria Math"/>
              <w:color w:val="222222"/>
            </w:rPr>
            <m:t xml:space="preserve">2. </m:t>
          </m:r>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Tr</m:t>
                      </m:r>
                    </m:sub>
                  </m:sSub>
                  <m:r>
                    <m:rPr>
                      <m:sty m:val="p"/>
                    </m:rPr>
                    <w:rPr>
                      <w:rFonts w:ascii="Cambria Math" w:hAnsi="Cambria Math"/>
                      <w:color w:val="222222"/>
                    </w:rPr>
                    <m:t>-</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Phe</m:t>
                      </m:r>
                    </m:sub>
                  </m:sSub>
                  <m:r>
                    <m:rPr>
                      <m:sty m:val="p"/>
                    </m:rPr>
                    <w:rPr>
                      <w:rFonts w:ascii="Cambria Math" w:hAnsi="Cambria Math"/>
                      <w:color w:val="222222"/>
                    </w:rPr>
                    <m:t xml:space="preserve"> -</m:t>
                  </m:r>
                  <m:sSub>
                    <m:sSubPr>
                      <m:ctrlPr>
                        <w:rPr>
                          <w:rFonts w:ascii="Cambria Math" w:hAnsi="Cambria Math"/>
                          <w:bCs/>
                          <w:iCs/>
                          <w:color w:val="222222"/>
                        </w:rPr>
                      </m:ctrlPr>
                    </m:sSubPr>
                    <m:e>
                      <m:r>
                        <m:rPr>
                          <m:sty m:val="p"/>
                        </m:rPr>
                        <w:rPr>
                          <w:rFonts w:ascii="Cambria Math" w:hAnsi="Cambria Math"/>
                          <w:color w:val="222222"/>
                        </w:rPr>
                        <m:t>TDF</m:t>
                      </m:r>
                    </m:e>
                    <m:sub>
                      <m:r>
                        <m:rPr>
                          <m:sty m:val="p"/>
                        </m:rPr>
                        <w:rPr>
                          <w:rFonts w:ascii="Cambria Math" w:hAnsi="Cambria Math"/>
                          <w:color w:val="222222"/>
                        </w:rPr>
                        <m:t>(Tr-Phe) plankton</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β</m:t>
                      </m:r>
                    </m:e>
                    <m:sub>
                      <m:r>
                        <m:rPr>
                          <m:sty m:val="p"/>
                        </m:rPr>
                        <w:rPr>
                          <w:rFonts w:ascii="Cambria Math" w:hAnsi="Cambria Math"/>
                          <w:color w:val="222222"/>
                        </w:rPr>
                        <m:t>Tr</m:t>
                      </m:r>
                    </m:sub>
                  </m:sSub>
                </m:num>
                <m:den>
                  <m:sSub>
                    <m:sSubPr>
                      <m:ctrlPr>
                        <w:rPr>
                          <w:rFonts w:ascii="Cambria Math" w:hAnsi="Cambria Math"/>
                          <w:bCs/>
                          <w:iCs/>
                          <w:color w:val="222222"/>
                          <w:vertAlign w:val="subscript"/>
                        </w:rPr>
                      </m:ctrlPr>
                    </m:sSubPr>
                    <m:e>
                      <m:r>
                        <m:rPr>
                          <m:sty m:val="p"/>
                        </m:rPr>
                        <w:rPr>
                          <w:rFonts w:ascii="Cambria Math" w:hAnsi="Cambria Math"/>
                          <w:color w:val="222222"/>
                          <w:vertAlign w:val="subscript"/>
                        </w:rPr>
                        <m:t>TDF</m:t>
                      </m:r>
                    </m:e>
                    <m:sub>
                      <m:r>
                        <m:rPr>
                          <m:sty m:val="p"/>
                        </m:rPr>
                        <w:rPr>
                          <w:rFonts w:ascii="Cambria Math" w:hAnsi="Cambria Math"/>
                          <w:color w:val="222222"/>
                          <w:vertAlign w:val="subscript"/>
                        </w:rPr>
                        <m:t>(Tr-Phe) harbor seal</m:t>
                      </m:r>
                    </m:sub>
                  </m:sSub>
                </m:den>
              </m:f>
            </m:e>
          </m:d>
          <m:r>
            <w:rPr>
              <w:rFonts w:ascii="Cambria Math" w:hAnsi="Cambria Math"/>
              <w:color w:val="222222"/>
              <w:vertAlign w:val="subscript"/>
            </w:rPr>
            <m:t>+2</m:t>
          </m:r>
        </m:oMath>
      </m:oMathPara>
    </w:p>
    <w:p w14:paraId="2E941943" w14:textId="0A3E65AA" w:rsidR="00D13FC2" w:rsidRDefault="008251B2" w:rsidP="00A42D7B">
      <w:pPr>
        <w:spacing w:line="480" w:lineRule="auto"/>
        <w:rPr>
          <w:rFonts w:ascii="Times New Roman" w:eastAsia="Times New Roman" w:hAnsi="Times New Roman" w:cs="Times New Roman"/>
        </w:rPr>
      </w:pPr>
      <w:r>
        <w:rPr>
          <w:rFonts w:ascii="Times New Roman" w:eastAsia="Times New Roman" w:hAnsi="Times New Roman" w:cs="Times New Roman"/>
        </w:rPr>
        <w:t>where TDF</w:t>
      </w:r>
      <w:r>
        <w:rPr>
          <w:rFonts w:ascii="Times New Roman" w:eastAsia="Times New Roman" w:hAnsi="Times New Roman" w:cs="Times New Roman"/>
          <w:vertAlign w:val="subscript"/>
        </w:rPr>
        <w:t>(Tr-</w:t>
      </w:r>
      <w:proofErr w:type="spellStart"/>
      <w:r>
        <w:rPr>
          <w:rFonts w:ascii="Times New Roman" w:eastAsia="Times New Roman" w:hAnsi="Times New Roman" w:cs="Times New Roman"/>
          <w:vertAlign w:val="subscript"/>
        </w:rPr>
        <w:t>Phe</w:t>
      </w:r>
      <w:proofErr w:type="spellEnd"/>
      <w:r>
        <w:rPr>
          <w:rFonts w:ascii="Times New Roman" w:eastAsia="Times New Roman" w:hAnsi="Times New Roman" w:cs="Times New Roman"/>
          <w:vertAlign w:val="subscript"/>
        </w:rPr>
        <w:t xml:space="preserve">) </w:t>
      </w:r>
      <w:proofErr w:type="gramStart"/>
      <w:r w:rsidRPr="008251B2">
        <w:rPr>
          <w:rFonts w:ascii="Times New Roman" w:eastAsia="Times New Roman" w:hAnsi="Times New Roman" w:cs="Times New Roman"/>
          <w:vertAlign w:val="subscript"/>
        </w:rPr>
        <w:t xml:space="preserve">plankton </w:t>
      </w:r>
      <w:r>
        <w:rPr>
          <w:rFonts w:ascii="Times New Roman" w:eastAsia="Times New Roman" w:hAnsi="Times New Roman" w:cs="Times New Roman"/>
          <w:vertAlign w:val="subscript"/>
        </w:rPr>
        <w:t xml:space="preserve"> </w:t>
      </w:r>
      <w:r>
        <w:rPr>
          <w:rFonts w:ascii="Times New Roman" w:eastAsia="Times New Roman" w:hAnsi="Times New Roman" w:cs="Times New Roman"/>
        </w:rPr>
        <w:t>is</w:t>
      </w:r>
      <w:proofErr w:type="gramEnd"/>
      <w:r>
        <w:rPr>
          <w:rFonts w:ascii="Times New Roman" w:eastAsia="Times New Roman" w:hAnsi="Times New Roman" w:cs="Times New Roman"/>
        </w:rPr>
        <w:t xml:space="preserve"> the </w:t>
      </w:r>
      <w:r w:rsidR="000757A4">
        <w:rPr>
          <w:rFonts w:ascii="Times New Roman" w:eastAsia="Times New Roman" w:hAnsi="Times New Roman" w:cs="Times New Roman"/>
        </w:rPr>
        <w:t>difference between</w:t>
      </w:r>
      <w:r>
        <w:rPr>
          <w:rFonts w:ascii="Times New Roman" w:eastAsia="Times New Roman" w:hAnsi="Times New Roman" w:cs="Times New Roman"/>
        </w:rPr>
        <w:t xml:space="preserve"> given trophic amino acid - phenylalanine pair of typical phytoplankton and lower food web species</w:t>
      </w:r>
      <w:r w:rsidR="000757A4">
        <w:rPr>
          <w:rFonts w:ascii="Times New Roman" w:eastAsia="Times New Roman" w:hAnsi="Times New Roman" w:cs="Times New Roman"/>
        </w:rPr>
        <w:t xml:space="preserve">, specific for cyanobacteria and algae </w:t>
      </w:r>
      <w:r>
        <w:rPr>
          <w:rFonts w:ascii="Times New Roman" w:eastAsia="Times New Roman" w:hAnsi="Times New Roman" w:cs="Times New Roman"/>
        </w:rPr>
        <w:t xml:space="preserve"> (Table 1, </w:t>
      </w:r>
      <w:proofErr w:type="spellStart"/>
      <w:r>
        <w:rPr>
          <w:rFonts w:ascii="Times New Roman" w:eastAsia="Times New Roman" w:hAnsi="Times New Roman" w:cs="Times New Roman"/>
        </w:rPr>
        <w:t>Chikaraishi</w:t>
      </w:r>
      <w:proofErr w:type="spellEnd"/>
      <w:r>
        <w:rPr>
          <w:rFonts w:ascii="Times New Roman" w:eastAsia="Times New Roman" w:hAnsi="Times New Roman" w:cs="Times New Roman"/>
        </w:rPr>
        <w:t xml:space="preserve"> et al 20</w:t>
      </w:r>
      <w:r w:rsidR="000757A4">
        <w:rPr>
          <w:rFonts w:ascii="Times New Roman" w:eastAsia="Times New Roman" w:hAnsi="Times New Roman" w:cs="Times New Roman"/>
        </w:rPr>
        <w:t>10</w:t>
      </w:r>
      <w:r>
        <w:rPr>
          <w:rFonts w:ascii="Times New Roman" w:eastAsia="Times New Roman" w:hAnsi="Times New Roman" w:cs="Times New Roman"/>
        </w:rPr>
        <w:t xml:space="preserve">). </w:t>
      </w:r>
      <w:r w:rsidRPr="008251B2">
        <w:rPr>
          <w:rFonts w:ascii="Times New Roman" w:eastAsia="Times New Roman" w:hAnsi="Times New Roman" w:cs="Times New Roman"/>
        </w:rPr>
        <w:t>TDF</w:t>
      </w:r>
      <w:r>
        <w:rPr>
          <w:rFonts w:ascii="Times New Roman" w:eastAsia="Times New Roman" w:hAnsi="Times New Roman" w:cs="Times New Roman"/>
          <w:vertAlign w:val="subscript"/>
        </w:rPr>
        <w:t>(Tr-</w:t>
      </w:r>
      <w:proofErr w:type="spellStart"/>
      <w:r>
        <w:rPr>
          <w:rFonts w:ascii="Times New Roman" w:eastAsia="Times New Roman" w:hAnsi="Times New Roman" w:cs="Times New Roman"/>
          <w:vertAlign w:val="subscript"/>
        </w:rPr>
        <w:t>Phe</w:t>
      </w:r>
      <w:proofErr w:type="spellEnd"/>
      <w:r>
        <w:rPr>
          <w:rFonts w:ascii="Times New Roman" w:eastAsia="Times New Roman" w:hAnsi="Times New Roman" w:cs="Times New Roman"/>
          <w:vertAlign w:val="subscript"/>
        </w:rPr>
        <w:t>) harbor seal</w:t>
      </w:r>
      <w:r>
        <w:rPr>
          <w:rFonts w:ascii="Times New Roman" w:eastAsia="Times New Roman" w:hAnsi="Times New Roman" w:cs="Times New Roman"/>
        </w:rPr>
        <w:t xml:space="preserve"> represents the harbor seal specific TDF for a  given trophic amino acid - phenylalanine pair calculated from Germain et al (2003) controlled </w:t>
      </w:r>
      <w:r>
        <w:rPr>
          <w:rFonts w:ascii="Times New Roman" w:eastAsia="Times New Roman" w:hAnsi="Times New Roman" w:cs="Times New Roman"/>
        </w:rPr>
        <w:lastRenderedPageBreak/>
        <w:t>feeding study data (Table 1)</w:t>
      </w:r>
      <w:r w:rsidR="00045C2F">
        <w:rPr>
          <w:rFonts w:ascii="Times New Roman" w:eastAsia="Times New Roman" w:hAnsi="Times New Roman" w:cs="Times New Roman"/>
        </w:rPr>
        <w:t xml:space="preserve"> and </w:t>
      </w:r>
      <w:r w:rsidR="00045C2F">
        <w:rPr>
          <w:rFonts w:ascii="Times New Roman" w:eastAsia="Times New Roman" w:hAnsi="Times New Roman" w:cs="Times New Roman"/>
        </w:rPr>
        <w:sym w:font="Symbol" w:char="F062"/>
      </w:r>
      <w:r w:rsidR="00045C2F">
        <w:rPr>
          <w:rFonts w:ascii="Times New Roman" w:eastAsia="Times New Roman" w:hAnsi="Times New Roman" w:cs="Times New Roman"/>
          <w:vertAlign w:val="subscript"/>
        </w:rPr>
        <w:t>Tr</w:t>
      </w:r>
      <w:r w:rsidR="00045C2F">
        <w:rPr>
          <w:rFonts w:ascii="Times New Roman" w:eastAsia="Times New Roman" w:hAnsi="Times New Roman" w:cs="Times New Roman"/>
        </w:rPr>
        <w:t xml:space="preserve"> is the </w:t>
      </w:r>
      <w:r w:rsidR="00045C2F" w:rsidRPr="00EF357D">
        <w:rPr>
          <w:rFonts w:ascii="Times New Roman" w:hAnsi="Times New Roman" w:cs="Times New Roman"/>
          <w:bCs/>
          <w:iCs/>
          <w:color w:val="222222"/>
        </w:rPr>
        <w:t>δ</w:t>
      </w:r>
      <w:r w:rsidR="00045C2F" w:rsidRPr="00EF357D">
        <w:rPr>
          <w:rFonts w:ascii="Times New Roman" w:hAnsi="Times New Roman" w:cs="Times New Roman"/>
          <w:bCs/>
          <w:color w:val="222222"/>
          <w:vertAlign w:val="superscript"/>
        </w:rPr>
        <w:t>15</w:t>
      </w:r>
      <w:r w:rsidR="00045C2F" w:rsidRPr="00EF357D">
        <w:rPr>
          <w:rFonts w:ascii="Times New Roman" w:hAnsi="Times New Roman" w:cs="Times New Roman"/>
          <w:bCs/>
          <w:color w:val="222222"/>
        </w:rPr>
        <w:t>N</w:t>
      </w:r>
      <w:r w:rsidR="00045C2F">
        <w:rPr>
          <w:rFonts w:ascii="Times New Roman" w:eastAsia="Times New Roman" w:hAnsi="Times New Roman" w:cs="Times New Roman"/>
        </w:rPr>
        <w:t xml:space="preserve"> difference between a specific trophic amino acid and phenylalanine of primary producers estimated by Nielsen et al. (2015)</w:t>
      </w:r>
      <w:r>
        <w:rPr>
          <w:rFonts w:ascii="Times New Roman" w:eastAsia="Times New Roman" w:hAnsi="Times New Roman" w:cs="Times New Roman"/>
        </w:rPr>
        <w:t xml:space="preserve">. </w:t>
      </w:r>
    </w:p>
    <w:p w14:paraId="5E9926B0" w14:textId="346E0528" w:rsidR="003B34D4" w:rsidRDefault="003B34D4" w:rsidP="00A42D7B">
      <w:pPr>
        <w:spacing w:line="480" w:lineRule="auto"/>
        <w:rPr>
          <w:rFonts w:ascii="Times New Roman" w:eastAsia="Times New Roman" w:hAnsi="Times New Roman" w:cs="Times New Roman"/>
        </w:rPr>
      </w:pPr>
    </w:p>
    <w:p w14:paraId="7BC8937D" w14:textId="255FEB85" w:rsidR="003B34D4" w:rsidRDefault="003B34D4" w:rsidP="00A42D7B">
      <w:pPr>
        <w:spacing w:line="480" w:lineRule="auto"/>
        <w:rPr>
          <w:rFonts w:ascii="Times New Roman" w:eastAsia="Times New Roman" w:hAnsi="Times New Roman" w:cs="Times New Roman"/>
        </w:rPr>
      </w:pPr>
      <w:r>
        <w:rPr>
          <w:rFonts w:ascii="Times New Roman" w:eastAsia="Times New Roman" w:hAnsi="Times New Roman" w:cs="Times New Roman"/>
        </w:rPr>
        <w:t>Table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983481" w14:paraId="5D9B57A6" w14:textId="77777777" w:rsidTr="004F1C07">
        <w:tc>
          <w:tcPr>
            <w:tcW w:w="2337" w:type="dxa"/>
            <w:tcBorders>
              <w:top w:val="single" w:sz="12" w:space="0" w:color="auto"/>
              <w:bottom w:val="single" w:sz="18" w:space="0" w:color="auto"/>
            </w:tcBorders>
          </w:tcPr>
          <w:p w14:paraId="0098AF6A" w14:textId="68DEAC65"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2337" w:type="dxa"/>
            <w:tcBorders>
              <w:top w:val="single" w:sz="12" w:space="0" w:color="auto"/>
              <w:bottom w:val="single" w:sz="18" w:space="0" w:color="auto"/>
            </w:tcBorders>
          </w:tcPr>
          <w:p w14:paraId="7C8E2725" w14:textId="2135E009"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sym w:font="Symbol" w:char="F062"/>
            </w:r>
          </w:p>
        </w:tc>
        <w:tc>
          <w:tcPr>
            <w:tcW w:w="2338" w:type="dxa"/>
            <w:tcBorders>
              <w:top w:val="single" w:sz="12" w:space="0" w:color="auto"/>
              <w:bottom w:val="single" w:sz="18" w:space="0" w:color="auto"/>
            </w:tcBorders>
          </w:tcPr>
          <w:p w14:paraId="7480B063" w14:textId="2890761B" w:rsidR="00983481" w:rsidRPr="00983481" w:rsidRDefault="00983481" w:rsidP="00A42D7B">
            <w:pPr>
              <w:spacing w:line="480" w:lineRule="auto"/>
              <w:ind w:firstLine="720"/>
              <w:jc w:val="center"/>
              <w:rPr>
                <w:rFonts w:ascii="Times New Roman" w:eastAsia="Times New Roman" w:hAnsi="Times New Roman" w:cs="Times New Roman"/>
                <w:vertAlign w:val="subscript"/>
              </w:rPr>
            </w:pPr>
            <w:r>
              <w:rPr>
                <w:rFonts w:ascii="Times New Roman" w:eastAsia="Times New Roman" w:hAnsi="Times New Roman" w:cs="Times New Roman"/>
              </w:rPr>
              <w:t xml:space="preserve">TDF </w:t>
            </w:r>
            <w:r>
              <w:rPr>
                <w:rFonts w:ascii="Times New Roman" w:eastAsia="Times New Roman" w:hAnsi="Times New Roman" w:cs="Times New Roman"/>
                <w:vertAlign w:val="subscript"/>
              </w:rPr>
              <w:t>harbor seal</w:t>
            </w:r>
          </w:p>
        </w:tc>
        <w:tc>
          <w:tcPr>
            <w:tcW w:w="2338" w:type="dxa"/>
            <w:tcBorders>
              <w:top w:val="single" w:sz="12" w:space="0" w:color="auto"/>
              <w:bottom w:val="single" w:sz="18" w:space="0" w:color="auto"/>
            </w:tcBorders>
          </w:tcPr>
          <w:p w14:paraId="07FBAFFE" w14:textId="0F3CB88D" w:rsidR="00983481" w:rsidRPr="00983481" w:rsidRDefault="00983481" w:rsidP="00A42D7B">
            <w:pPr>
              <w:spacing w:line="480" w:lineRule="auto"/>
              <w:jc w:val="center"/>
              <w:rPr>
                <w:rFonts w:ascii="Times New Roman" w:eastAsia="Times New Roman" w:hAnsi="Times New Roman" w:cs="Times New Roman"/>
                <w:vertAlign w:val="subscript"/>
              </w:rPr>
            </w:pPr>
            <w:r>
              <w:rPr>
                <w:rFonts w:ascii="Times New Roman" w:eastAsia="Times New Roman" w:hAnsi="Times New Roman" w:cs="Times New Roman"/>
              </w:rPr>
              <w:t>TDF</w:t>
            </w:r>
            <w:r>
              <w:rPr>
                <w:rFonts w:ascii="Times New Roman" w:eastAsia="Times New Roman" w:hAnsi="Times New Roman" w:cs="Times New Roman"/>
                <w:vertAlign w:val="subscript"/>
              </w:rPr>
              <w:t xml:space="preserve"> plankton</w:t>
            </w:r>
          </w:p>
        </w:tc>
      </w:tr>
      <w:tr w:rsidR="00983481" w14:paraId="352B67A2" w14:textId="77777777" w:rsidTr="003B34D4">
        <w:tc>
          <w:tcPr>
            <w:tcW w:w="2337" w:type="dxa"/>
            <w:tcBorders>
              <w:top w:val="single" w:sz="18" w:space="0" w:color="auto"/>
            </w:tcBorders>
          </w:tcPr>
          <w:p w14:paraId="2B7E53DF" w14:textId="1BE437CD"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2337" w:type="dxa"/>
            <w:tcBorders>
              <w:top w:val="single" w:sz="18" w:space="0" w:color="auto"/>
            </w:tcBorders>
          </w:tcPr>
          <w:p w14:paraId="28646050" w14:textId="01CF07ED"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2338" w:type="dxa"/>
            <w:tcBorders>
              <w:top w:val="single" w:sz="18" w:space="0" w:color="auto"/>
            </w:tcBorders>
          </w:tcPr>
          <w:p w14:paraId="2DCFAFC9" w14:textId="1E2CE37B" w:rsidR="00983481" w:rsidRDefault="000757A4"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3.4</w:t>
            </w:r>
          </w:p>
        </w:tc>
        <w:tc>
          <w:tcPr>
            <w:tcW w:w="2338" w:type="dxa"/>
            <w:tcBorders>
              <w:top w:val="single" w:sz="18" w:space="0" w:color="auto"/>
            </w:tcBorders>
          </w:tcPr>
          <w:p w14:paraId="139779E1" w14:textId="4CED0231"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3.4</w:t>
            </w:r>
          </w:p>
        </w:tc>
      </w:tr>
      <w:tr w:rsidR="00983481" w14:paraId="4D1A4BCF" w14:textId="77777777" w:rsidTr="003B34D4">
        <w:tc>
          <w:tcPr>
            <w:tcW w:w="2337" w:type="dxa"/>
          </w:tcPr>
          <w:p w14:paraId="5D3382D9" w14:textId="72E17D00"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Alanine (Ala)</w:t>
            </w:r>
          </w:p>
        </w:tc>
        <w:tc>
          <w:tcPr>
            <w:tcW w:w="2337" w:type="dxa"/>
          </w:tcPr>
          <w:p w14:paraId="1C2FA63C" w14:textId="77E64D7D"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2.8</w:t>
            </w:r>
          </w:p>
        </w:tc>
        <w:tc>
          <w:tcPr>
            <w:tcW w:w="2338" w:type="dxa"/>
          </w:tcPr>
          <w:p w14:paraId="6B0918BF" w14:textId="2707304E"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2.5</w:t>
            </w:r>
          </w:p>
        </w:tc>
        <w:tc>
          <w:tcPr>
            <w:tcW w:w="2338" w:type="dxa"/>
          </w:tcPr>
          <w:p w14:paraId="57074621" w14:textId="0951A8C9"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3.2</w:t>
            </w:r>
          </w:p>
        </w:tc>
      </w:tr>
      <w:tr w:rsidR="00983481" w14:paraId="0311E7D2" w14:textId="77777777" w:rsidTr="003B34D4">
        <w:tc>
          <w:tcPr>
            <w:tcW w:w="2337" w:type="dxa"/>
          </w:tcPr>
          <w:p w14:paraId="04DB2CA7" w14:textId="20192EC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Proline (Pro)</w:t>
            </w:r>
          </w:p>
        </w:tc>
        <w:tc>
          <w:tcPr>
            <w:tcW w:w="2337" w:type="dxa"/>
          </w:tcPr>
          <w:p w14:paraId="674CBE16" w14:textId="18822CC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2.7</w:t>
            </w:r>
          </w:p>
        </w:tc>
        <w:tc>
          <w:tcPr>
            <w:tcW w:w="2338" w:type="dxa"/>
          </w:tcPr>
          <w:p w14:paraId="06252D69" w14:textId="6097FA3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5.5</w:t>
            </w:r>
          </w:p>
        </w:tc>
        <w:tc>
          <w:tcPr>
            <w:tcW w:w="2338" w:type="dxa"/>
          </w:tcPr>
          <w:p w14:paraId="5B4BB955" w14:textId="4CA17530"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3.1</w:t>
            </w:r>
          </w:p>
        </w:tc>
      </w:tr>
      <w:tr w:rsidR="00983481" w14:paraId="41BDB833" w14:textId="77777777" w:rsidTr="003B34D4">
        <w:tc>
          <w:tcPr>
            <w:tcW w:w="2337" w:type="dxa"/>
          </w:tcPr>
          <w:p w14:paraId="60F71304" w14:textId="36429F71"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2337" w:type="dxa"/>
          </w:tcPr>
          <w:p w14:paraId="01A17559" w14:textId="5A06A2B5"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1.8</w:t>
            </w:r>
          </w:p>
        </w:tc>
        <w:tc>
          <w:tcPr>
            <w:tcW w:w="2338" w:type="dxa"/>
          </w:tcPr>
          <w:p w14:paraId="2A1F893C" w14:textId="58D3343F"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3.5</w:t>
            </w:r>
          </w:p>
        </w:tc>
        <w:tc>
          <w:tcPr>
            <w:tcW w:w="2338" w:type="dxa"/>
          </w:tcPr>
          <w:p w14:paraId="16E09B97" w14:textId="1D2BAB85"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5.4</w:t>
            </w:r>
          </w:p>
        </w:tc>
      </w:tr>
      <w:tr w:rsidR="00983481" w14:paraId="1B8D681D" w14:textId="77777777" w:rsidTr="003B34D4">
        <w:tc>
          <w:tcPr>
            <w:tcW w:w="2337" w:type="dxa"/>
            <w:tcBorders>
              <w:bottom w:val="single" w:sz="12" w:space="0" w:color="auto"/>
            </w:tcBorders>
          </w:tcPr>
          <w:p w14:paraId="26505189" w14:textId="2EBC9DE4"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Valine (Val)</w:t>
            </w:r>
          </w:p>
        </w:tc>
        <w:tc>
          <w:tcPr>
            <w:tcW w:w="2337" w:type="dxa"/>
            <w:tcBorders>
              <w:bottom w:val="single" w:sz="12" w:space="0" w:color="auto"/>
            </w:tcBorders>
          </w:tcPr>
          <w:p w14:paraId="7254BE32" w14:textId="7BFBF9D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3.4</w:t>
            </w:r>
          </w:p>
        </w:tc>
        <w:tc>
          <w:tcPr>
            <w:tcW w:w="2338" w:type="dxa"/>
            <w:tcBorders>
              <w:bottom w:val="single" w:sz="12" w:space="0" w:color="auto"/>
            </w:tcBorders>
          </w:tcPr>
          <w:p w14:paraId="381184AB" w14:textId="5B503E90"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7.5</w:t>
            </w:r>
          </w:p>
        </w:tc>
        <w:tc>
          <w:tcPr>
            <w:tcW w:w="2338" w:type="dxa"/>
            <w:tcBorders>
              <w:bottom w:val="single" w:sz="12" w:space="0" w:color="auto"/>
            </w:tcBorders>
          </w:tcPr>
          <w:p w14:paraId="131B5B62" w14:textId="7F6F3E7B"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4.6</w:t>
            </w:r>
          </w:p>
        </w:tc>
      </w:tr>
    </w:tbl>
    <w:p w14:paraId="39B2170B" w14:textId="0B8B488A" w:rsidR="00983481" w:rsidRDefault="00983481" w:rsidP="00A42D7B">
      <w:pPr>
        <w:spacing w:line="480" w:lineRule="auto"/>
        <w:jc w:val="center"/>
        <w:rPr>
          <w:rFonts w:ascii="Times New Roman" w:eastAsia="Times New Roman" w:hAnsi="Times New Roman" w:cs="Times New Roman"/>
        </w:rPr>
      </w:pPr>
    </w:p>
    <w:p w14:paraId="0910E19F" w14:textId="77777777" w:rsidR="00C15426" w:rsidRDefault="00C15426" w:rsidP="00A42D7B">
      <w:pPr>
        <w:spacing w:line="48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No change through time indicates harbor seal foraging strategies able to compensate for dramatic changes in resources without altering foraging niche</w:t>
      </w:r>
    </w:p>
    <w:p w14:paraId="67AC4223"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-Dynamics that operate on more trophic level/community wide scales that may alter multiple species at the same time are a better predictor of harbor seal foraging abundance than individual prey species</w:t>
      </w:r>
    </w:p>
    <w:p w14:paraId="56722D7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-forward selection is bias towards type II error, but for the sake of this exercise we believe it is justified. </w:t>
      </w:r>
    </w:p>
    <w:p w14:paraId="754694D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-Food web results represent a prey species that is both abundant in harbor seal diet and has experienced large scale changes in the system</w:t>
      </w:r>
    </w:p>
    <w:p w14:paraId="2FC8731E"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-Sex does not appear to influence trophic position. While coastal harbor seals may exhibit different </w:t>
      </w:r>
      <w:proofErr w:type="gramStart"/>
      <w:r>
        <w:rPr>
          <w:rFonts w:ascii="Times New Roman" w:hAnsi="Times New Roman" w:cs="Times New Roman"/>
        </w:rPr>
        <w:t>foraging</w:t>
      </w:r>
      <w:proofErr w:type="gramEnd"/>
      <w:r>
        <w:rPr>
          <w:rFonts w:ascii="Times New Roman" w:hAnsi="Times New Roman" w:cs="Times New Roman"/>
        </w:rPr>
        <w:t xml:space="preserve"> strategies based on sex. This is contradictory to previous studies. Weight may </w:t>
      </w:r>
      <w:r>
        <w:rPr>
          <w:rFonts w:ascii="Times New Roman" w:hAnsi="Times New Roman" w:cs="Times New Roman"/>
        </w:rPr>
        <w:lastRenderedPageBreak/>
        <w:t xml:space="preserve">be a better predictor than length but given the nature of this data was not possible to analyze. Or previous studies may have identified a more local phenomenon. </w:t>
      </w:r>
    </w:p>
    <w:p w14:paraId="37F5012B" w14:textId="25737D10" w:rsidR="00C15426" w:rsidRDefault="00C15426" w:rsidP="00A42D7B">
      <w:pPr>
        <w:spacing w:line="480" w:lineRule="auto"/>
        <w:rPr>
          <w:rFonts w:ascii="Times New Roman" w:hAnsi="Times New Roman" w:cs="Times New Roman"/>
        </w:rPr>
      </w:pPr>
      <w:r>
        <w:rPr>
          <w:rFonts w:ascii="Times New Roman" w:hAnsi="Times New Roman" w:cs="Times New Roman"/>
        </w:rPr>
        <w:t xml:space="preserve">-Location is important, and variability may be the most important component of </w:t>
      </w:r>
    </w:p>
    <w:p w14:paraId="5A918E5A" w14:textId="1D0EEDBC" w:rsidR="00A42D7B" w:rsidRDefault="00A42D7B" w:rsidP="00C15426">
      <w:pPr>
        <w:rPr>
          <w:rFonts w:ascii="Times New Roman" w:hAnsi="Times New Roman" w:cs="Times New Roman"/>
        </w:rPr>
      </w:pPr>
    </w:p>
    <w:p w14:paraId="3DA86A28" w14:textId="77777777" w:rsidR="00A42D7B" w:rsidRDefault="00A42D7B" w:rsidP="00C15426">
      <w:pPr>
        <w:rPr>
          <w:rFonts w:ascii="Times New Roman" w:hAnsi="Times New Roman" w:cs="Times New Roman"/>
        </w:rPr>
        <w:sectPr w:rsidR="00A42D7B" w:rsidSect="00A42D7B">
          <w:pgSz w:w="12240" w:h="15840"/>
          <w:pgMar w:top="1440" w:right="1440" w:bottom="1440" w:left="1440" w:header="720" w:footer="720" w:gutter="0"/>
          <w:lnNumType w:countBy="1" w:restart="continuous"/>
          <w:cols w:space="720"/>
          <w:docGrid w:linePitch="360"/>
        </w:sectPr>
      </w:pPr>
    </w:p>
    <w:p w14:paraId="60C3135F" w14:textId="33F6716F" w:rsidR="00A42D7B" w:rsidRPr="00A42D7B" w:rsidRDefault="00A42D7B" w:rsidP="00C15426">
      <w:pPr>
        <w:rPr>
          <w:rFonts w:ascii="Times New Roman" w:hAnsi="Times New Roman" w:cs="Times New Roman"/>
        </w:rPr>
      </w:pPr>
      <w:proofErr w:type="gramStart"/>
      <w:r>
        <w:rPr>
          <w:rFonts w:ascii="Times New Roman" w:hAnsi="Times New Roman" w:cs="Times New Roman"/>
          <w:b/>
          <w:bCs/>
        </w:rPr>
        <w:lastRenderedPageBreak/>
        <w:t>Figure :</w:t>
      </w:r>
      <w:proofErr w:type="gramEnd"/>
      <w:r>
        <w:rPr>
          <w:rFonts w:ascii="Times New Roman" w:hAnsi="Times New Roman" w:cs="Times New Roman"/>
          <w:b/>
          <w:bCs/>
        </w:rPr>
        <w:t xml:space="preserve"> </w:t>
      </w:r>
      <w:r>
        <w:rPr>
          <w:rFonts w:ascii="Times New Roman" w:hAnsi="Times New Roman" w:cs="Times New Roman"/>
        </w:rPr>
        <w:t>Trophic position calculated by glutamic acid-phenylalanine.</w:t>
      </w:r>
    </w:p>
    <w:p w14:paraId="155DD7BA" w14:textId="4C29AD39" w:rsidR="006A76C3" w:rsidRDefault="006A76C3" w:rsidP="00C15426">
      <w:pPr>
        <w:rPr>
          <w:rFonts w:ascii="Times New Roman" w:hAnsi="Times New Roman" w:cs="Times New Roman"/>
        </w:rPr>
      </w:pPr>
    </w:p>
    <w:p w14:paraId="796A9631" w14:textId="285FF6A9" w:rsidR="00C15426" w:rsidRPr="008251B2" w:rsidRDefault="00A42D7B" w:rsidP="003B34D4">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4868372" wp14:editId="45083EAF">
            <wp:extent cx="8229600" cy="4702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efPlot.Glu.pdf"/>
                    <pic:cNvPicPr/>
                  </pic:nvPicPr>
                  <pic:blipFill>
                    <a:blip r:embed="rId4">
                      <a:extLst>
                        <a:ext uri="{28A0092B-C50C-407E-A947-70E740481C1C}">
                          <a14:useLocalDpi xmlns:a14="http://schemas.microsoft.com/office/drawing/2010/main" val="0"/>
                        </a:ext>
                      </a:extLst>
                    </a:blip>
                    <a:stretch>
                      <a:fillRect/>
                    </a:stretch>
                  </pic:blipFill>
                  <pic:spPr>
                    <a:xfrm>
                      <a:off x="0" y="0"/>
                      <a:ext cx="8229600" cy="4702810"/>
                    </a:xfrm>
                    <a:prstGeom prst="rect">
                      <a:avLst/>
                    </a:prstGeom>
                  </pic:spPr>
                </pic:pic>
              </a:graphicData>
            </a:graphic>
          </wp:inline>
        </w:drawing>
      </w:r>
    </w:p>
    <w:sectPr w:rsidR="00C15426" w:rsidRPr="008251B2" w:rsidSect="00A42D7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1"/>
    <w:rsid w:val="00045C2F"/>
    <w:rsid w:val="000546F9"/>
    <w:rsid w:val="000757A4"/>
    <w:rsid w:val="00384249"/>
    <w:rsid w:val="003B34D4"/>
    <w:rsid w:val="003C7F54"/>
    <w:rsid w:val="004A08DA"/>
    <w:rsid w:val="004F1C07"/>
    <w:rsid w:val="00503155"/>
    <w:rsid w:val="0059338E"/>
    <w:rsid w:val="005C632E"/>
    <w:rsid w:val="006A76C3"/>
    <w:rsid w:val="007E7E0A"/>
    <w:rsid w:val="008251B2"/>
    <w:rsid w:val="00983481"/>
    <w:rsid w:val="00991000"/>
    <w:rsid w:val="00A42D7B"/>
    <w:rsid w:val="00B134D7"/>
    <w:rsid w:val="00BA35DB"/>
    <w:rsid w:val="00BC1B30"/>
    <w:rsid w:val="00C15426"/>
    <w:rsid w:val="00C22E48"/>
    <w:rsid w:val="00CB6BB1"/>
    <w:rsid w:val="00D13FC2"/>
    <w:rsid w:val="00EF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BF60B"/>
  <w15:chartTrackingRefBased/>
  <w15:docId w15:val="{78A3A4CE-B5A4-6649-A773-4D6FFAB3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6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6F9"/>
    <w:rPr>
      <w:rFonts w:ascii="Times New Roman" w:hAnsi="Times New Roman" w:cs="Times New Roman"/>
      <w:sz w:val="18"/>
      <w:szCs w:val="18"/>
    </w:rPr>
  </w:style>
  <w:style w:type="table" w:styleId="TableGrid">
    <w:name w:val="Table Grid"/>
    <w:basedOn w:val="TableNormal"/>
    <w:uiPriority w:val="39"/>
    <w:rsid w:val="0098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42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81128">
      <w:bodyDiv w:val="1"/>
      <w:marLeft w:val="0"/>
      <w:marRight w:val="0"/>
      <w:marTop w:val="0"/>
      <w:marBottom w:val="0"/>
      <w:divBdr>
        <w:top w:val="none" w:sz="0" w:space="0" w:color="auto"/>
        <w:left w:val="none" w:sz="0" w:space="0" w:color="auto"/>
        <w:bottom w:val="none" w:sz="0" w:space="0" w:color="auto"/>
        <w:right w:val="none" w:sz="0" w:space="0" w:color="auto"/>
      </w:divBdr>
    </w:div>
    <w:div w:id="1471289408">
      <w:bodyDiv w:val="1"/>
      <w:marLeft w:val="0"/>
      <w:marRight w:val="0"/>
      <w:marTop w:val="0"/>
      <w:marBottom w:val="0"/>
      <w:divBdr>
        <w:top w:val="none" w:sz="0" w:space="0" w:color="auto"/>
        <w:left w:val="none" w:sz="0" w:space="0" w:color="auto"/>
        <w:bottom w:val="none" w:sz="0" w:space="0" w:color="auto"/>
        <w:right w:val="none" w:sz="0" w:space="0" w:color="auto"/>
      </w:divBdr>
    </w:div>
    <w:div w:id="163591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mfeddern</dc:creator>
  <cp:keywords/>
  <dc:description/>
  <cp:lastModifiedBy>mfeddern</cp:lastModifiedBy>
  <cp:revision>2</cp:revision>
  <dcterms:created xsi:type="dcterms:W3CDTF">2020-06-18T02:34:00Z</dcterms:created>
  <dcterms:modified xsi:type="dcterms:W3CDTF">2020-06-18T02:34:00Z</dcterms:modified>
</cp:coreProperties>
</file>