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92928" w14:textId="6EE7EFC1"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Feddern, M.L., G.W. Holtgireve,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HCl for 24-72 hours depending on bone thickness, followed by centrifugation and </w:t>
      </w:r>
      <w:r>
        <w:rPr>
          <w:rFonts w:ascii="Times New Roman" w:hAnsi="Times New Roman" w:cs="Times New Roman"/>
        </w:rPr>
        <w:t>nanopure</w:t>
      </w:r>
      <w:r w:rsidRPr="00E83DD4">
        <w:rPr>
          <w:rFonts w:ascii="Times New Roman" w:hAnsi="Times New Roman" w:cs="Times New Roman"/>
        </w:rPr>
        <w:t xml:space="preserve"> water rinse. Removal of humic acids was conducted using 0.125 M NaOH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HCl.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IsoLab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r>
        <w:rPr>
          <w:rFonts w:ascii="Times New Roman" w:hAnsi="Times New Roman" w:cs="Times New Roman"/>
        </w:rPr>
        <w:t>Chikaraishi et al. (2007) and protocols by Rachel Jeffrey’s lab at University of Liverpool UK which are modifications of that published by Metges et al. (1996) and Popp et al. (2007).</w:t>
      </w:r>
      <w:r w:rsidRPr="00E83DD4">
        <w:rPr>
          <w:rFonts w:ascii="Times New Roman" w:hAnsi="Times New Roman" w:cs="Times New Roman"/>
        </w:rPr>
        <w:t xml:space="preserve"> Briefly, proteins were hydrolyzed in 6N HCl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norleucine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(GC-C-irMA; Thermo Scientific Trace GC + GC IsoLink coupled to a Delta V irMS)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polysiloxane stationary phase and moderate polarity (Chikaraishi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r w:rsidRPr="00A375B0">
        <w:rPr>
          <w:rFonts w:ascii="Times New Roman" w:hAnsi="Times New Roman" w:cs="Times New Roman"/>
          <w:i/>
        </w:rPr>
        <w:t>Std</w:t>
      </w:r>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956992"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48E2878F"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Norleucine had lower precision in standards compared to phenyalanine,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S5)</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1D7E8827"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enrichment</w:t>
      </w:r>
      <w:r w:rsidR="00882118">
        <w:rPr>
          <w:rFonts w:ascii="Times New Roman" w:hAnsi="Times New Roman" w:cs="Times New Roman"/>
          <w:bCs/>
        </w:rPr>
        <w:t xml:space="preserve"> </w:t>
      </w:r>
      <w:r>
        <w:rPr>
          <w:rFonts w:ascii="Times New Roman" w:hAnsi="Times New Roman" w:cs="Times New Roman"/>
          <w:bCs/>
        </w:rPr>
        <w:t>factors are variable based on animal diet (omnivory</w:t>
      </w:r>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with ominvory</w:t>
      </w:r>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enrichment</w:t>
      </w:r>
      <w:r w:rsidR="00882118">
        <w:rPr>
          <w:rFonts w:ascii="Times New Roman" w:hAnsi="Times New Roman" w:cs="Times New Roman"/>
          <w:bCs/>
        </w:rPr>
        <w:t xml:space="preserve"> </w:t>
      </w:r>
      <w:r>
        <w:rPr>
          <w:rFonts w:ascii="Times New Roman" w:hAnsi="Times New Roman" w:cs="Times New Roman"/>
          <w:bCs/>
        </w:rPr>
        <w:t xml:space="preserve">for most amino acids. Trophic </w:t>
      </w:r>
      <w:r w:rsidR="00882118">
        <w:rPr>
          <w:rFonts w:ascii="Times New Roman" w:hAnsi="Times New Roman" w:cs="Times New Roman"/>
          <w:bCs/>
        </w:rPr>
        <w:t>enrichment</w:t>
      </w:r>
      <w:r w:rsidR="00882118">
        <w:rPr>
          <w:rFonts w:ascii="Times New Roman" w:hAnsi="Times New Roman" w:cs="Times New Roman"/>
          <w:bCs/>
        </w:rPr>
        <w:t xml:space="preserve">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produced an</w:t>
      </w:r>
      <w:r w:rsidR="00882118">
        <w:rPr>
          <w:rFonts w:ascii="Times New Roman" w:hAnsi="Times New Roman" w:cs="Times New Roman"/>
          <w:bCs/>
        </w:rPr>
        <w:t xml:space="preserve">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2F228E49"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r w:rsidR="00847AD2">
        <w:rPr>
          <w:rFonts w:ascii="Times New Roman" w:eastAsia="Times New Roman" w:hAnsi="Times New Roman" w:cs="Times New Roman"/>
          <w:i/>
        </w:rPr>
        <w:t>i</w:t>
      </w:r>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S1)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5BB94F20"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S4</w:t>
      </w:r>
      <w:r>
        <w:rPr>
          <w:rFonts w:ascii="Times New Roman" w:eastAsia="Times New Roman" w:hAnsi="Times New Roman" w:cs="Times New Roman"/>
        </w:rPr>
        <w:t xml:space="preserve">) or sex (Figure </w:t>
      </w:r>
      <w:r w:rsidR="000A01CE">
        <w:rPr>
          <w:rFonts w:ascii="Times New Roman" w:eastAsia="Times New Roman" w:hAnsi="Times New Roman" w:cs="Times New Roman"/>
        </w:rPr>
        <w:t>S5</w:t>
      </w:r>
      <w:r>
        <w:rPr>
          <w:rFonts w:ascii="Times New Roman" w:eastAsia="Times New Roman" w:hAnsi="Times New Roman" w:cs="Times New Roman"/>
        </w:rPr>
        <w:t xml:space="preserve">). Bjorkland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Dehn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(Bjorkland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2C3BD37B"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S7 &amp; S8)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S6)</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54CDD1C2"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S6</w:t>
      </w:r>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S6</w:t>
      </w:r>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S6a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380C62B9"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There were no trends through time for the model residuals for any amino acid after accounting for environmental (Figure S7) and food web (Figure S8) conditions at all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S6).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3D76703F"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11</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r w:rsidR="00B03E38">
        <w:rPr>
          <w:rFonts w:ascii="Times New Roman" w:hAnsi="Times New Roman" w:cs="Times New Roman"/>
        </w:rPr>
        <w:t>3</w:t>
      </w:r>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12</w:t>
      </w:r>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r w:rsidR="00B03E38">
        <w:rPr>
          <w:rFonts w:ascii="Times New Roman" w:hAnsi="Times New Roman" w:cs="Times New Roman"/>
        </w:rPr>
        <w:t>4</w:t>
      </w:r>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12</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r w:rsidR="00B03E38">
        <w:rPr>
          <w:rFonts w:ascii="Times New Roman" w:hAnsi="Times New Roman" w:cs="Times New Roman"/>
        </w:rPr>
        <w:t>4</w:t>
      </w:r>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03BCE91F"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S6</w:t>
      </w:r>
      <w:r>
        <w:rPr>
          <w:rFonts w:ascii="Times New Roman" w:eastAsia="Times New Roman" w:hAnsi="Times New Roman" w:cs="Times New Roman"/>
        </w:rPr>
        <w:t xml:space="preserve">). </w:t>
      </w:r>
    </w:p>
    <w:p w14:paraId="1E662C7C" w14:textId="63ED3ECE"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S2 &amp; S3</w:t>
      </w:r>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S2 &amp; S3)</w:t>
      </w:r>
      <w:r>
        <w:rPr>
          <w:rFonts w:ascii="Times New Roman" w:hAnsi="Times New Roman" w:cs="Times New Roman"/>
        </w:rPr>
        <w:t xml:space="preserve"> and also produced different trends through time (</w:t>
      </w:r>
      <w:r w:rsidR="00B03E38">
        <w:rPr>
          <w:rFonts w:ascii="Times New Roman" w:hAnsi="Times New Roman" w:cs="Times New Roman"/>
        </w:rPr>
        <w:t>Figure S6</w:t>
      </w:r>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4273869B" w:rsidR="00B462A2" w:rsidRDefault="00B462A2" w:rsidP="00B462A2">
      <w:pPr>
        <w:spacing w:line="480" w:lineRule="auto"/>
        <w:rPr>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0AAF102A" w14:textId="45182E4D" w:rsidR="00AA68CC" w:rsidRDefault="00AA68CC" w:rsidP="00F958F2">
      <w:pPr>
        <w:rPr>
          <w:rFonts w:ascii="Times New Roman" w:hAnsi="Times New Roman" w:cs="Times New Roman"/>
        </w:rPr>
      </w:pPr>
      <w:r>
        <w:rPr>
          <w:rFonts w:ascii="Times New Roman" w:hAnsi="Times New Roman" w:cs="Times New Roman"/>
          <w:b/>
          <w:bCs/>
        </w:rPr>
        <w:lastRenderedPageBreak/>
        <w:t xml:space="preserve">Figure S1: </w:t>
      </w:r>
      <w:r>
        <w:rPr>
          <w:rFonts w:ascii="Times New Roman" w:hAnsi="Times New Roman" w:cs="Times New Roman"/>
        </w:rPr>
        <w:t xml:space="preserve">Analysis of seasonality of harbor seal trophic position for five different trophic amino acids (glutamic acid, alanine, aspartic acid, valine, and proline) calculated using the source amino acid phenylalanine and equation 2 (Table S2; Figure S3.2)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12BDF6FD" w:rsidR="00B03E38" w:rsidRPr="00B03E38" w:rsidRDefault="00B03E38" w:rsidP="00283A9C">
      <w:pPr>
        <w:jc w:val="center"/>
        <w:rPr>
          <w:rFonts w:ascii="Times New Roman" w:hAnsi="Times New Roman" w:cs="Times New Roman"/>
          <w:bCs/>
        </w:rPr>
      </w:pPr>
      <w:r>
        <w:rPr>
          <w:rFonts w:ascii="Times New Roman" w:hAnsi="Times New Roman" w:cs="Times New Roman"/>
          <w:b/>
          <w:bCs/>
          <w:noProof/>
        </w:rPr>
        <w:drawing>
          <wp:inline distT="0" distB="0" distL="0" distR="0" wp14:anchorId="1CB90C52" wp14:editId="021A796A">
            <wp:extent cx="4450433" cy="712069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ity.pdf"/>
                    <pic:cNvPicPr/>
                  </pic:nvPicPr>
                  <pic:blipFill>
                    <a:blip r:embed="rId6">
                      <a:extLst>
                        <a:ext uri="{28A0092B-C50C-407E-A947-70E740481C1C}">
                          <a14:useLocalDpi xmlns:a14="http://schemas.microsoft.com/office/drawing/2010/main" val="0"/>
                        </a:ext>
                      </a:extLst>
                    </a:blip>
                    <a:stretch>
                      <a:fillRect/>
                    </a:stretch>
                  </pic:blipFill>
                  <pic:spPr>
                    <a:xfrm>
                      <a:off x="0" y="0"/>
                      <a:ext cx="4450433" cy="7120693"/>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4CB07FE5" w:rsidR="00F958F2" w:rsidRPr="00AA68CC" w:rsidRDefault="00F958F2" w:rsidP="00F958F2">
      <w:pPr>
        <w:rPr>
          <w:rFonts w:ascii="Times New Roman" w:hAnsi="Times New Roman" w:cs="Times New Roman"/>
          <w:b/>
          <w:bCs/>
        </w:rPr>
      </w:pPr>
      <w:r>
        <w:rPr>
          <w:rFonts w:ascii="Times New Roman" w:hAnsi="Times New Roman" w:cs="Times New Roman"/>
          <w:b/>
          <w:bCs/>
        </w:rPr>
        <w:t>Figure S</w:t>
      </w:r>
      <w:r w:rsidR="00AA68CC">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S1 and parameter values described in Table 1 of the main text. Colors correspond to trophic amino acids (</w:t>
      </w:r>
      <w:r>
        <w:rPr>
          <w:rFonts w:ascii="Times New Roman" w:hAnsi="Times New Roman" w:cs="Times New Roman"/>
          <w:bCs/>
          <w:i/>
        </w:rPr>
        <w:t>Tr</w:t>
      </w:r>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194C1886" w:rsidR="00AA68CC" w:rsidRDefault="00283A9C"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17557DB0" wp14:editId="76580DE3">
            <wp:extent cx="4800600" cy="480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F.pdf"/>
                    <pic:cNvPicPr/>
                  </pic:nvPicPr>
                  <pic:blipFill>
                    <a:blip r:embed="rId7">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55A1D251"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r w:rsidR="00AA68CC" w:rsidRPr="00B47BA8">
        <w:rPr>
          <w:rFonts w:ascii="Times New Roman" w:hAnsi="Times New Roman" w:cs="Times New Roman"/>
          <w:b/>
          <w:color w:val="000000" w:themeColor="text1"/>
          <w:sz w:val="24"/>
          <w:szCs w:val="24"/>
        </w:rPr>
        <w:t>3</w:t>
      </w:r>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(i-o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(i-o),N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as described in Table 1 of the main text.</w:t>
      </w:r>
    </w:p>
    <w:p w14:paraId="35F6693B" w14:textId="1C4E7919" w:rsidR="00B462A2" w:rsidRPr="00B462A2" w:rsidRDefault="00283A9C" w:rsidP="00B462A2">
      <w:pPr>
        <w:jc w:val="center"/>
        <w:rPr>
          <w:rFonts w:ascii="Times New Roman" w:hAnsi="Times New Roman" w:cs="Times New Roman"/>
          <w:bCs/>
        </w:rPr>
      </w:pPr>
      <w:r>
        <w:rPr>
          <w:rFonts w:ascii="Times New Roman" w:hAnsi="Times New Roman" w:cs="Times New Roman"/>
          <w:b/>
          <w:bCs/>
          <w:noProof/>
        </w:rPr>
        <w:drawing>
          <wp:inline distT="0" distB="0" distL="0" distR="0" wp14:anchorId="0988841C" wp14:editId="33DF077F">
            <wp:extent cx="4800600" cy="480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F.beta.pdf"/>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6E6DC644" w14:textId="50050158" w:rsidR="00B462A2" w:rsidRDefault="00B462A2" w:rsidP="00B462A2">
      <w:pPr>
        <w:rPr>
          <w:rFonts w:ascii="Times New Roman" w:hAnsi="Times New Roman" w:cs="Times New Roman"/>
        </w:rPr>
      </w:pPr>
      <w:r>
        <w:rPr>
          <w:rFonts w:ascii="Times New Roman" w:hAnsi="Times New Roman" w:cs="Times New Roman"/>
          <w:b/>
        </w:rPr>
        <w:lastRenderedPageBreak/>
        <w:t xml:space="preserve">Figure S4: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311E2A5C" w:rsidR="00AA68CC" w:rsidRDefault="00283A9C" w:rsidP="00AA68CC">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5408" behindDoc="0" locked="0" layoutInCell="1" allowOverlap="1" wp14:anchorId="6215FB92" wp14:editId="39EA3F13">
            <wp:simplePos x="0" y="0"/>
            <wp:positionH relativeFrom="margin">
              <wp:posOffset>1263015</wp:posOffset>
            </wp:positionH>
            <wp:positionV relativeFrom="margin">
              <wp:posOffset>776605</wp:posOffset>
            </wp:positionV>
            <wp:extent cx="3657600" cy="5486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ngthplot.pdf"/>
                    <pic:cNvPicPr/>
                  </pic:nvPicPr>
                  <pic:blipFill>
                    <a:blip r:embed="rId9">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14:sizeRelH relativeFrom="page">
              <wp14:pctWidth>0</wp14:pctWidth>
            </wp14:sizeRelH>
            <wp14:sizeRelV relativeFrom="page">
              <wp14:pctHeight>0</wp14:pctHeight>
            </wp14:sizeRelV>
          </wp:anchor>
        </w:drawing>
      </w:r>
    </w:p>
    <w:p w14:paraId="4D95F445" w14:textId="604D2603" w:rsidR="00B462A2" w:rsidRDefault="00B462A2">
      <w:pPr>
        <w:rPr>
          <w:rFonts w:ascii="Times New Roman" w:hAnsi="Times New Roman" w:cs="Times New Roman"/>
          <w:b/>
          <w:bCs/>
        </w:rPr>
      </w:pPr>
    </w:p>
    <w:p w14:paraId="4A47B70B" w14:textId="1B08868A" w:rsidR="00B462A2" w:rsidRDefault="00B462A2" w:rsidP="00B462A2">
      <w:pPr>
        <w:rPr>
          <w:rFonts w:ascii="Times New Roman" w:hAnsi="Times New Roman" w:cs="Times New Roman"/>
        </w:rPr>
      </w:pPr>
      <w:r>
        <w:rPr>
          <w:rFonts w:ascii="Times New Roman" w:hAnsi="Times New Roman" w:cs="Times New Roman"/>
          <w:b/>
          <w:bCs/>
        </w:rPr>
        <w:br w:type="page"/>
      </w:r>
      <w:r>
        <w:rPr>
          <w:rFonts w:ascii="Times New Roman" w:hAnsi="Times New Roman" w:cs="Times New Roman"/>
          <w:b/>
        </w:rPr>
        <w:lastRenderedPageBreak/>
        <w:t>Figure S5</w:t>
      </w:r>
      <w:r>
        <w:rPr>
          <w:rFonts w:ascii="Times New Roman" w:hAnsi="Times New Roman" w:cs="Times New Roman"/>
        </w:rPr>
        <w:t xml:space="preserve">: Sex specific trophic position for male (M) and female (F) harbor seals pooled over the past century and calculated using five different trophic amino acids (glutamic acid, alanine, aspartic acid, valine, and proline) for a) Salish Sea and b) coastal Washington specimens. </w:t>
      </w:r>
    </w:p>
    <w:p w14:paraId="0E9FA556" w14:textId="46912BBC" w:rsidR="00B462A2" w:rsidRDefault="00B462A2">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4384" behindDoc="0" locked="0" layoutInCell="1" allowOverlap="1" wp14:anchorId="33CCC6CF" wp14:editId="2BEC9150">
            <wp:simplePos x="0" y="0"/>
            <wp:positionH relativeFrom="margin">
              <wp:align>center</wp:align>
            </wp:positionH>
            <wp:positionV relativeFrom="margin">
              <wp:align>center</wp:align>
            </wp:positionV>
            <wp:extent cx="5943600" cy="5349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xViolinPlot.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53D3810F" w:rsidR="00B462A2" w:rsidRPr="00B462A2" w:rsidRDefault="00B462A2" w:rsidP="00B462A2">
      <w:pPr>
        <w:rPr>
          <w:rFonts w:ascii="Times New Roman" w:hAnsi="Times New Roman" w:cs="Times New Roman"/>
          <w:b/>
        </w:rPr>
      </w:pPr>
      <w:r>
        <w:rPr>
          <w:rFonts w:ascii="Times New Roman" w:hAnsi="Times New Roman" w:cs="Times New Roman"/>
          <w:b/>
        </w:rPr>
        <w:t xml:space="preserve">Figure S6: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1D9698A7" w:rsidR="00B462A2" w:rsidRDefault="00B462A2">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3360" behindDoc="0" locked="0" layoutInCell="1" allowOverlap="1" wp14:anchorId="356B124A" wp14:editId="54A86E63">
            <wp:simplePos x="0" y="0"/>
            <wp:positionH relativeFrom="column">
              <wp:posOffset>0</wp:posOffset>
            </wp:positionH>
            <wp:positionV relativeFrom="paragraph">
              <wp:posOffset>221615</wp:posOffset>
            </wp:positionV>
            <wp:extent cx="5943600" cy="5943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Serie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511FDCB5"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7B825065" w14:textId="361F7BF5" w:rsidR="00AA68CC" w:rsidRDefault="001E7966" w:rsidP="00AA68CC">
      <w:pPr>
        <w:jc w:val="center"/>
        <w:rPr>
          <w:rFonts w:ascii="Times New Roman" w:hAnsi="Times New Roman" w:cs="Times New Roman"/>
          <w:bCs/>
        </w:rPr>
        <w:sectPr w:rsidR="00AA68CC" w:rsidSect="00AA68CC">
          <w:pgSz w:w="15840" w:h="12240" w:orient="landscape"/>
          <w:pgMar w:top="1440" w:right="1440" w:bottom="1440" w:left="1440" w:header="720" w:footer="720" w:gutter="0"/>
          <w:cols w:space="720"/>
          <w:docGrid w:linePitch="360"/>
        </w:sectPr>
      </w:pPr>
      <w:r>
        <w:rPr>
          <w:rFonts w:ascii="Times New Roman" w:hAnsi="Times New Roman" w:cs="Times New Roman"/>
          <w:bCs/>
          <w:noProof/>
        </w:rPr>
        <w:drawing>
          <wp:inline distT="0" distB="0" distL="0" distR="0" wp14:anchorId="70E339C5" wp14:editId="34ED9B0B">
            <wp:extent cx="8229600" cy="4862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dualTSOcean.pdf"/>
                    <pic:cNvPicPr/>
                  </pic:nvPicPr>
                  <pic:blipFill>
                    <a:blip r:embed="rId12">
                      <a:extLst>
                        <a:ext uri="{28A0092B-C50C-407E-A947-70E740481C1C}">
                          <a14:useLocalDpi xmlns:a14="http://schemas.microsoft.com/office/drawing/2010/main" val="0"/>
                        </a:ext>
                      </a:extLst>
                    </a:blip>
                    <a:stretch>
                      <a:fillRect/>
                    </a:stretch>
                  </pic:blipFill>
                  <pic:spPr>
                    <a:xfrm>
                      <a:off x="0" y="0"/>
                      <a:ext cx="8229600" cy="4862830"/>
                    </a:xfrm>
                    <a:prstGeom prst="rect">
                      <a:avLst/>
                    </a:prstGeom>
                  </pic:spPr>
                </pic:pic>
              </a:graphicData>
            </a:graphic>
          </wp:inline>
        </w:drawing>
      </w:r>
    </w:p>
    <w:p w14:paraId="2376F686" w14:textId="703E196D"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8</w:t>
      </w:r>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7777777" w:rsidR="00AA68CC" w:rsidRDefault="00AA68CC" w:rsidP="00AA68CC">
      <w:pPr>
        <w:rPr>
          <w:rFonts w:ascii="Times New Roman" w:hAnsi="Times New Roman" w:cs="Times New Roman"/>
        </w:rPr>
      </w:pPr>
    </w:p>
    <w:p w14:paraId="30A05C89" w14:textId="60D03EBB" w:rsidR="00AA68CC" w:rsidRDefault="001E7966">
      <w:pPr>
        <w:rPr>
          <w:rFonts w:ascii="Times New Roman" w:hAnsi="Times New Roman" w:cs="Times New Roman"/>
          <w:bCs/>
        </w:rPr>
      </w:pPr>
      <w:r>
        <w:rPr>
          <w:rFonts w:ascii="Times New Roman" w:hAnsi="Times New Roman" w:cs="Times New Roman"/>
          <w:bCs/>
          <w:noProof/>
        </w:rPr>
        <w:drawing>
          <wp:inline distT="0" distB="0" distL="0" distR="0" wp14:anchorId="30036759" wp14:editId="67FEBA18">
            <wp:extent cx="8229600" cy="4862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dualTSPrey.pdf"/>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2830"/>
                    </a:xfrm>
                    <a:prstGeom prst="rect">
                      <a:avLst/>
                    </a:prstGeom>
                  </pic:spPr>
                </pic:pic>
              </a:graphicData>
            </a:graphic>
          </wp:inline>
        </w:drawing>
      </w: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6F060004" w:rsidR="00AA68CC" w:rsidRPr="00AA68CC" w:rsidRDefault="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9</w:t>
      </w:r>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r w:rsidR="001E7966">
        <w:rPr>
          <w:rFonts w:ascii="Times New Roman" w:hAnsi="Times New Roman" w:cs="Times New Roman"/>
          <w:bCs/>
          <w:noProof/>
        </w:rPr>
        <w:drawing>
          <wp:inline distT="0" distB="0" distL="0" distR="0" wp14:anchorId="4E724C3F" wp14:editId="5B6B1216">
            <wp:extent cx="5392958" cy="770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dualsDiagnosticsCLIM.pdf"/>
                    <pic:cNvPicPr/>
                  </pic:nvPicPr>
                  <pic:blipFill>
                    <a:blip r:embed="rId14">
                      <a:extLst>
                        <a:ext uri="{28A0092B-C50C-407E-A947-70E740481C1C}">
                          <a14:useLocalDpi xmlns:a14="http://schemas.microsoft.com/office/drawing/2010/main" val="0"/>
                        </a:ext>
                      </a:extLst>
                    </a:blip>
                    <a:stretch>
                      <a:fillRect/>
                    </a:stretch>
                  </pic:blipFill>
                  <pic:spPr>
                    <a:xfrm>
                      <a:off x="0" y="0"/>
                      <a:ext cx="5392958" cy="7704225"/>
                    </a:xfrm>
                    <a:prstGeom prst="rect">
                      <a:avLst/>
                    </a:prstGeom>
                  </pic:spPr>
                </pic:pic>
              </a:graphicData>
            </a:graphic>
          </wp:inline>
        </w:drawing>
      </w:r>
    </w:p>
    <w:p w14:paraId="34822AC8" w14:textId="4B981E61"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10</w:t>
      </w:r>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43884F03" w:rsidR="00AA68CC" w:rsidRDefault="001E7966" w:rsidP="00AA68CC">
      <w:pPr>
        <w:rPr>
          <w:rFonts w:ascii="Times New Roman" w:hAnsi="Times New Roman" w:cs="Times New Roman"/>
          <w:bCs/>
        </w:rPr>
      </w:pPr>
      <w:r>
        <w:rPr>
          <w:rFonts w:ascii="Times New Roman" w:hAnsi="Times New Roman" w:cs="Times New Roman"/>
          <w:bCs/>
          <w:noProof/>
        </w:rPr>
        <w:drawing>
          <wp:inline distT="0" distB="0" distL="0" distR="0" wp14:anchorId="091BE2DD" wp14:editId="0DDAEC83">
            <wp:extent cx="5453028" cy="7790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dualsDiagnosticsPREY.pdf"/>
                    <pic:cNvPicPr/>
                  </pic:nvPicPr>
                  <pic:blipFill>
                    <a:blip r:embed="rId15">
                      <a:extLst>
                        <a:ext uri="{28A0092B-C50C-407E-A947-70E740481C1C}">
                          <a14:useLocalDpi xmlns:a14="http://schemas.microsoft.com/office/drawing/2010/main" val="0"/>
                        </a:ext>
                      </a:extLst>
                    </a:blip>
                    <a:stretch>
                      <a:fillRect/>
                    </a:stretch>
                  </pic:blipFill>
                  <pic:spPr>
                    <a:xfrm>
                      <a:off x="0" y="0"/>
                      <a:ext cx="5453935" cy="7791336"/>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1F0A6FC1" w:rsidR="00AA68CC" w:rsidRDefault="00AA68CC" w:rsidP="00AA68CC">
      <w:pPr>
        <w:rPr>
          <w:rFonts w:ascii="Times New Roman" w:hAnsi="Times New Roman" w:cs="Times New Roman"/>
          <w:b/>
          <w:bCs/>
        </w:rPr>
      </w:pPr>
      <w:r>
        <w:rPr>
          <w:rFonts w:ascii="Times New Roman" w:hAnsi="Times New Roman" w:cs="Times New Roman"/>
          <w:b/>
          <w:bCs/>
        </w:rPr>
        <w:t>Figure S</w:t>
      </w:r>
      <w:r w:rsidR="00B462A2">
        <w:rPr>
          <w:rFonts w:ascii="Times New Roman" w:hAnsi="Times New Roman" w:cs="Times New Roman"/>
          <w:b/>
          <w:bCs/>
        </w:rPr>
        <w:t>11</w:t>
      </w:r>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r w:rsidRPr="00AA68CC">
        <w:rPr>
          <w:rFonts w:ascii="Times New Roman" w:hAnsi="Times New Roman" w:cs="Times New Roman"/>
        </w:rPr>
        <w:t>Siple and Francis 2015</w:t>
      </w:r>
      <w:r>
        <w:rPr>
          <w:rFonts w:ascii="Times New Roman" w:hAnsi="Times New Roman" w:cs="Times New Roman"/>
        </w:rPr>
        <w:t xml:space="preserve"> stored in “HerringSpawningBiomass.csv”. </w:t>
      </w:r>
      <w:r>
        <w:rPr>
          <w:rFonts w:ascii="Times New Roman" w:hAnsi="Times New Roman" w:cs="Times New Roman"/>
          <w:b/>
          <w:bCs/>
          <w:noProof/>
        </w:rPr>
        <w:drawing>
          <wp:inline distT="0" distB="0" distL="0" distR="0" wp14:anchorId="73A5B821" wp14:editId="30EF6130">
            <wp:extent cx="5943600" cy="544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rringRaw.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4696FBAB"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12</w:t>
      </w:r>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 fit to</w:t>
      </w:r>
      <w:r>
        <w:rPr>
          <w:rFonts w:ascii="Times New Roman" w:hAnsi="Times New Roman" w:cs="Times New Roman"/>
        </w:rPr>
        <w:t xml:space="preserve"> “HerringSpawningBiomass.csv” using source file ‘</w:t>
      </w:r>
      <w:r w:rsidRPr="00AA68CC">
        <w:rPr>
          <w:rFonts w:ascii="Times New Roman" w:hAnsi="Times New Roman" w:cs="Times New Roman"/>
        </w:rPr>
        <w:t>MARSS_Herring_HarborSeal</w:t>
      </w:r>
      <w:r>
        <w:rPr>
          <w:rFonts w:ascii="Times New Roman" w:hAnsi="Times New Roman" w:cs="Times New Roman"/>
        </w:rPr>
        <w:t>.R’.</w:t>
      </w:r>
    </w:p>
    <w:p w14:paraId="4B51611E" w14:textId="77777777" w:rsidR="00AA68CC" w:rsidRDefault="00AA68CC" w:rsidP="00AA68CC">
      <w:pPr>
        <w:rPr>
          <w:rFonts w:ascii="Times New Roman" w:hAnsi="Times New Roman" w:cs="Times New Roman"/>
          <w:b/>
          <w:bCs/>
        </w:rPr>
      </w:pPr>
    </w:p>
    <w:p w14:paraId="4F40CF3B" w14:textId="52E5494A" w:rsidR="00AA68CC" w:rsidRDefault="00AA68CC" w:rsidP="00AA68CC">
      <w:pPr>
        <w:rPr>
          <w:rFonts w:ascii="Times New Roman" w:hAnsi="Times New Roman" w:cs="Times New Roman"/>
          <w:b/>
          <w:bCs/>
        </w:rPr>
      </w:pPr>
      <w:r>
        <w:rPr>
          <w:rFonts w:ascii="Times New Roman" w:hAnsi="Times New Roman" w:cs="Times New Roman"/>
          <w:b/>
          <w:bCs/>
          <w:noProof/>
        </w:rPr>
        <w:drawing>
          <wp:inline distT="0" distB="0" distL="0" distR="0" wp14:anchorId="04FB57F2" wp14:editId="17985AC2">
            <wp:extent cx="594360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rringMarss.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5749538C"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r w:rsidR="00B462A2">
        <w:rPr>
          <w:rFonts w:ascii="Times New Roman" w:hAnsi="Times New Roman" w:cs="Times New Roman"/>
          <w:b/>
          <w:bCs/>
        </w:rPr>
        <w:t>3</w:t>
      </w:r>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2003 stored in “HarboSeal.csv”. </w:t>
      </w:r>
    </w:p>
    <w:p w14:paraId="5627E0BB" w14:textId="2A530E9C" w:rsidR="00AA68CC" w:rsidRDefault="00AA68CC" w:rsidP="00AA68CC">
      <w:pPr>
        <w:rPr>
          <w:rFonts w:ascii="Times New Roman" w:hAnsi="Times New Roman" w:cs="Times New Roman"/>
          <w:b/>
          <w:bCs/>
        </w:rPr>
      </w:pPr>
      <w:r>
        <w:rPr>
          <w:rFonts w:ascii="Times New Roman" w:hAnsi="Times New Roman" w:cs="Times New Roman"/>
          <w:b/>
          <w:bCs/>
          <w:noProof/>
        </w:rPr>
        <w:drawing>
          <wp:inline distT="0" distB="0" distL="0" distR="0" wp14:anchorId="6AE08E9C" wp14:editId="6383852F">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rborSealRaw.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14442DE2"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noProof/>
        </w:rPr>
        <w:lastRenderedPageBreak/>
        <w:drawing>
          <wp:anchor distT="0" distB="0" distL="114300" distR="114300" simplePos="0" relativeHeight="251662336" behindDoc="0" locked="0" layoutInCell="1" allowOverlap="1" wp14:anchorId="1B4BDB9A" wp14:editId="100C3621">
            <wp:simplePos x="0" y="0"/>
            <wp:positionH relativeFrom="column">
              <wp:posOffset>120892</wp:posOffset>
            </wp:positionH>
            <wp:positionV relativeFrom="paragraph">
              <wp:posOffset>628654</wp:posOffset>
            </wp:positionV>
            <wp:extent cx="5943600" cy="54483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rborSealMARSS.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t>Figure S1</w:t>
      </w:r>
      <w:r w:rsidR="00B462A2">
        <w:rPr>
          <w:rFonts w:ascii="Times New Roman" w:hAnsi="Times New Roman" w:cs="Times New Roman"/>
          <w:b/>
          <w:bCs/>
        </w:rPr>
        <w:t>4</w:t>
      </w:r>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 to</w:t>
      </w:r>
      <w:r w:rsidR="008C5991">
        <w:rPr>
          <w:rFonts w:ascii="Times New Roman" w:hAnsi="Times New Roman" w:cs="Times New Roman"/>
        </w:rPr>
        <w:t xml:space="preserve"> “</w:t>
      </w:r>
      <w:r w:rsidR="008C5991" w:rsidRPr="00AA68CC">
        <w:rPr>
          <w:rFonts w:ascii="Times New Roman" w:hAnsi="Times New Roman" w:cs="Times New Roman"/>
        </w:rPr>
        <w:t>HarborSeal.csv</w:t>
      </w:r>
      <w:r w:rsidR="008C5991">
        <w:rPr>
          <w:rFonts w:ascii="Times New Roman" w:hAnsi="Times New Roman" w:cs="Times New Roman"/>
        </w:rPr>
        <w:t>” using source file ‘</w:t>
      </w:r>
      <w:r w:rsidR="008C5991" w:rsidRPr="00AA68CC">
        <w:rPr>
          <w:rFonts w:ascii="Times New Roman" w:hAnsi="Times New Roman" w:cs="Times New Roman"/>
        </w:rPr>
        <w:t>MARSS_Herring_HarborSeal</w:t>
      </w:r>
      <w:r w:rsidR="008C5991">
        <w:rPr>
          <w:rFonts w:ascii="Times New Roman" w:hAnsi="Times New Roman" w:cs="Times New Roman"/>
        </w:rPr>
        <w:t>.R’.</w:t>
      </w:r>
    </w:p>
    <w:p w14:paraId="4BFDE582" w14:textId="3FC0E0D5" w:rsidR="00B77760" w:rsidRDefault="00B77760" w:rsidP="00B77760">
      <w:pPr>
        <w:spacing w:line="480" w:lineRule="auto"/>
        <w:rPr>
          <w:rFonts w:ascii="Times New Roman" w:hAnsi="Times New Roman" w:cs="Times New Roman"/>
          <w:bCs/>
        </w:rPr>
      </w:pPr>
    </w:p>
    <w:p w14:paraId="29343DAB" w14:textId="5F4BFEBA"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r w:rsidR="00847AD2">
        <w:rPr>
          <w:rFonts w:ascii="Times New Roman" w:hAnsi="Times New Roman" w:cs="Times New Roman"/>
          <w:bCs/>
          <w:i/>
        </w:rPr>
        <w:t>i</w:t>
      </w:r>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(i-o), N</w:t>
      </w:r>
      <w:r>
        <w:rPr>
          <w:rFonts w:ascii="Times New Roman" w:eastAsia="Times New Roman" w:hAnsi="Times New Roman" w:cs="Times New Roman"/>
        </w:rPr>
        <w:t xml:space="preserve"> (Figure. S1)</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 xml:space="preserve">(i-o)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 xml:space="preserve">(i-o)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S2).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 xml:space="preserve">(i-o)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m:t>
                                </m:r>
                                <m:r>
                                  <w:rPr>
                                    <w:rFonts w:ascii="Cambria Math" w:hAnsi="Cambria Math"/>
                                    <w:color w:val="222222"/>
                                    <w:sz w:val="20"/>
                                    <w:szCs w:val="20"/>
                                    <w:vertAlign w:val="subscript"/>
                                  </w:rPr>
                                  <m:t>E</m:t>
                                </m:r>
                                <m:r>
                                  <w:rPr>
                                    <w:rFonts w:ascii="Cambria Math" w:hAnsi="Cambria Math"/>
                                    <w:color w:val="222222"/>
                                    <w:sz w:val="20"/>
                                    <w:szCs w:val="20"/>
                                    <w:vertAlign w:val="subscript"/>
                                  </w:rPr>
                                  <m:t>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 xml:space="preserve">(i-o),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m:t>
                            </m:r>
                            <m:r>
                              <m:rPr>
                                <m:sty m:val="p"/>
                              </m:rPr>
                              <w:rPr>
                                <w:rFonts w:ascii="Cambria Math" w:hAnsi="Cambria Math"/>
                                <w:color w:val="222222"/>
                                <w:sz w:val="20"/>
                                <w:szCs w:val="20"/>
                                <w:vertAlign w:val="subscript"/>
                              </w:rPr>
                              <m:t>E</m:t>
                            </m:r>
                            <m:r>
                              <m:rPr>
                                <m:sty m:val="p"/>
                              </m:rPr>
                              <w:rPr>
                                <w:rFonts w:ascii="Cambria Math" w:hAnsi="Cambria Math"/>
                                <w:color w:val="222222"/>
                                <w:sz w:val="20"/>
                                <w:szCs w:val="20"/>
                                <w:vertAlign w:val="subscript"/>
                              </w:rPr>
                              <m:t>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m:t>
                                </m:r>
                                <m:r>
                                  <w:rPr>
                                    <w:rFonts w:ascii="Cambria Math" w:hAnsi="Cambria Math"/>
                                    <w:color w:val="222222"/>
                                    <w:sz w:val="20"/>
                                    <w:szCs w:val="20"/>
                                    <w:vertAlign w:val="subscript"/>
                                  </w:rPr>
                                  <m:t>E</m:t>
                                </m:r>
                                <m:r>
                                  <w:rPr>
                                    <w:rFonts w:ascii="Cambria Math" w:hAnsi="Cambria Math"/>
                                    <w:color w:val="222222"/>
                                    <w:sz w:val="20"/>
                                    <w:szCs w:val="20"/>
                                    <w:vertAlign w:val="subscript"/>
                                  </w:rPr>
                                  <m:t>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(i-o),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m:t>
                            </m:r>
                            <m:r>
                              <m:rPr>
                                <m:sty m:val="p"/>
                              </m:rPr>
                              <w:rPr>
                                <w:rFonts w:ascii="Cambria Math" w:hAnsi="Cambria Math"/>
                                <w:color w:val="222222"/>
                                <w:sz w:val="20"/>
                                <w:szCs w:val="20"/>
                                <w:vertAlign w:val="subscript"/>
                              </w:rPr>
                              <m:t>E</m:t>
                            </m:r>
                            <m:r>
                              <m:rPr>
                                <m:sty m:val="p"/>
                              </m:rPr>
                              <w:rPr>
                                <w:rFonts w:ascii="Cambria Math" w:hAnsi="Cambria Math"/>
                                <w:color w:val="222222"/>
                                <w:sz w:val="20"/>
                                <w:szCs w:val="20"/>
                                <w:vertAlign w:val="subscript"/>
                              </w:rPr>
                              <m:t>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m:t>
                                </m:r>
                                <m:r>
                                  <w:rPr>
                                    <w:rFonts w:ascii="Cambria Math" w:hAnsi="Cambria Math"/>
                                    <w:color w:val="222222"/>
                                    <w:sz w:val="20"/>
                                    <w:szCs w:val="20"/>
                                    <w:vertAlign w:val="subscript"/>
                                  </w:rPr>
                                  <m:t>E</m:t>
                                </m:r>
                                <m:r>
                                  <w:rPr>
                                    <w:rFonts w:ascii="Cambria Math" w:hAnsi="Cambria Math"/>
                                    <w:color w:val="222222"/>
                                    <w:sz w:val="20"/>
                                    <w:szCs w:val="20"/>
                                    <w:vertAlign w:val="subscript"/>
                                  </w:rPr>
                                  <m:t>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(i-o),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 xml:space="preserve">(i-o),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This assumes one trophic transfer iis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m:t>
                            </m:r>
                            <m:r>
                              <m:rPr>
                                <m:sty m:val="p"/>
                              </m:rPr>
                              <w:rPr>
                                <w:rFonts w:ascii="Cambria Math" w:hAnsi="Cambria Math"/>
                                <w:color w:val="222222"/>
                                <w:sz w:val="20"/>
                                <w:szCs w:val="20"/>
                                <w:vertAlign w:val="subscript"/>
                              </w:rPr>
                              <m:t>E</m:t>
                            </m:r>
                            <m:r>
                              <m:rPr>
                                <m:sty m:val="p"/>
                              </m:rPr>
                              <w:rPr>
                                <w:rFonts w:ascii="Cambria Math" w:hAnsi="Cambria Math"/>
                                <w:color w:val="222222"/>
                                <w:sz w:val="20"/>
                                <w:szCs w:val="20"/>
                                <w:vertAlign w:val="subscript"/>
                              </w:rPr>
                              <m:t>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m:t>
                            </m:r>
                            <m:r>
                              <m:rPr>
                                <m:sty m:val="p"/>
                              </m:rPr>
                              <w:rPr>
                                <w:rFonts w:ascii="Cambria Math" w:hAnsi="Cambria Math"/>
                                <w:color w:val="222222"/>
                                <w:sz w:val="20"/>
                                <w:szCs w:val="20"/>
                                <w:vertAlign w:val="subscript"/>
                              </w:rPr>
                              <m:t>E</m:t>
                            </m:r>
                            <m:r>
                              <m:rPr>
                                <m:sty m:val="p"/>
                              </m:rPr>
                              <w:rPr>
                                <w:rFonts w:ascii="Cambria Math" w:hAnsi="Cambria Math"/>
                                <w:color w:val="222222"/>
                                <w:sz w:val="20"/>
                                <w:szCs w:val="20"/>
                                <w:vertAlign w:val="subscript"/>
                              </w:rPr>
                              <m:t>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m:t>
                                </m:r>
                                <m:r>
                                  <w:rPr>
                                    <w:rFonts w:ascii="Cambria Math" w:hAnsi="Cambria Math"/>
                                    <w:color w:val="222222"/>
                                    <w:sz w:val="20"/>
                                    <w:szCs w:val="20"/>
                                    <w:vertAlign w:val="subscript"/>
                                  </w:rPr>
                                  <m:t>E</m:t>
                                </m:r>
                                <m:r>
                                  <w:rPr>
                                    <w:rFonts w:ascii="Cambria Math" w:hAnsi="Cambria Math"/>
                                    <w:color w:val="222222"/>
                                    <w:sz w:val="20"/>
                                    <w:szCs w:val="20"/>
                                    <w:vertAlign w:val="subscript"/>
                                  </w:rPr>
                                  <m:t>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1C54CB30"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TDF</w:t>
      </w:r>
      <w:r>
        <w:rPr>
          <w:rFonts w:ascii="Times New Roman" w:hAnsi="Times New Roman" w:cs="Times New Roman"/>
        </w:rPr>
        <w:t xml:space="preserve">) to test parameterization of trophic position calculations using multiple TDFs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308"/>
      </w:tblGrid>
      <w:tr w:rsidR="006B02CE" w14:paraId="7A252C3C" w14:textId="77777777" w:rsidTr="00B47BA8">
        <w:trPr>
          <w:jc w:val="center"/>
        </w:trPr>
        <w:tc>
          <w:tcPr>
            <w:tcW w:w="1655" w:type="dxa"/>
            <w:tcBorders>
              <w:top w:val="single" w:sz="12" w:space="0" w:color="auto"/>
              <w:bottom w:val="single" w:sz="18" w:space="0" w:color="auto"/>
            </w:tcBorders>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r>
              <w:rPr>
                <w:rFonts w:ascii="Times New Roman" w:eastAsia="Times New Roman" w:hAnsi="Times New Roman" w:cs="Times New Roman"/>
                <w:i/>
              </w:rPr>
              <w:t>i</w:t>
            </w:r>
            <w:r>
              <w:rPr>
                <w:rFonts w:ascii="Times New Roman" w:eastAsia="Times New Roman" w:hAnsi="Times New Roman" w:cs="Times New Roman"/>
              </w:rPr>
              <w:t>)</w:t>
            </w:r>
          </w:p>
        </w:tc>
        <w:tc>
          <w:tcPr>
            <w:tcW w:w="1044" w:type="dxa"/>
            <w:tcBorders>
              <w:top w:val="single" w:sz="12" w:space="0" w:color="auto"/>
              <w:bottom w:val="single" w:sz="18" w:space="0" w:color="auto"/>
            </w:tcBorders>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(i-o),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(i-o),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Vander Zanden et al. 2013</w:t>
            </w:r>
          </w:p>
        </w:tc>
        <w:tc>
          <w:tcPr>
            <w:tcW w:w="1212" w:type="dxa"/>
            <w:tcBorders>
              <w:top w:val="single" w:sz="12" w:space="0" w:color="auto"/>
              <w:bottom w:val="single" w:sz="18" w:space="0" w:color="auto"/>
            </w:tcBorders>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(i-o),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 xml:space="preserve">(i-o),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08" w:type="dxa"/>
            <w:tcBorders>
              <w:top w:val="single" w:sz="12" w:space="0" w:color="auto"/>
              <w:bottom w:val="single" w:sz="18" w:space="0" w:color="auto"/>
            </w:tcBorders>
          </w:tcPr>
          <w:p w14:paraId="77DF8C78" w14:textId="372F0614" w:rsidR="006B02CE" w:rsidRPr="0039792A" w:rsidRDefault="006B02CE"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m:t>
                        </m:r>
                        <m:r>
                          <w:rPr>
                            <w:rFonts w:ascii="Cambria Math" w:hAnsi="Cambria Math"/>
                            <w:color w:val="222222"/>
                            <w:vertAlign w:val="subscript"/>
                          </w:rPr>
                          <m:t>E</m:t>
                        </m:r>
                        <m:r>
                          <w:rPr>
                            <w:rFonts w:ascii="Cambria Math" w:hAnsi="Cambria Math"/>
                            <w:color w:val="222222"/>
                            <w:vertAlign w:val="subscript"/>
                          </w:rPr>
                          <m:t>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B47BA8">
        <w:trPr>
          <w:jc w:val="center"/>
        </w:trPr>
        <w:tc>
          <w:tcPr>
            <w:tcW w:w="1655" w:type="dxa"/>
            <w:tcBorders>
              <w:top w:val="single" w:sz="18" w:space="0" w:color="auto"/>
            </w:tcBorders>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044" w:type="dxa"/>
            <w:tcBorders>
              <w:top w:val="single" w:sz="18" w:space="0" w:color="auto"/>
            </w:tcBorders>
          </w:tcPr>
          <w:p w14:paraId="5F7435C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84048B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2531A4F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7C934CF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308" w:type="dxa"/>
            <w:tcBorders>
              <w:top w:val="single" w:sz="18" w:space="0" w:color="auto"/>
            </w:tcBorders>
          </w:tcPr>
          <w:p w14:paraId="1DF1A28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6.6</w:t>
            </w:r>
          </w:p>
        </w:tc>
      </w:tr>
      <w:tr w:rsidR="006B02CE" w14:paraId="536EB611" w14:textId="77777777" w:rsidTr="00B47BA8">
        <w:trPr>
          <w:jc w:val="center"/>
        </w:trPr>
        <w:tc>
          <w:tcPr>
            <w:tcW w:w="1655" w:type="dxa"/>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17C82FA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75D8327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0215E10C"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1C6731C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p>
        </w:tc>
        <w:tc>
          <w:tcPr>
            <w:tcW w:w="1308" w:type="dxa"/>
          </w:tcPr>
          <w:p w14:paraId="2BC22E1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r>
      <w:tr w:rsidR="006B02CE" w14:paraId="5238FDF6" w14:textId="77777777" w:rsidTr="00B47BA8">
        <w:trPr>
          <w:jc w:val="center"/>
        </w:trPr>
        <w:tc>
          <w:tcPr>
            <w:tcW w:w="1655" w:type="dxa"/>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4275EF3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4167089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28C0789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7AE02C5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p>
        </w:tc>
        <w:tc>
          <w:tcPr>
            <w:tcW w:w="1308" w:type="dxa"/>
          </w:tcPr>
          <w:p w14:paraId="316A3326"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p>
        </w:tc>
      </w:tr>
      <w:tr w:rsidR="006B02CE" w14:paraId="464638E6" w14:textId="77777777" w:rsidTr="00B47BA8">
        <w:trPr>
          <w:jc w:val="center"/>
        </w:trPr>
        <w:tc>
          <w:tcPr>
            <w:tcW w:w="1655" w:type="dxa"/>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4598D79A"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139408F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3127986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570FAB7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p>
        </w:tc>
        <w:tc>
          <w:tcPr>
            <w:tcW w:w="1308" w:type="dxa"/>
          </w:tcPr>
          <w:p w14:paraId="0E9A088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p>
        </w:tc>
      </w:tr>
      <w:tr w:rsidR="006B02CE" w14:paraId="1864A7B4" w14:textId="77777777" w:rsidTr="00B47BA8">
        <w:trPr>
          <w:jc w:val="center"/>
        </w:trPr>
        <w:tc>
          <w:tcPr>
            <w:tcW w:w="1655" w:type="dxa"/>
            <w:tcBorders>
              <w:bottom w:val="single" w:sz="12" w:space="0" w:color="auto"/>
            </w:tcBorders>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4F6A46B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3B28AE6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12" w:type="dxa"/>
            <w:tcBorders>
              <w:bottom w:val="single" w:sz="12" w:space="0" w:color="auto"/>
            </w:tcBorders>
          </w:tcPr>
          <w:p w14:paraId="1D70624B" w14:textId="77777777" w:rsidR="006B02CE" w:rsidRDefault="006B02CE" w:rsidP="009F3B4E">
            <w:pPr>
              <w:jc w:val="center"/>
              <w:rPr>
                <w:rFonts w:ascii="Times New Roman" w:eastAsia="Times New Roman" w:hAnsi="Times New Roman" w:cs="Times New Roman"/>
              </w:rPr>
            </w:pPr>
          </w:p>
        </w:tc>
        <w:tc>
          <w:tcPr>
            <w:tcW w:w="1459" w:type="dxa"/>
            <w:tcBorders>
              <w:bottom w:val="single" w:sz="12" w:space="0" w:color="auto"/>
            </w:tcBorders>
          </w:tcPr>
          <w:p w14:paraId="7B77960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p>
        </w:tc>
        <w:tc>
          <w:tcPr>
            <w:tcW w:w="1308" w:type="dxa"/>
            <w:tcBorders>
              <w:bottom w:val="single" w:sz="12" w:space="0" w:color="auto"/>
            </w:tcBorders>
          </w:tcPr>
          <w:p w14:paraId="30AA82B2"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Dalles,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0"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Mean coastal upwelling index (CUI) coastal Washington (45°N, 125°W) using Bakun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3"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4"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5"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Siple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Siple,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Chinook Salmon Spawners</w:t>
            </w:r>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Chinook salmon spawner summary data including all populations with a time series with data from at least 1973. Includes: Cedar River, Coweeman River, Elochoman River, Grays and Chinook Rivers, Green River, Kalama River, Lewis River, Lower Cowlitz River, Lower and Upper Sauk River, Lower and Upper Skagit River, McKenzie River, Mid-Hood Canal, Nisqually River, Puyallup River, Skokomish River, Skykomish River, Snoqualmie River, Suiattle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Northwest Fisheries Science Center, 2020: SPS Abundance - Salmon spawner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6"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Hatchery release data from the Regional Mark Information System and Wild Salmon Production data summarized by Chasco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Jeffries, S., H. Huber, J. Calambokidis and J. Laake.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r w:rsidRPr="00B47BA8">
                    <w:rPr>
                      <w:rFonts w:ascii="Times New Roman" w:eastAsia="Times New Roman" w:hAnsi="Times New Roman" w:cs="Times New Roman"/>
                      <w:i/>
                      <w:iCs/>
                    </w:rPr>
                    <w:t>AICc</w:t>
                  </w:r>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5C78C9">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5C78C9">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r w:rsidRPr="00B47BA8">
                    <w:rPr>
                      <w:rFonts w:ascii="Times New Roman" w:eastAsia="Times New Roman" w:hAnsi="Times New Roman" w:cs="Times New Roman"/>
                      <w:i/>
                      <w:iCs/>
                    </w:rPr>
                    <w:t>AICc</w:t>
                  </w:r>
                </w:p>
              </w:tc>
            </w:tr>
            <w:tr w:rsidR="00BE776B" w:rsidRPr="00B47BA8" w14:paraId="6A014E76" w14:textId="77777777" w:rsidTr="005C78C9">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5C78C9">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5C78C9">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5C78C9">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5C78C9">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5C78C9">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5C78C9">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5C78C9">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5C78C9">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5C78C9">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21. Harbor seal Abundance, Hake Spawning iomass, Location</w:t>
            </w:r>
          </w:p>
        </w:tc>
        <w:tc>
          <w:tcPr>
            <w:tcW w:w="900" w:type="dxa"/>
            <w:tcMar>
              <w:top w:w="113" w:type="dxa"/>
              <w:left w:w="113" w:type="dxa"/>
              <w:bottom w:w="113" w:type="dxa"/>
              <w:right w:w="113" w:type="dxa"/>
            </w:tcMar>
            <w:hideMark/>
          </w:tcPr>
          <w:p w14:paraId="756E7C3E"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11. Chinook Escapments,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5C78C9">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5C78C9">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BB01BC" w:rsidRPr="00B47BA8" w14:paraId="2E3046B8" w14:textId="77777777" w:rsidTr="005C78C9">
        <w:tc>
          <w:tcPr>
            <w:tcW w:w="0" w:type="auto"/>
            <w:tcMar>
              <w:top w:w="113" w:type="dxa"/>
              <w:left w:w="113" w:type="dxa"/>
              <w:bottom w:w="113" w:type="dxa"/>
              <w:right w:w="113" w:type="dxa"/>
            </w:tcMar>
            <w:hideMark/>
          </w:tcPr>
          <w:p w14:paraId="761E20DD" w14:textId="0694ACEC"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5C78C9">
        <w:tc>
          <w:tcPr>
            <w:tcW w:w="0" w:type="auto"/>
            <w:tcMar>
              <w:top w:w="113" w:type="dxa"/>
              <w:left w:w="113" w:type="dxa"/>
              <w:bottom w:w="113" w:type="dxa"/>
              <w:right w:w="113" w:type="dxa"/>
            </w:tcMar>
            <w:hideMark/>
          </w:tcPr>
          <w:p w14:paraId="0D15C15C"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5C78C9">
        <w:tc>
          <w:tcPr>
            <w:tcW w:w="0" w:type="auto"/>
            <w:tcMar>
              <w:top w:w="113" w:type="dxa"/>
              <w:left w:w="113" w:type="dxa"/>
              <w:bottom w:w="113" w:type="dxa"/>
              <w:right w:w="113" w:type="dxa"/>
            </w:tcMar>
            <w:hideMark/>
          </w:tcPr>
          <w:p w14:paraId="021D96A5"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5C78C9">
        <w:tc>
          <w:tcPr>
            <w:tcW w:w="0" w:type="auto"/>
            <w:tcMar>
              <w:top w:w="113" w:type="dxa"/>
              <w:left w:w="113" w:type="dxa"/>
              <w:bottom w:w="113" w:type="dxa"/>
              <w:right w:w="113" w:type="dxa"/>
            </w:tcMar>
            <w:hideMark/>
          </w:tcPr>
          <w:p w14:paraId="66BB91F8"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5C78C9">
        <w:tc>
          <w:tcPr>
            <w:tcW w:w="0" w:type="auto"/>
            <w:tcMar>
              <w:top w:w="113" w:type="dxa"/>
              <w:left w:w="113" w:type="dxa"/>
              <w:bottom w:w="113" w:type="dxa"/>
              <w:right w:w="113" w:type="dxa"/>
            </w:tcMar>
            <w:hideMark/>
          </w:tcPr>
          <w:p w14:paraId="4DB73159"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5C78C9">
        <w:tc>
          <w:tcPr>
            <w:tcW w:w="0" w:type="auto"/>
            <w:tcMar>
              <w:top w:w="113" w:type="dxa"/>
              <w:left w:w="113" w:type="dxa"/>
              <w:bottom w:w="113" w:type="dxa"/>
              <w:right w:w="113" w:type="dxa"/>
            </w:tcMar>
            <w:hideMark/>
          </w:tcPr>
          <w:p w14:paraId="16A42948"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5C78C9">
        <w:tc>
          <w:tcPr>
            <w:tcW w:w="0" w:type="auto"/>
            <w:tcMar>
              <w:top w:w="113" w:type="dxa"/>
              <w:left w:w="113" w:type="dxa"/>
              <w:bottom w:w="113" w:type="dxa"/>
              <w:right w:w="113" w:type="dxa"/>
            </w:tcMar>
            <w:hideMark/>
          </w:tcPr>
          <w:p w14:paraId="3BB468C3"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5C78C9">
        <w:tc>
          <w:tcPr>
            <w:tcW w:w="0" w:type="auto"/>
            <w:tcMar>
              <w:top w:w="113" w:type="dxa"/>
              <w:left w:w="113" w:type="dxa"/>
              <w:bottom w:w="113" w:type="dxa"/>
              <w:right w:w="113" w:type="dxa"/>
            </w:tcMar>
            <w:hideMark/>
          </w:tcPr>
          <w:p w14:paraId="5CDBC450"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5C78C9">
        <w:tc>
          <w:tcPr>
            <w:tcW w:w="0" w:type="auto"/>
            <w:tcMar>
              <w:top w:w="113" w:type="dxa"/>
              <w:left w:w="113" w:type="dxa"/>
              <w:bottom w:w="113" w:type="dxa"/>
              <w:right w:w="113" w:type="dxa"/>
            </w:tcMar>
            <w:hideMark/>
          </w:tcPr>
          <w:p w14:paraId="7B607CAD"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5C78C9">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75"/>
        <w:gridCol w:w="4675"/>
      </w:tblGrid>
      <w:tr w:rsidR="0097498A" w14:paraId="7ED06783" w14:textId="77777777" w:rsidTr="009F3B4E">
        <w:tc>
          <w:tcPr>
            <w:tcW w:w="4675" w:type="dxa"/>
            <w:tcBorders>
              <w:top w:val="single" w:sz="8" w:space="0" w:color="auto"/>
              <w:bottom w:val="single" w:sz="8" w:space="0" w:color="auto"/>
            </w:tcBorders>
          </w:tcPr>
          <w:p w14:paraId="6AFA86A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
          <w:p w14:paraId="280C66CC"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9F3B4E">
        <w:tc>
          <w:tcPr>
            <w:tcW w:w="4675" w:type="dxa"/>
            <w:tcBorders>
              <w:top w:val="single" w:sz="8" w:space="0" w:color="auto"/>
            </w:tcBorders>
          </w:tcPr>
          <w:p w14:paraId="1C2010C4"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
          <w:p w14:paraId="152FF29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9F3B4E">
        <w:tc>
          <w:tcPr>
            <w:tcW w:w="4675" w:type="dxa"/>
          </w:tcPr>
          <w:p w14:paraId="2AE9AE50"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Glutamic Acid</w:t>
            </w:r>
          </w:p>
        </w:tc>
        <w:tc>
          <w:tcPr>
            <w:tcW w:w="4675" w:type="dxa"/>
          </w:tcPr>
          <w:p w14:paraId="61D1040F"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9F3B4E">
        <w:tc>
          <w:tcPr>
            <w:tcW w:w="4675" w:type="dxa"/>
          </w:tcPr>
          <w:p w14:paraId="48626A2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Alanine</w:t>
            </w:r>
          </w:p>
        </w:tc>
        <w:tc>
          <w:tcPr>
            <w:tcW w:w="4675" w:type="dxa"/>
          </w:tcPr>
          <w:p w14:paraId="028EFC3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9F3B4E">
        <w:tc>
          <w:tcPr>
            <w:tcW w:w="4675" w:type="dxa"/>
          </w:tcPr>
          <w:p w14:paraId="7E3DB3E6"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Proline</w:t>
            </w:r>
          </w:p>
        </w:tc>
        <w:tc>
          <w:tcPr>
            <w:tcW w:w="4675" w:type="dxa"/>
          </w:tcPr>
          <w:p w14:paraId="202B7F9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9F3B4E">
        <w:tc>
          <w:tcPr>
            <w:tcW w:w="4675" w:type="dxa"/>
          </w:tcPr>
          <w:p w14:paraId="4E5A99BB"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Valine</w:t>
            </w:r>
          </w:p>
        </w:tc>
        <w:tc>
          <w:tcPr>
            <w:tcW w:w="4675" w:type="dxa"/>
          </w:tcPr>
          <w:p w14:paraId="04C88B68"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9F3B4E">
        <w:tc>
          <w:tcPr>
            <w:tcW w:w="4675" w:type="dxa"/>
          </w:tcPr>
          <w:p w14:paraId="2A39555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Aspartic Acid</w:t>
            </w:r>
          </w:p>
        </w:tc>
        <w:tc>
          <w:tcPr>
            <w:tcW w:w="4675" w:type="dxa"/>
          </w:tcPr>
          <w:p w14:paraId="748AD0B3"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9F3B4E">
        <w:tc>
          <w:tcPr>
            <w:tcW w:w="4675" w:type="dxa"/>
            <w:tcBorders>
              <w:bottom w:val="single" w:sz="8" w:space="0" w:color="auto"/>
            </w:tcBorders>
          </w:tcPr>
          <w:p w14:paraId="0DE86622"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Norleucine</w:t>
            </w:r>
          </w:p>
        </w:tc>
        <w:tc>
          <w:tcPr>
            <w:tcW w:w="4675" w:type="dxa"/>
            <w:tcBorders>
              <w:bottom w:val="single" w:sz="8" w:space="0" w:color="auto"/>
            </w:tcBorders>
          </w:tcPr>
          <w:p w14:paraId="27A2DE1A"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0.40</w:t>
            </w:r>
          </w:p>
        </w:tc>
      </w:tr>
    </w:tbl>
    <w:p w14:paraId="665CAC18" w14:textId="4A8F0FF4"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 </w:t>
      </w:r>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AIC &lt;</w:t>
      </w:r>
      <w:bookmarkStart w:id="0" w:name="_GoBack"/>
      <w:r w:rsidR="00CB481C">
        <w:rPr>
          <w:rFonts w:ascii="Times New Roman" w:hAnsi="Times New Roman" w:cs="Times New Roman"/>
        </w:rPr>
        <w:t xml:space="preserve"> </w:t>
      </w:r>
      <w:r w:rsidR="009A407A">
        <w:rPr>
          <w:rFonts w:ascii="Times New Roman" w:hAnsi="Times New Roman" w:cs="Times New Roman"/>
        </w:rPr>
        <w:t>2</w:t>
      </w:r>
      <w:r w:rsidR="00CB481C">
        <w:rPr>
          <w:rFonts w:ascii="Times New Roman" w:hAnsi="Times New Roman" w:cs="Times New Roman"/>
        </w:rPr>
        <w:t>.</w:t>
      </w:r>
      <w:bookmarkEnd w:id="0"/>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77777777" w:rsidR="00B462A2" w:rsidRDefault="00B462A2" w:rsidP="00076851">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4EAA9F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Bjorkland R.H., Pearson S.F., Jeffries S.J., Lance M.M., Acevedo-Guitiérrez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 xml:space="preserve">Chikaraishi Y., Kashiyama, Ogawa N.O., Kitazato H., Ohkoushi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Chikaraishi Y., Takano Y., Ogawa N.O., Ohkouchi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chromatography/combustion/isotope ratio mass spectrometry. In: Tayasu I., Ohkouchi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Chikaraishi Y., Ohkouchi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Dehn L.A., Sheffield G.G., Follmann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Holl C.M. 2014. Nitrogen isotope fractionation and amino acid turnover </w:t>
      </w:r>
      <w:r w:rsidRPr="00420EBC">
        <w:rPr>
          <w:rFonts w:ascii="Times New Roman" w:hAnsi="Times New Roman" w:cs="Times New Roman"/>
        </w:rPr>
        <w:tab/>
        <w:t xml:space="preserve">rates in the Pacific white shrimp </w:t>
      </w:r>
      <w:r w:rsidRPr="00420EBC">
        <w:rPr>
          <w:rFonts w:ascii="Times New Roman" w:hAnsi="Times New Roman" w:cs="Times New Roman"/>
          <w:i/>
        </w:rPr>
        <w:t>Litopenaeous vannamei</w:t>
      </w:r>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Ontogenic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Feddern M.L., Holtgrieve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implicatios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Simenstad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36F4D0DF"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Thorrold S.R., Elsdon T.S., McCarthy M.D. 2015. Trophic discrimination of </w:t>
      </w:r>
      <w:r w:rsidRPr="00420EBC">
        <w:rPr>
          <w:rFonts w:ascii="Times New Roman" w:hAnsi="Times New Roman" w:cs="Times New Roman"/>
        </w:rPr>
        <w:tab/>
        <w:t>nitrogen stable isotopes in amio acids caries with diet quality in a marine fish.</w:t>
      </w:r>
      <w:r w:rsidRPr="00420EBC">
        <w:rPr>
          <w:rFonts w:ascii="Times New Roman" w:hAnsi="Times New Roman" w:cs="Times New Roman"/>
          <w:i/>
        </w:rPr>
        <w:t xml:space="preserve"> Limnology </w:t>
      </w:r>
      <w:r w:rsidRPr="00420EBC">
        <w:rPr>
          <w:rFonts w:ascii="Times New Roman" w:hAnsi="Times New Roman" w:cs="Times New Roman"/>
          <w:i/>
        </w:rPr>
        <w:tab/>
        <w:t xml:space="preserve">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Polito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Metges C.C., Petzke K. (1996). Gas chromatography/combustion/isotope ratio mass spectromic</w:t>
      </w:r>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r w:rsidRPr="00420EBC">
        <w:rPr>
          <w:rFonts w:ascii="Times New Roman" w:hAnsi="Times New Roman" w:cs="Times New Roman"/>
          <w:i/>
          <w:color w:val="000000" w:themeColor="text1"/>
        </w:rPr>
        <w:t xml:space="preserve">Oecologia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Popp B.N., Graham B.S., Olson R.J., Hannides C.C.S., Lott M.J., López-Ibarra G.A., Galván-</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t xml:space="preserve">Magaña F., Fry B. (2007). Insights into the trophic ecology of yellowfin </w:t>
      </w:r>
      <w:r w:rsidRPr="00420EBC">
        <w:rPr>
          <w:rFonts w:ascii="Times New Roman" w:hAnsi="Times New Roman" w:cs="Times New Roman"/>
          <w:color w:val="474747"/>
        </w:rPr>
        <w:t>tuna, Thunnes</w:t>
      </w:r>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Zanden H.B., Arthur K.E., Bolten A.B., Popp B.N., Lagueux C.J., Harrison E., Campbell </w:t>
      </w:r>
      <w:r w:rsidRPr="00420EBC">
        <w:rPr>
          <w:rFonts w:ascii="Times New Roman" w:hAnsi="Times New Roman" w:cs="Times New Roman"/>
        </w:rPr>
        <w:tab/>
        <w:t xml:space="preserve">C.L., Bjorndal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PLoS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Castellini M.A., Mau T.L., Trumble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7E7D" w16cex:dateUtc="2021-10-11T16:12:00Z"/>
  <w16cex:commentExtensible w16cex:durableId="250E7ED8" w16cex:dateUtc="2021-10-11T16:14:00Z"/>
  <w16cex:commentExtensible w16cex:durableId="250E7F2D" w16cex:dateUtc="2021-10-11T16: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7D200" w14:textId="77777777" w:rsidR="00207154" w:rsidRDefault="00207154" w:rsidP="00E83DD4">
      <w:r>
        <w:separator/>
      </w:r>
    </w:p>
  </w:endnote>
  <w:endnote w:type="continuationSeparator" w:id="0">
    <w:p w14:paraId="4163109D" w14:textId="77777777" w:rsidR="00207154" w:rsidRDefault="00207154"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18FF6" w14:textId="77777777" w:rsidR="00207154" w:rsidRDefault="00207154" w:rsidP="00E83DD4">
      <w:r>
        <w:separator/>
      </w:r>
    </w:p>
  </w:footnote>
  <w:footnote w:type="continuationSeparator" w:id="0">
    <w:p w14:paraId="3AD7E572" w14:textId="77777777" w:rsidR="00207154" w:rsidRDefault="00207154" w:rsidP="00E83D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97019"/>
    <w:rsid w:val="000A01CE"/>
    <w:rsid w:val="000B73C5"/>
    <w:rsid w:val="000C07F8"/>
    <w:rsid w:val="000D21A1"/>
    <w:rsid w:val="000E4495"/>
    <w:rsid w:val="000E57FD"/>
    <w:rsid w:val="001164FF"/>
    <w:rsid w:val="001168A0"/>
    <w:rsid w:val="00130432"/>
    <w:rsid w:val="00131A1E"/>
    <w:rsid w:val="00152353"/>
    <w:rsid w:val="001603E7"/>
    <w:rsid w:val="001611E8"/>
    <w:rsid w:val="00165E97"/>
    <w:rsid w:val="001845D4"/>
    <w:rsid w:val="00185532"/>
    <w:rsid w:val="00194AFD"/>
    <w:rsid w:val="00196990"/>
    <w:rsid w:val="001A61EF"/>
    <w:rsid w:val="001D176E"/>
    <w:rsid w:val="001D7182"/>
    <w:rsid w:val="001E7966"/>
    <w:rsid w:val="001F02ED"/>
    <w:rsid w:val="001F12FC"/>
    <w:rsid w:val="001F17E0"/>
    <w:rsid w:val="00207154"/>
    <w:rsid w:val="002366E9"/>
    <w:rsid w:val="00237A23"/>
    <w:rsid w:val="00252E5D"/>
    <w:rsid w:val="00267772"/>
    <w:rsid w:val="00274344"/>
    <w:rsid w:val="002747BA"/>
    <w:rsid w:val="00277B61"/>
    <w:rsid w:val="00283A9C"/>
    <w:rsid w:val="00283FC1"/>
    <w:rsid w:val="002868F6"/>
    <w:rsid w:val="0029354B"/>
    <w:rsid w:val="00296415"/>
    <w:rsid w:val="002967C4"/>
    <w:rsid w:val="002B0F80"/>
    <w:rsid w:val="002B78C7"/>
    <w:rsid w:val="002E3A12"/>
    <w:rsid w:val="00307D33"/>
    <w:rsid w:val="0031060B"/>
    <w:rsid w:val="00317047"/>
    <w:rsid w:val="00327AF4"/>
    <w:rsid w:val="0034006B"/>
    <w:rsid w:val="00346146"/>
    <w:rsid w:val="00351507"/>
    <w:rsid w:val="0039792A"/>
    <w:rsid w:val="003A6DDC"/>
    <w:rsid w:val="003C2EF6"/>
    <w:rsid w:val="00412F27"/>
    <w:rsid w:val="00420EBC"/>
    <w:rsid w:val="004536C1"/>
    <w:rsid w:val="00475F16"/>
    <w:rsid w:val="004762D9"/>
    <w:rsid w:val="00477C8C"/>
    <w:rsid w:val="004815AF"/>
    <w:rsid w:val="004821E8"/>
    <w:rsid w:val="0048623A"/>
    <w:rsid w:val="00486599"/>
    <w:rsid w:val="0048742B"/>
    <w:rsid w:val="004961DA"/>
    <w:rsid w:val="004F6E44"/>
    <w:rsid w:val="0053731A"/>
    <w:rsid w:val="00563109"/>
    <w:rsid w:val="0056773B"/>
    <w:rsid w:val="00571C7B"/>
    <w:rsid w:val="0057425F"/>
    <w:rsid w:val="00575406"/>
    <w:rsid w:val="00577610"/>
    <w:rsid w:val="00593C92"/>
    <w:rsid w:val="00594D43"/>
    <w:rsid w:val="005A3FD6"/>
    <w:rsid w:val="005B4BE5"/>
    <w:rsid w:val="005B656E"/>
    <w:rsid w:val="005D59F0"/>
    <w:rsid w:val="005D6A4A"/>
    <w:rsid w:val="005F4096"/>
    <w:rsid w:val="006012C5"/>
    <w:rsid w:val="00615D8E"/>
    <w:rsid w:val="00636F2F"/>
    <w:rsid w:val="00652238"/>
    <w:rsid w:val="00657A93"/>
    <w:rsid w:val="00664248"/>
    <w:rsid w:val="0067150D"/>
    <w:rsid w:val="006757A4"/>
    <w:rsid w:val="006947D8"/>
    <w:rsid w:val="006961C8"/>
    <w:rsid w:val="006A61E7"/>
    <w:rsid w:val="006B02CE"/>
    <w:rsid w:val="006C6F9B"/>
    <w:rsid w:val="006C755C"/>
    <w:rsid w:val="006D23DD"/>
    <w:rsid w:val="006D29E7"/>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47AD2"/>
    <w:rsid w:val="00861BD5"/>
    <w:rsid w:val="00881340"/>
    <w:rsid w:val="00882118"/>
    <w:rsid w:val="0088341C"/>
    <w:rsid w:val="008B2D04"/>
    <w:rsid w:val="008B46C2"/>
    <w:rsid w:val="008B70F9"/>
    <w:rsid w:val="008C5991"/>
    <w:rsid w:val="008E026C"/>
    <w:rsid w:val="008E6075"/>
    <w:rsid w:val="008F26E3"/>
    <w:rsid w:val="008F5FD4"/>
    <w:rsid w:val="00904079"/>
    <w:rsid w:val="009070FC"/>
    <w:rsid w:val="009167A5"/>
    <w:rsid w:val="0092592B"/>
    <w:rsid w:val="0093405F"/>
    <w:rsid w:val="00954EC1"/>
    <w:rsid w:val="00956992"/>
    <w:rsid w:val="0097498A"/>
    <w:rsid w:val="009838D7"/>
    <w:rsid w:val="00990BE3"/>
    <w:rsid w:val="009A407A"/>
    <w:rsid w:val="009A7893"/>
    <w:rsid w:val="009B40F2"/>
    <w:rsid w:val="009C0955"/>
    <w:rsid w:val="009C2286"/>
    <w:rsid w:val="009D68FE"/>
    <w:rsid w:val="009E3470"/>
    <w:rsid w:val="009E671D"/>
    <w:rsid w:val="009F11FB"/>
    <w:rsid w:val="009F3B4E"/>
    <w:rsid w:val="00A0757D"/>
    <w:rsid w:val="00A375B0"/>
    <w:rsid w:val="00A6387E"/>
    <w:rsid w:val="00A703C6"/>
    <w:rsid w:val="00A70A80"/>
    <w:rsid w:val="00A76518"/>
    <w:rsid w:val="00A97E63"/>
    <w:rsid w:val="00AA68CC"/>
    <w:rsid w:val="00AB22F3"/>
    <w:rsid w:val="00AB68DC"/>
    <w:rsid w:val="00AC686C"/>
    <w:rsid w:val="00AD2343"/>
    <w:rsid w:val="00AE23A8"/>
    <w:rsid w:val="00B02876"/>
    <w:rsid w:val="00B03E38"/>
    <w:rsid w:val="00B061D3"/>
    <w:rsid w:val="00B10EE4"/>
    <w:rsid w:val="00B154D6"/>
    <w:rsid w:val="00B17FD8"/>
    <w:rsid w:val="00B241F3"/>
    <w:rsid w:val="00B35D9F"/>
    <w:rsid w:val="00B37F9A"/>
    <w:rsid w:val="00B462A2"/>
    <w:rsid w:val="00B47BA8"/>
    <w:rsid w:val="00B67411"/>
    <w:rsid w:val="00B77760"/>
    <w:rsid w:val="00B802C8"/>
    <w:rsid w:val="00B82D82"/>
    <w:rsid w:val="00BB01BC"/>
    <w:rsid w:val="00BC5195"/>
    <w:rsid w:val="00BD5BF1"/>
    <w:rsid w:val="00BE5DD7"/>
    <w:rsid w:val="00BE776B"/>
    <w:rsid w:val="00BF14FF"/>
    <w:rsid w:val="00C013E6"/>
    <w:rsid w:val="00C21357"/>
    <w:rsid w:val="00C42E70"/>
    <w:rsid w:val="00C51796"/>
    <w:rsid w:val="00C64828"/>
    <w:rsid w:val="00C675E1"/>
    <w:rsid w:val="00C83005"/>
    <w:rsid w:val="00C91596"/>
    <w:rsid w:val="00CA7C7F"/>
    <w:rsid w:val="00CB481C"/>
    <w:rsid w:val="00CC7351"/>
    <w:rsid w:val="00CD24D9"/>
    <w:rsid w:val="00CD6C14"/>
    <w:rsid w:val="00CF1F44"/>
    <w:rsid w:val="00D12F12"/>
    <w:rsid w:val="00D65498"/>
    <w:rsid w:val="00D71603"/>
    <w:rsid w:val="00D749E2"/>
    <w:rsid w:val="00D775A4"/>
    <w:rsid w:val="00D83D16"/>
    <w:rsid w:val="00DA3261"/>
    <w:rsid w:val="00DB03A1"/>
    <w:rsid w:val="00DC5AF5"/>
    <w:rsid w:val="00DE1C9D"/>
    <w:rsid w:val="00E12037"/>
    <w:rsid w:val="00E22541"/>
    <w:rsid w:val="00E255F4"/>
    <w:rsid w:val="00E27C0E"/>
    <w:rsid w:val="00E31B80"/>
    <w:rsid w:val="00E32D18"/>
    <w:rsid w:val="00E56905"/>
    <w:rsid w:val="00E83DD4"/>
    <w:rsid w:val="00EA29BC"/>
    <w:rsid w:val="00EB21E3"/>
    <w:rsid w:val="00ED1261"/>
    <w:rsid w:val="00ED4272"/>
    <w:rsid w:val="00EF4FE0"/>
    <w:rsid w:val="00F42994"/>
    <w:rsid w:val="00F53E3C"/>
    <w:rsid w:val="00F6334A"/>
    <w:rsid w:val="00F72B9C"/>
    <w:rsid w:val="00F82437"/>
    <w:rsid w:val="00F9005D"/>
    <w:rsid w:val="00F958F2"/>
    <w:rsid w:val="00FA07ED"/>
    <w:rsid w:val="00FA2738"/>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hyperlink" Target="https://www.webapps.nwfsc.noaa.gov/apex/f?p=261:1:::NO::P1_ARCHIVE_NOTE_CHECK:1&amp;cs=1A0A1845C9A3C7202FD5C2934C6FD9410" TargetMode="External"/><Relationship Id="rId3" Type="http://schemas.openxmlformats.org/officeDocument/2006/relationships/webSettings" Target="webSettings.xml"/><Relationship Id="rId21" Type="http://schemas.openxmlformats.org/officeDocument/2006/relationships/hyperlink" Target="https://www.esrl.noaa.gov/psd/data/gridded/data.noaa.ersst.v5.html" TargetMode="Externa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hyperlink" Target="http://research.jisao.washington.edu/pdo/PDO.latest.txt" TargetMode="Externa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hyperlink" Target="https://waterdata.usgs.gov/nwis/uv?site_no=14105700" TargetMode="Externa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hyperlink" Target="https://www.integratedecosystemassessment.noaa.gov/regions/california-current/cc-indicator-climate-ocean-drivers"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www.o3d.org/npgo/" TargetMode="External"/><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hyperlink" Target="https://oceanview.pfeg.noaa.gov/products/upwelling/dnld" TargetMode="External"/><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44</Pages>
  <Words>6724</Words>
  <Characters>38327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Megan Feddern</cp:lastModifiedBy>
  <cp:revision>7</cp:revision>
  <dcterms:created xsi:type="dcterms:W3CDTF">2021-11-17T01:08:00Z</dcterms:created>
  <dcterms:modified xsi:type="dcterms:W3CDTF">2021-11-22T19:04:00Z</dcterms:modified>
</cp:coreProperties>
</file>