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2A2" w:rsidRDefault="00D6420A">
      <w:r>
        <w:t>Part a:</w:t>
      </w:r>
    </w:p>
    <w:p w:rsidR="00D6420A" w:rsidRDefault="00D6420A">
      <w:proofErr w:type="spellStart"/>
      <w:r>
        <w:t>i</w:t>
      </w:r>
      <w:proofErr w:type="spellEnd"/>
      <w:r>
        <w:t>.</w:t>
      </w:r>
    </w:p>
    <w:p w:rsidR="00D6420A" w:rsidRDefault="00F92292">
      <w:r>
        <w:t xml:space="preserve">Tables 1-3 show the percentage of subjects within each response category by subtype for each of the three subtyping strategies. </w:t>
      </w:r>
      <w:r w:rsidR="00D946AE">
        <w:t xml:space="preserve">For strategy A, more than 50% of subjects with subtypes A2 and A3 fall into the complete response category. This is a similar trend for subtypes B2-4 and C2. Subtype A1, B1 and C1 shows a more even distribution of response categories, with higher percentages trending towards progressive disease. </w:t>
      </w:r>
    </w:p>
    <w:tbl>
      <w:tblPr>
        <w:tblStyle w:val="TableGrid"/>
        <w:tblW w:w="0" w:type="auto"/>
        <w:tblLook w:val="04A0" w:firstRow="1" w:lastRow="0" w:firstColumn="1" w:lastColumn="0" w:noHBand="0" w:noVBand="1"/>
      </w:tblPr>
      <w:tblGrid>
        <w:gridCol w:w="1180"/>
        <w:gridCol w:w="960"/>
        <w:gridCol w:w="960"/>
        <w:gridCol w:w="960"/>
        <w:gridCol w:w="960"/>
      </w:tblGrid>
      <w:tr w:rsidR="00400C40" w:rsidRPr="00400C40" w:rsidTr="00400C40">
        <w:trPr>
          <w:trHeight w:val="300"/>
        </w:trPr>
        <w:tc>
          <w:tcPr>
            <w:tcW w:w="1180" w:type="dxa"/>
            <w:vMerge w:val="restart"/>
            <w:hideMark/>
          </w:tcPr>
          <w:p w:rsidR="00400C40" w:rsidRPr="00400C40" w:rsidRDefault="00400C40" w:rsidP="00400C40">
            <w:pPr>
              <w:rPr>
                <w:b/>
                <w:bCs/>
              </w:rPr>
            </w:pPr>
            <w:r w:rsidRPr="00400C40">
              <w:rPr>
                <w:b/>
                <w:bCs/>
              </w:rPr>
              <w:t>Response</w:t>
            </w:r>
          </w:p>
        </w:tc>
        <w:tc>
          <w:tcPr>
            <w:tcW w:w="3840" w:type="dxa"/>
            <w:gridSpan w:val="4"/>
            <w:hideMark/>
          </w:tcPr>
          <w:p w:rsidR="00400C40" w:rsidRPr="00400C40" w:rsidRDefault="00400C40" w:rsidP="00400C40">
            <w:pPr>
              <w:rPr>
                <w:b/>
                <w:bCs/>
              </w:rPr>
            </w:pPr>
            <w:r w:rsidRPr="00400C40">
              <w:rPr>
                <w:b/>
                <w:bCs/>
              </w:rPr>
              <w:t>Subtyping A</w:t>
            </w:r>
          </w:p>
        </w:tc>
      </w:tr>
      <w:tr w:rsidR="00400C40" w:rsidRPr="00400C40" w:rsidTr="00400C40">
        <w:trPr>
          <w:trHeight w:val="600"/>
        </w:trPr>
        <w:tc>
          <w:tcPr>
            <w:tcW w:w="1180" w:type="dxa"/>
            <w:vMerge/>
            <w:hideMark/>
          </w:tcPr>
          <w:p w:rsidR="00400C40" w:rsidRPr="00400C40" w:rsidRDefault="00400C40">
            <w:pPr>
              <w:rPr>
                <w:b/>
                <w:bCs/>
              </w:rPr>
            </w:pPr>
          </w:p>
        </w:tc>
        <w:tc>
          <w:tcPr>
            <w:tcW w:w="960" w:type="dxa"/>
            <w:hideMark/>
          </w:tcPr>
          <w:p w:rsidR="00400C40" w:rsidRPr="00400C40" w:rsidRDefault="00400C40" w:rsidP="00400C40">
            <w:pPr>
              <w:rPr>
                <w:b/>
                <w:bCs/>
              </w:rPr>
            </w:pPr>
            <w:r w:rsidRPr="00400C40">
              <w:rPr>
                <w:b/>
                <w:bCs/>
              </w:rPr>
              <w:t>1</w:t>
            </w:r>
          </w:p>
        </w:tc>
        <w:tc>
          <w:tcPr>
            <w:tcW w:w="960" w:type="dxa"/>
            <w:hideMark/>
          </w:tcPr>
          <w:p w:rsidR="00400C40" w:rsidRPr="00400C40" w:rsidRDefault="00400C40" w:rsidP="00400C40">
            <w:pPr>
              <w:rPr>
                <w:b/>
                <w:bCs/>
              </w:rPr>
            </w:pPr>
            <w:r w:rsidRPr="00400C40">
              <w:rPr>
                <w:b/>
                <w:bCs/>
              </w:rPr>
              <w:t>2</w:t>
            </w:r>
          </w:p>
        </w:tc>
        <w:tc>
          <w:tcPr>
            <w:tcW w:w="960" w:type="dxa"/>
            <w:hideMark/>
          </w:tcPr>
          <w:p w:rsidR="00400C40" w:rsidRPr="00400C40" w:rsidRDefault="00400C40" w:rsidP="00400C40">
            <w:pPr>
              <w:rPr>
                <w:b/>
                <w:bCs/>
              </w:rPr>
            </w:pPr>
            <w:r w:rsidRPr="00400C40">
              <w:rPr>
                <w:b/>
                <w:bCs/>
              </w:rPr>
              <w:t>3</w:t>
            </w:r>
          </w:p>
        </w:tc>
        <w:tc>
          <w:tcPr>
            <w:tcW w:w="960" w:type="dxa"/>
            <w:hideMark/>
          </w:tcPr>
          <w:p w:rsidR="00400C40" w:rsidRPr="00400C40" w:rsidRDefault="00400C40" w:rsidP="00400C40">
            <w:pPr>
              <w:rPr>
                <w:b/>
                <w:bCs/>
              </w:rPr>
            </w:pPr>
            <w:r w:rsidRPr="00400C40">
              <w:rPr>
                <w:b/>
                <w:bCs/>
              </w:rPr>
              <w:t>Total</w:t>
            </w:r>
          </w:p>
        </w:tc>
      </w:tr>
      <w:tr w:rsidR="00400C40" w:rsidRPr="00400C40" w:rsidTr="00400C40">
        <w:trPr>
          <w:trHeight w:val="300"/>
        </w:trPr>
        <w:tc>
          <w:tcPr>
            <w:tcW w:w="1180" w:type="dxa"/>
            <w:hideMark/>
          </w:tcPr>
          <w:p w:rsidR="00400C40" w:rsidRPr="00400C40" w:rsidRDefault="00400C40" w:rsidP="00400C40">
            <w:pPr>
              <w:rPr>
                <w:b/>
                <w:bCs/>
              </w:rPr>
            </w:pPr>
            <w:r w:rsidRPr="00400C40">
              <w:rPr>
                <w:b/>
                <w:bCs/>
              </w:rPr>
              <w:t>1</w:t>
            </w:r>
          </w:p>
        </w:tc>
        <w:tc>
          <w:tcPr>
            <w:tcW w:w="960" w:type="dxa"/>
            <w:hideMark/>
          </w:tcPr>
          <w:p w:rsidR="00400C40" w:rsidRPr="00400C40" w:rsidRDefault="00400C40" w:rsidP="00400C40">
            <w:r w:rsidRPr="00400C40">
              <w:t>31.15</w:t>
            </w:r>
          </w:p>
        </w:tc>
        <w:tc>
          <w:tcPr>
            <w:tcW w:w="960" w:type="dxa"/>
            <w:hideMark/>
          </w:tcPr>
          <w:p w:rsidR="00400C40" w:rsidRPr="00400C40" w:rsidRDefault="00400C40" w:rsidP="00400C40">
            <w:r w:rsidRPr="00400C40">
              <w:t>6.85</w:t>
            </w:r>
          </w:p>
        </w:tc>
        <w:tc>
          <w:tcPr>
            <w:tcW w:w="960" w:type="dxa"/>
            <w:hideMark/>
          </w:tcPr>
          <w:p w:rsidR="00400C40" w:rsidRPr="00400C40" w:rsidRDefault="00400C40" w:rsidP="00400C40">
            <w:r w:rsidRPr="00400C40">
              <w:t>10.61</w:t>
            </w:r>
          </w:p>
        </w:tc>
        <w:tc>
          <w:tcPr>
            <w:tcW w:w="960" w:type="dxa"/>
            <w:hideMark/>
          </w:tcPr>
          <w:p w:rsidR="00400C40" w:rsidRPr="00400C40" w:rsidRDefault="00400C40" w:rsidP="00400C40"/>
        </w:tc>
      </w:tr>
      <w:tr w:rsidR="00400C40" w:rsidRPr="00400C40" w:rsidTr="00400C40">
        <w:trPr>
          <w:trHeight w:val="300"/>
        </w:trPr>
        <w:tc>
          <w:tcPr>
            <w:tcW w:w="1180" w:type="dxa"/>
            <w:hideMark/>
          </w:tcPr>
          <w:p w:rsidR="00400C40" w:rsidRPr="00400C40" w:rsidRDefault="00400C40" w:rsidP="00400C40">
            <w:pPr>
              <w:rPr>
                <w:b/>
                <w:bCs/>
              </w:rPr>
            </w:pPr>
            <w:r w:rsidRPr="00400C40">
              <w:rPr>
                <w:b/>
                <w:bCs/>
              </w:rPr>
              <w:t>2</w:t>
            </w:r>
          </w:p>
        </w:tc>
        <w:tc>
          <w:tcPr>
            <w:tcW w:w="960" w:type="dxa"/>
            <w:hideMark/>
          </w:tcPr>
          <w:p w:rsidR="00400C40" w:rsidRPr="00400C40" w:rsidRDefault="00400C40" w:rsidP="00400C40">
            <w:r w:rsidRPr="00400C40">
              <w:t>16.39</w:t>
            </w:r>
          </w:p>
        </w:tc>
        <w:tc>
          <w:tcPr>
            <w:tcW w:w="960" w:type="dxa"/>
            <w:hideMark/>
          </w:tcPr>
          <w:p w:rsidR="00400C40" w:rsidRPr="00400C40" w:rsidRDefault="00400C40" w:rsidP="00400C40">
            <w:r w:rsidRPr="00400C40">
              <w:t>17.81</w:t>
            </w:r>
          </w:p>
        </w:tc>
        <w:tc>
          <w:tcPr>
            <w:tcW w:w="960" w:type="dxa"/>
            <w:hideMark/>
          </w:tcPr>
          <w:p w:rsidR="00400C40" w:rsidRPr="00400C40" w:rsidRDefault="00400C40" w:rsidP="00400C40">
            <w:r w:rsidRPr="00400C40">
              <w:t>10.61</w:t>
            </w:r>
          </w:p>
        </w:tc>
        <w:tc>
          <w:tcPr>
            <w:tcW w:w="960" w:type="dxa"/>
            <w:hideMark/>
          </w:tcPr>
          <w:p w:rsidR="00400C40" w:rsidRPr="00400C40" w:rsidRDefault="00400C40" w:rsidP="00400C40"/>
        </w:tc>
      </w:tr>
      <w:tr w:rsidR="00400C40" w:rsidRPr="00400C40" w:rsidTr="00400C40">
        <w:trPr>
          <w:trHeight w:val="300"/>
        </w:trPr>
        <w:tc>
          <w:tcPr>
            <w:tcW w:w="1180" w:type="dxa"/>
            <w:hideMark/>
          </w:tcPr>
          <w:p w:rsidR="00400C40" w:rsidRPr="00400C40" w:rsidRDefault="00400C40" w:rsidP="00400C40">
            <w:pPr>
              <w:rPr>
                <w:b/>
                <w:bCs/>
              </w:rPr>
            </w:pPr>
            <w:r w:rsidRPr="00400C40">
              <w:rPr>
                <w:b/>
                <w:bCs/>
              </w:rPr>
              <w:t>3</w:t>
            </w:r>
          </w:p>
        </w:tc>
        <w:tc>
          <w:tcPr>
            <w:tcW w:w="960" w:type="dxa"/>
            <w:hideMark/>
          </w:tcPr>
          <w:p w:rsidR="00400C40" w:rsidRPr="00400C40" w:rsidRDefault="00400C40" w:rsidP="00400C40">
            <w:r w:rsidRPr="00400C40">
              <w:t>32.79</w:t>
            </w:r>
          </w:p>
        </w:tc>
        <w:tc>
          <w:tcPr>
            <w:tcW w:w="960" w:type="dxa"/>
            <w:hideMark/>
          </w:tcPr>
          <w:p w:rsidR="00400C40" w:rsidRPr="00400C40" w:rsidRDefault="00400C40" w:rsidP="00400C40">
            <w:r w:rsidRPr="00400C40">
              <w:t>23.29</w:t>
            </w:r>
          </w:p>
        </w:tc>
        <w:tc>
          <w:tcPr>
            <w:tcW w:w="960" w:type="dxa"/>
            <w:hideMark/>
          </w:tcPr>
          <w:p w:rsidR="00400C40" w:rsidRPr="00400C40" w:rsidRDefault="00400C40" w:rsidP="00400C40">
            <w:r w:rsidRPr="00400C40">
              <w:t>19.7</w:t>
            </w:r>
          </w:p>
        </w:tc>
        <w:tc>
          <w:tcPr>
            <w:tcW w:w="960" w:type="dxa"/>
            <w:hideMark/>
          </w:tcPr>
          <w:p w:rsidR="00400C40" w:rsidRPr="00400C40" w:rsidRDefault="00400C40" w:rsidP="00400C40"/>
        </w:tc>
      </w:tr>
      <w:tr w:rsidR="00400C40" w:rsidRPr="00400C40" w:rsidTr="00400C40">
        <w:trPr>
          <w:trHeight w:val="300"/>
        </w:trPr>
        <w:tc>
          <w:tcPr>
            <w:tcW w:w="1180" w:type="dxa"/>
            <w:hideMark/>
          </w:tcPr>
          <w:p w:rsidR="00400C40" w:rsidRPr="00400C40" w:rsidRDefault="00400C40" w:rsidP="00400C40">
            <w:pPr>
              <w:rPr>
                <w:b/>
                <w:bCs/>
              </w:rPr>
            </w:pPr>
            <w:r w:rsidRPr="00400C40">
              <w:rPr>
                <w:b/>
                <w:bCs/>
              </w:rPr>
              <w:t>4</w:t>
            </w:r>
          </w:p>
        </w:tc>
        <w:tc>
          <w:tcPr>
            <w:tcW w:w="960" w:type="dxa"/>
            <w:hideMark/>
          </w:tcPr>
          <w:p w:rsidR="00400C40" w:rsidRPr="00400C40" w:rsidRDefault="00400C40" w:rsidP="00400C40">
            <w:r w:rsidRPr="00400C40">
              <w:t>19.67</w:t>
            </w:r>
          </w:p>
        </w:tc>
        <w:tc>
          <w:tcPr>
            <w:tcW w:w="960" w:type="dxa"/>
            <w:hideMark/>
          </w:tcPr>
          <w:p w:rsidR="00400C40" w:rsidRPr="00400C40" w:rsidRDefault="00400C40" w:rsidP="00400C40">
            <w:r w:rsidRPr="00400C40">
              <w:t>52.05</w:t>
            </w:r>
          </w:p>
        </w:tc>
        <w:tc>
          <w:tcPr>
            <w:tcW w:w="960" w:type="dxa"/>
            <w:hideMark/>
          </w:tcPr>
          <w:p w:rsidR="00400C40" w:rsidRPr="00400C40" w:rsidRDefault="00400C40" w:rsidP="00400C40">
            <w:r w:rsidRPr="00400C40">
              <w:t>59.09</w:t>
            </w:r>
          </w:p>
        </w:tc>
        <w:tc>
          <w:tcPr>
            <w:tcW w:w="960" w:type="dxa"/>
            <w:hideMark/>
          </w:tcPr>
          <w:p w:rsidR="00400C40" w:rsidRPr="00400C40" w:rsidRDefault="00400C40" w:rsidP="00400C40"/>
        </w:tc>
      </w:tr>
      <w:tr w:rsidR="00400C40" w:rsidRPr="00400C40" w:rsidTr="00400C40">
        <w:trPr>
          <w:trHeight w:val="300"/>
        </w:trPr>
        <w:tc>
          <w:tcPr>
            <w:tcW w:w="1180" w:type="dxa"/>
            <w:hideMark/>
          </w:tcPr>
          <w:p w:rsidR="00400C40" w:rsidRPr="00400C40" w:rsidRDefault="00400C40" w:rsidP="00400C40">
            <w:pPr>
              <w:rPr>
                <w:b/>
                <w:bCs/>
              </w:rPr>
            </w:pPr>
            <w:r w:rsidRPr="00400C40">
              <w:rPr>
                <w:b/>
                <w:bCs/>
              </w:rPr>
              <w:t>Total</w:t>
            </w:r>
          </w:p>
        </w:tc>
        <w:tc>
          <w:tcPr>
            <w:tcW w:w="960" w:type="dxa"/>
            <w:hideMark/>
          </w:tcPr>
          <w:p w:rsidR="00400C40" w:rsidRPr="00400C40" w:rsidRDefault="00400C40" w:rsidP="00400C40">
            <w:r w:rsidRPr="00400C40">
              <w:t>61</w:t>
            </w:r>
          </w:p>
        </w:tc>
        <w:tc>
          <w:tcPr>
            <w:tcW w:w="960" w:type="dxa"/>
            <w:hideMark/>
          </w:tcPr>
          <w:p w:rsidR="00400C40" w:rsidRPr="00400C40" w:rsidRDefault="00400C40" w:rsidP="00400C40">
            <w:r w:rsidRPr="00400C40">
              <w:t>73</w:t>
            </w:r>
          </w:p>
        </w:tc>
        <w:tc>
          <w:tcPr>
            <w:tcW w:w="960" w:type="dxa"/>
            <w:hideMark/>
          </w:tcPr>
          <w:p w:rsidR="00400C40" w:rsidRPr="00400C40" w:rsidRDefault="00400C40" w:rsidP="00400C40">
            <w:r w:rsidRPr="00400C40">
              <w:t>66</w:t>
            </w:r>
          </w:p>
        </w:tc>
        <w:tc>
          <w:tcPr>
            <w:tcW w:w="960" w:type="dxa"/>
            <w:hideMark/>
          </w:tcPr>
          <w:p w:rsidR="00400C40" w:rsidRPr="00400C40" w:rsidRDefault="00400C40" w:rsidP="00400C40">
            <w:r w:rsidRPr="00400C40">
              <w:t>200</w:t>
            </w:r>
          </w:p>
        </w:tc>
      </w:tr>
    </w:tbl>
    <w:p w:rsidR="00D6420A" w:rsidRDefault="00D6420A"/>
    <w:tbl>
      <w:tblPr>
        <w:tblStyle w:val="TableGrid"/>
        <w:tblW w:w="0" w:type="auto"/>
        <w:tblLook w:val="04A0" w:firstRow="1" w:lastRow="0" w:firstColumn="1" w:lastColumn="0" w:noHBand="0" w:noVBand="1"/>
      </w:tblPr>
      <w:tblGrid>
        <w:gridCol w:w="1260"/>
        <w:gridCol w:w="960"/>
        <w:gridCol w:w="960"/>
        <w:gridCol w:w="960"/>
        <w:gridCol w:w="960"/>
        <w:gridCol w:w="960"/>
      </w:tblGrid>
      <w:tr w:rsidR="00400C40" w:rsidRPr="00400C40" w:rsidTr="00400C40">
        <w:trPr>
          <w:trHeight w:val="300"/>
        </w:trPr>
        <w:tc>
          <w:tcPr>
            <w:tcW w:w="1260" w:type="dxa"/>
            <w:vMerge w:val="restart"/>
            <w:hideMark/>
          </w:tcPr>
          <w:p w:rsidR="00400C40" w:rsidRPr="00400C40" w:rsidRDefault="00400C40" w:rsidP="00400C40">
            <w:pPr>
              <w:rPr>
                <w:b/>
                <w:bCs/>
              </w:rPr>
            </w:pPr>
            <w:r w:rsidRPr="00400C40">
              <w:rPr>
                <w:b/>
                <w:bCs/>
              </w:rPr>
              <w:t>Response</w:t>
            </w:r>
          </w:p>
        </w:tc>
        <w:tc>
          <w:tcPr>
            <w:tcW w:w="4800" w:type="dxa"/>
            <w:gridSpan w:val="5"/>
            <w:hideMark/>
          </w:tcPr>
          <w:p w:rsidR="00400C40" w:rsidRPr="00400C40" w:rsidRDefault="00400C40" w:rsidP="00400C40">
            <w:pPr>
              <w:rPr>
                <w:b/>
                <w:bCs/>
              </w:rPr>
            </w:pPr>
            <w:r w:rsidRPr="00400C40">
              <w:rPr>
                <w:b/>
                <w:bCs/>
              </w:rPr>
              <w:t>Subtyping B</w:t>
            </w:r>
          </w:p>
        </w:tc>
      </w:tr>
      <w:tr w:rsidR="00400C40" w:rsidRPr="00400C40" w:rsidTr="00400C40">
        <w:trPr>
          <w:trHeight w:val="600"/>
        </w:trPr>
        <w:tc>
          <w:tcPr>
            <w:tcW w:w="1260" w:type="dxa"/>
            <w:vMerge/>
            <w:hideMark/>
          </w:tcPr>
          <w:p w:rsidR="00400C40" w:rsidRPr="00400C40" w:rsidRDefault="00400C40">
            <w:pPr>
              <w:rPr>
                <w:b/>
                <w:bCs/>
              </w:rPr>
            </w:pPr>
          </w:p>
        </w:tc>
        <w:tc>
          <w:tcPr>
            <w:tcW w:w="960" w:type="dxa"/>
            <w:hideMark/>
          </w:tcPr>
          <w:p w:rsidR="00400C40" w:rsidRPr="00400C40" w:rsidRDefault="00400C40" w:rsidP="00400C40">
            <w:pPr>
              <w:rPr>
                <w:b/>
                <w:bCs/>
              </w:rPr>
            </w:pPr>
            <w:r w:rsidRPr="00400C40">
              <w:rPr>
                <w:b/>
                <w:bCs/>
              </w:rPr>
              <w:t>1</w:t>
            </w:r>
          </w:p>
        </w:tc>
        <w:tc>
          <w:tcPr>
            <w:tcW w:w="960" w:type="dxa"/>
            <w:hideMark/>
          </w:tcPr>
          <w:p w:rsidR="00400C40" w:rsidRPr="00400C40" w:rsidRDefault="00400C40" w:rsidP="00400C40">
            <w:pPr>
              <w:rPr>
                <w:b/>
                <w:bCs/>
              </w:rPr>
            </w:pPr>
            <w:r w:rsidRPr="00400C40">
              <w:rPr>
                <w:b/>
                <w:bCs/>
              </w:rPr>
              <w:t>2</w:t>
            </w:r>
          </w:p>
        </w:tc>
        <w:tc>
          <w:tcPr>
            <w:tcW w:w="960" w:type="dxa"/>
            <w:hideMark/>
          </w:tcPr>
          <w:p w:rsidR="00400C40" w:rsidRPr="00400C40" w:rsidRDefault="00400C40" w:rsidP="00400C40">
            <w:pPr>
              <w:rPr>
                <w:b/>
                <w:bCs/>
              </w:rPr>
            </w:pPr>
            <w:r w:rsidRPr="00400C40">
              <w:rPr>
                <w:b/>
                <w:bCs/>
              </w:rPr>
              <w:t>3</w:t>
            </w:r>
          </w:p>
        </w:tc>
        <w:tc>
          <w:tcPr>
            <w:tcW w:w="960" w:type="dxa"/>
            <w:hideMark/>
          </w:tcPr>
          <w:p w:rsidR="00400C40" w:rsidRPr="00400C40" w:rsidRDefault="00400C40" w:rsidP="00400C40">
            <w:pPr>
              <w:rPr>
                <w:b/>
                <w:bCs/>
              </w:rPr>
            </w:pPr>
            <w:r w:rsidRPr="00400C40">
              <w:rPr>
                <w:b/>
                <w:bCs/>
              </w:rPr>
              <w:t>4</w:t>
            </w:r>
          </w:p>
        </w:tc>
        <w:tc>
          <w:tcPr>
            <w:tcW w:w="960" w:type="dxa"/>
            <w:hideMark/>
          </w:tcPr>
          <w:p w:rsidR="00400C40" w:rsidRPr="00400C40" w:rsidRDefault="00400C40" w:rsidP="00400C40">
            <w:pPr>
              <w:rPr>
                <w:b/>
                <w:bCs/>
              </w:rPr>
            </w:pPr>
            <w:r w:rsidRPr="00400C40">
              <w:rPr>
                <w:b/>
                <w:bCs/>
              </w:rPr>
              <w:t>Total</w:t>
            </w:r>
          </w:p>
        </w:tc>
      </w:tr>
      <w:tr w:rsidR="00400C40" w:rsidRPr="00400C40" w:rsidTr="00400C40">
        <w:trPr>
          <w:trHeight w:val="300"/>
        </w:trPr>
        <w:tc>
          <w:tcPr>
            <w:tcW w:w="1260" w:type="dxa"/>
            <w:hideMark/>
          </w:tcPr>
          <w:p w:rsidR="00400C40" w:rsidRPr="00400C40" w:rsidRDefault="00400C40" w:rsidP="00400C40">
            <w:pPr>
              <w:rPr>
                <w:b/>
                <w:bCs/>
              </w:rPr>
            </w:pPr>
            <w:r w:rsidRPr="00400C40">
              <w:rPr>
                <w:b/>
                <w:bCs/>
              </w:rPr>
              <w:t>1</w:t>
            </w:r>
          </w:p>
        </w:tc>
        <w:tc>
          <w:tcPr>
            <w:tcW w:w="960" w:type="dxa"/>
            <w:hideMark/>
          </w:tcPr>
          <w:p w:rsidR="00400C40" w:rsidRPr="00400C40" w:rsidRDefault="00400C40" w:rsidP="00400C40">
            <w:r w:rsidRPr="00400C40">
              <w:t>27.94</w:t>
            </w:r>
          </w:p>
        </w:tc>
        <w:tc>
          <w:tcPr>
            <w:tcW w:w="960" w:type="dxa"/>
            <w:hideMark/>
          </w:tcPr>
          <w:p w:rsidR="00400C40" w:rsidRPr="00400C40" w:rsidRDefault="00400C40" w:rsidP="00400C40">
            <w:r w:rsidRPr="00400C40">
              <w:t>13.04</w:t>
            </w:r>
          </w:p>
        </w:tc>
        <w:tc>
          <w:tcPr>
            <w:tcW w:w="960" w:type="dxa"/>
            <w:hideMark/>
          </w:tcPr>
          <w:p w:rsidR="00400C40" w:rsidRPr="00400C40" w:rsidRDefault="00400C40" w:rsidP="00400C40">
            <w:r w:rsidRPr="00400C40">
              <w:t>0</w:t>
            </w:r>
          </w:p>
        </w:tc>
        <w:tc>
          <w:tcPr>
            <w:tcW w:w="960" w:type="dxa"/>
            <w:hideMark/>
          </w:tcPr>
          <w:p w:rsidR="00400C40" w:rsidRPr="00400C40" w:rsidRDefault="00400C40" w:rsidP="00400C40">
            <w:r w:rsidRPr="00400C40">
              <w:t>10.71</w:t>
            </w:r>
          </w:p>
        </w:tc>
        <w:tc>
          <w:tcPr>
            <w:tcW w:w="960" w:type="dxa"/>
            <w:hideMark/>
          </w:tcPr>
          <w:p w:rsidR="00400C40" w:rsidRPr="00400C40" w:rsidRDefault="00400C40" w:rsidP="00400C40"/>
        </w:tc>
      </w:tr>
      <w:tr w:rsidR="00400C40" w:rsidRPr="00400C40" w:rsidTr="00400C40">
        <w:trPr>
          <w:trHeight w:val="300"/>
        </w:trPr>
        <w:tc>
          <w:tcPr>
            <w:tcW w:w="1260" w:type="dxa"/>
            <w:hideMark/>
          </w:tcPr>
          <w:p w:rsidR="00400C40" w:rsidRPr="00400C40" w:rsidRDefault="00400C40" w:rsidP="00400C40">
            <w:pPr>
              <w:rPr>
                <w:b/>
                <w:bCs/>
              </w:rPr>
            </w:pPr>
            <w:r w:rsidRPr="00400C40">
              <w:rPr>
                <w:b/>
                <w:bCs/>
              </w:rPr>
              <w:t>2</w:t>
            </w:r>
          </w:p>
        </w:tc>
        <w:tc>
          <w:tcPr>
            <w:tcW w:w="960" w:type="dxa"/>
            <w:hideMark/>
          </w:tcPr>
          <w:p w:rsidR="00400C40" w:rsidRPr="00400C40" w:rsidRDefault="00400C40" w:rsidP="00400C40">
            <w:r w:rsidRPr="00400C40">
              <w:t>13.24</w:t>
            </w:r>
          </w:p>
        </w:tc>
        <w:tc>
          <w:tcPr>
            <w:tcW w:w="960" w:type="dxa"/>
            <w:hideMark/>
          </w:tcPr>
          <w:p w:rsidR="00400C40" w:rsidRPr="00400C40" w:rsidRDefault="00400C40" w:rsidP="00400C40">
            <w:r w:rsidRPr="00400C40">
              <w:t>8.7</w:t>
            </w:r>
          </w:p>
        </w:tc>
        <w:tc>
          <w:tcPr>
            <w:tcW w:w="960" w:type="dxa"/>
            <w:hideMark/>
          </w:tcPr>
          <w:p w:rsidR="00400C40" w:rsidRPr="00400C40" w:rsidRDefault="00400C40" w:rsidP="00400C40">
            <w:r w:rsidRPr="00400C40">
              <w:t>23.33</w:t>
            </w:r>
          </w:p>
        </w:tc>
        <w:tc>
          <w:tcPr>
            <w:tcW w:w="960" w:type="dxa"/>
            <w:hideMark/>
          </w:tcPr>
          <w:p w:rsidR="00400C40" w:rsidRPr="00400C40" w:rsidRDefault="00400C40" w:rsidP="00400C40">
            <w:r w:rsidRPr="00400C40">
              <w:t>17.86</w:t>
            </w:r>
          </w:p>
        </w:tc>
        <w:tc>
          <w:tcPr>
            <w:tcW w:w="960" w:type="dxa"/>
            <w:hideMark/>
          </w:tcPr>
          <w:p w:rsidR="00400C40" w:rsidRPr="00400C40" w:rsidRDefault="00400C40" w:rsidP="00400C40"/>
        </w:tc>
      </w:tr>
      <w:tr w:rsidR="00400C40" w:rsidRPr="00400C40" w:rsidTr="00400C40">
        <w:trPr>
          <w:trHeight w:val="300"/>
        </w:trPr>
        <w:tc>
          <w:tcPr>
            <w:tcW w:w="1260" w:type="dxa"/>
            <w:hideMark/>
          </w:tcPr>
          <w:p w:rsidR="00400C40" w:rsidRPr="00400C40" w:rsidRDefault="00400C40" w:rsidP="00400C40">
            <w:pPr>
              <w:rPr>
                <w:b/>
                <w:bCs/>
              </w:rPr>
            </w:pPr>
            <w:r w:rsidRPr="00400C40">
              <w:rPr>
                <w:b/>
                <w:bCs/>
              </w:rPr>
              <w:t>3</w:t>
            </w:r>
          </w:p>
        </w:tc>
        <w:tc>
          <w:tcPr>
            <w:tcW w:w="960" w:type="dxa"/>
            <w:hideMark/>
          </w:tcPr>
          <w:p w:rsidR="00400C40" w:rsidRPr="00400C40" w:rsidRDefault="00400C40" w:rsidP="00400C40">
            <w:r w:rsidRPr="00400C40">
              <w:t>33.82</w:t>
            </w:r>
          </w:p>
        </w:tc>
        <w:tc>
          <w:tcPr>
            <w:tcW w:w="960" w:type="dxa"/>
            <w:hideMark/>
          </w:tcPr>
          <w:p w:rsidR="00400C40" w:rsidRPr="00400C40" w:rsidRDefault="00400C40" w:rsidP="00400C40">
            <w:r w:rsidRPr="00400C40">
              <w:t>23.91</w:t>
            </w:r>
          </w:p>
        </w:tc>
        <w:tc>
          <w:tcPr>
            <w:tcW w:w="960" w:type="dxa"/>
            <w:hideMark/>
          </w:tcPr>
          <w:p w:rsidR="00400C40" w:rsidRPr="00400C40" w:rsidRDefault="00400C40" w:rsidP="00400C40">
            <w:r w:rsidRPr="00400C40">
              <w:t>20</w:t>
            </w:r>
          </w:p>
        </w:tc>
        <w:tc>
          <w:tcPr>
            <w:tcW w:w="960" w:type="dxa"/>
            <w:hideMark/>
          </w:tcPr>
          <w:p w:rsidR="00400C40" w:rsidRPr="00400C40" w:rsidRDefault="00400C40" w:rsidP="00400C40">
            <w:r w:rsidRPr="00400C40">
              <w:t>17.86</w:t>
            </w:r>
          </w:p>
        </w:tc>
        <w:tc>
          <w:tcPr>
            <w:tcW w:w="960" w:type="dxa"/>
            <w:hideMark/>
          </w:tcPr>
          <w:p w:rsidR="00400C40" w:rsidRPr="00400C40" w:rsidRDefault="00400C40" w:rsidP="00400C40"/>
        </w:tc>
      </w:tr>
      <w:tr w:rsidR="00400C40" w:rsidRPr="00400C40" w:rsidTr="00400C40">
        <w:trPr>
          <w:trHeight w:val="300"/>
        </w:trPr>
        <w:tc>
          <w:tcPr>
            <w:tcW w:w="1260" w:type="dxa"/>
            <w:hideMark/>
          </w:tcPr>
          <w:p w:rsidR="00400C40" w:rsidRPr="00400C40" w:rsidRDefault="00400C40" w:rsidP="00400C40">
            <w:pPr>
              <w:rPr>
                <w:b/>
                <w:bCs/>
              </w:rPr>
            </w:pPr>
            <w:r w:rsidRPr="00400C40">
              <w:rPr>
                <w:b/>
                <w:bCs/>
              </w:rPr>
              <w:t>4</w:t>
            </w:r>
          </w:p>
        </w:tc>
        <w:tc>
          <w:tcPr>
            <w:tcW w:w="960" w:type="dxa"/>
            <w:hideMark/>
          </w:tcPr>
          <w:p w:rsidR="00400C40" w:rsidRPr="00400C40" w:rsidRDefault="00400C40" w:rsidP="00400C40">
            <w:r w:rsidRPr="00400C40">
              <w:t>25</w:t>
            </w:r>
          </w:p>
        </w:tc>
        <w:tc>
          <w:tcPr>
            <w:tcW w:w="960" w:type="dxa"/>
            <w:hideMark/>
          </w:tcPr>
          <w:p w:rsidR="00400C40" w:rsidRPr="00400C40" w:rsidRDefault="00400C40" w:rsidP="00400C40">
            <w:r w:rsidRPr="00400C40">
              <w:t>54.35</w:t>
            </w:r>
          </w:p>
        </w:tc>
        <w:tc>
          <w:tcPr>
            <w:tcW w:w="960" w:type="dxa"/>
            <w:hideMark/>
          </w:tcPr>
          <w:p w:rsidR="00400C40" w:rsidRPr="00400C40" w:rsidRDefault="00400C40" w:rsidP="00400C40">
            <w:r w:rsidRPr="00400C40">
              <w:t>56.67</w:t>
            </w:r>
          </w:p>
        </w:tc>
        <w:tc>
          <w:tcPr>
            <w:tcW w:w="960" w:type="dxa"/>
            <w:hideMark/>
          </w:tcPr>
          <w:p w:rsidR="00400C40" w:rsidRPr="00400C40" w:rsidRDefault="00400C40" w:rsidP="00400C40">
            <w:r w:rsidRPr="00400C40">
              <w:t>53.57</w:t>
            </w:r>
          </w:p>
        </w:tc>
        <w:tc>
          <w:tcPr>
            <w:tcW w:w="960" w:type="dxa"/>
            <w:hideMark/>
          </w:tcPr>
          <w:p w:rsidR="00400C40" w:rsidRPr="00400C40" w:rsidRDefault="00400C40" w:rsidP="00400C40"/>
        </w:tc>
      </w:tr>
      <w:tr w:rsidR="00400C40" w:rsidRPr="00400C40" w:rsidTr="00400C40">
        <w:trPr>
          <w:trHeight w:val="300"/>
        </w:trPr>
        <w:tc>
          <w:tcPr>
            <w:tcW w:w="1260" w:type="dxa"/>
            <w:hideMark/>
          </w:tcPr>
          <w:p w:rsidR="00400C40" w:rsidRPr="00400C40" w:rsidRDefault="00400C40" w:rsidP="00400C40">
            <w:pPr>
              <w:rPr>
                <w:b/>
                <w:bCs/>
              </w:rPr>
            </w:pPr>
            <w:r w:rsidRPr="00400C40">
              <w:rPr>
                <w:b/>
                <w:bCs/>
              </w:rPr>
              <w:t>Total</w:t>
            </w:r>
          </w:p>
        </w:tc>
        <w:tc>
          <w:tcPr>
            <w:tcW w:w="960" w:type="dxa"/>
            <w:hideMark/>
          </w:tcPr>
          <w:p w:rsidR="00400C40" w:rsidRPr="00400C40" w:rsidRDefault="00400C40" w:rsidP="00400C40">
            <w:r w:rsidRPr="00400C40">
              <w:t>68</w:t>
            </w:r>
          </w:p>
        </w:tc>
        <w:tc>
          <w:tcPr>
            <w:tcW w:w="960" w:type="dxa"/>
            <w:hideMark/>
          </w:tcPr>
          <w:p w:rsidR="00400C40" w:rsidRPr="00400C40" w:rsidRDefault="00400C40" w:rsidP="00400C40">
            <w:r w:rsidRPr="00400C40">
              <w:t>46</w:t>
            </w:r>
          </w:p>
        </w:tc>
        <w:tc>
          <w:tcPr>
            <w:tcW w:w="960" w:type="dxa"/>
            <w:hideMark/>
          </w:tcPr>
          <w:p w:rsidR="00400C40" w:rsidRPr="00400C40" w:rsidRDefault="00400C40" w:rsidP="00400C40">
            <w:r w:rsidRPr="00400C40">
              <w:t>30</w:t>
            </w:r>
          </w:p>
        </w:tc>
        <w:tc>
          <w:tcPr>
            <w:tcW w:w="960" w:type="dxa"/>
            <w:hideMark/>
          </w:tcPr>
          <w:p w:rsidR="00400C40" w:rsidRPr="00400C40" w:rsidRDefault="00400C40" w:rsidP="00400C40">
            <w:r w:rsidRPr="00400C40">
              <w:t>56</w:t>
            </w:r>
          </w:p>
        </w:tc>
        <w:tc>
          <w:tcPr>
            <w:tcW w:w="960" w:type="dxa"/>
            <w:hideMark/>
          </w:tcPr>
          <w:p w:rsidR="00400C40" w:rsidRPr="00400C40" w:rsidRDefault="00400C40" w:rsidP="00400C40">
            <w:r w:rsidRPr="00400C40">
              <w:t>200</w:t>
            </w:r>
          </w:p>
        </w:tc>
      </w:tr>
    </w:tbl>
    <w:p w:rsidR="00400C40" w:rsidRDefault="00400C40"/>
    <w:tbl>
      <w:tblPr>
        <w:tblStyle w:val="TableGrid"/>
        <w:tblW w:w="0" w:type="auto"/>
        <w:tblLook w:val="04A0" w:firstRow="1" w:lastRow="0" w:firstColumn="1" w:lastColumn="0" w:noHBand="0" w:noVBand="1"/>
      </w:tblPr>
      <w:tblGrid>
        <w:gridCol w:w="1240"/>
        <w:gridCol w:w="960"/>
        <w:gridCol w:w="960"/>
        <w:gridCol w:w="960"/>
      </w:tblGrid>
      <w:tr w:rsidR="00400C40" w:rsidRPr="00400C40" w:rsidTr="00400C40">
        <w:trPr>
          <w:trHeight w:val="300"/>
        </w:trPr>
        <w:tc>
          <w:tcPr>
            <w:tcW w:w="1240" w:type="dxa"/>
            <w:vMerge w:val="restart"/>
            <w:hideMark/>
          </w:tcPr>
          <w:p w:rsidR="00400C40" w:rsidRPr="00400C40" w:rsidRDefault="00400C40" w:rsidP="00400C40">
            <w:pPr>
              <w:rPr>
                <w:b/>
                <w:bCs/>
              </w:rPr>
            </w:pPr>
            <w:r w:rsidRPr="00400C40">
              <w:rPr>
                <w:b/>
                <w:bCs/>
              </w:rPr>
              <w:t>Response</w:t>
            </w:r>
          </w:p>
        </w:tc>
        <w:tc>
          <w:tcPr>
            <w:tcW w:w="2880" w:type="dxa"/>
            <w:gridSpan w:val="3"/>
            <w:hideMark/>
          </w:tcPr>
          <w:p w:rsidR="00400C40" w:rsidRPr="00400C40" w:rsidRDefault="00400C40" w:rsidP="00400C40">
            <w:pPr>
              <w:rPr>
                <w:b/>
                <w:bCs/>
              </w:rPr>
            </w:pPr>
            <w:r w:rsidRPr="00400C40">
              <w:rPr>
                <w:b/>
                <w:bCs/>
              </w:rPr>
              <w:t>Subtyping C</w:t>
            </w:r>
          </w:p>
        </w:tc>
      </w:tr>
      <w:tr w:rsidR="00400C40" w:rsidRPr="00400C40" w:rsidTr="00400C40">
        <w:trPr>
          <w:trHeight w:val="600"/>
        </w:trPr>
        <w:tc>
          <w:tcPr>
            <w:tcW w:w="1240" w:type="dxa"/>
            <w:vMerge/>
            <w:hideMark/>
          </w:tcPr>
          <w:p w:rsidR="00400C40" w:rsidRPr="00400C40" w:rsidRDefault="00400C40">
            <w:pPr>
              <w:rPr>
                <w:b/>
                <w:bCs/>
              </w:rPr>
            </w:pPr>
          </w:p>
        </w:tc>
        <w:tc>
          <w:tcPr>
            <w:tcW w:w="960" w:type="dxa"/>
            <w:hideMark/>
          </w:tcPr>
          <w:p w:rsidR="00400C40" w:rsidRPr="00400C40" w:rsidRDefault="00400C40" w:rsidP="00400C40">
            <w:pPr>
              <w:rPr>
                <w:b/>
                <w:bCs/>
              </w:rPr>
            </w:pPr>
            <w:r w:rsidRPr="00400C40">
              <w:rPr>
                <w:b/>
                <w:bCs/>
              </w:rPr>
              <w:t>1</w:t>
            </w:r>
          </w:p>
        </w:tc>
        <w:tc>
          <w:tcPr>
            <w:tcW w:w="960" w:type="dxa"/>
            <w:hideMark/>
          </w:tcPr>
          <w:p w:rsidR="00400C40" w:rsidRPr="00400C40" w:rsidRDefault="00400C40" w:rsidP="00400C40">
            <w:pPr>
              <w:rPr>
                <w:b/>
                <w:bCs/>
              </w:rPr>
            </w:pPr>
            <w:r w:rsidRPr="00400C40">
              <w:rPr>
                <w:b/>
                <w:bCs/>
              </w:rPr>
              <w:t>2</w:t>
            </w:r>
          </w:p>
        </w:tc>
        <w:tc>
          <w:tcPr>
            <w:tcW w:w="960" w:type="dxa"/>
            <w:hideMark/>
          </w:tcPr>
          <w:p w:rsidR="00400C40" w:rsidRPr="00400C40" w:rsidRDefault="00400C40" w:rsidP="00400C40">
            <w:pPr>
              <w:rPr>
                <w:b/>
                <w:bCs/>
              </w:rPr>
            </w:pPr>
            <w:r w:rsidRPr="00400C40">
              <w:rPr>
                <w:b/>
                <w:bCs/>
              </w:rPr>
              <w:t>Total</w:t>
            </w:r>
          </w:p>
        </w:tc>
      </w:tr>
      <w:tr w:rsidR="00400C40" w:rsidRPr="00400C40" w:rsidTr="00400C40">
        <w:trPr>
          <w:trHeight w:val="300"/>
        </w:trPr>
        <w:tc>
          <w:tcPr>
            <w:tcW w:w="1240" w:type="dxa"/>
            <w:hideMark/>
          </w:tcPr>
          <w:p w:rsidR="00400C40" w:rsidRPr="00400C40" w:rsidRDefault="00400C40" w:rsidP="00400C40">
            <w:pPr>
              <w:rPr>
                <w:b/>
                <w:bCs/>
              </w:rPr>
            </w:pPr>
            <w:r w:rsidRPr="00400C40">
              <w:rPr>
                <w:b/>
                <w:bCs/>
              </w:rPr>
              <w:t>1</w:t>
            </w:r>
          </w:p>
        </w:tc>
        <w:tc>
          <w:tcPr>
            <w:tcW w:w="960" w:type="dxa"/>
            <w:hideMark/>
          </w:tcPr>
          <w:p w:rsidR="00400C40" w:rsidRPr="00400C40" w:rsidRDefault="00400C40" w:rsidP="00400C40">
            <w:r w:rsidRPr="00400C40">
              <w:t>30</w:t>
            </w:r>
          </w:p>
        </w:tc>
        <w:tc>
          <w:tcPr>
            <w:tcW w:w="960" w:type="dxa"/>
            <w:hideMark/>
          </w:tcPr>
          <w:p w:rsidR="00400C40" w:rsidRPr="00400C40" w:rsidRDefault="00400C40" w:rsidP="00400C40">
            <w:r w:rsidRPr="00400C40">
              <w:t>9.29</w:t>
            </w:r>
          </w:p>
        </w:tc>
        <w:tc>
          <w:tcPr>
            <w:tcW w:w="960" w:type="dxa"/>
            <w:hideMark/>
          </w:tcPr>
          <w:p w:rsidR="00400C40" w:rsidRPr="00400C40" w:rsidRDefault="00400C40" w:rsidP="00400C40"/>
        </w:tc>
      </w:tr>
      <w:tr w:rsidR="00400C40" w:rsidRPr="00400C40" w:rsidTr="00400C40">
        <w:trPr>
          <w:trHeight w:val="300"/>
        </w:trPr>
        <w:tc>
          <w:tcPr>
            <w:tcW w:w="1240" w:type="dxa"/>
            <w:hideMark/>
          </w:tcPr>
          <w:p w:rsidR="00400C40" w:rsidRPr="00400C40" w:rsidRDefault="00400C40" w:rsidP="00400C40">
            <w:pPr>
              <w:rPr>
                <w:b/>
                <w:bCs/>
              </w:rPr>
            </w:pPr>
            <w:r w:rsidRPr="00400C40">
              <w:rPr>
                <w:b/>
                <w:bCs/>
              </w:rPr>
              <w:t>2</w:t>
            </w:r>
          </w:p>
        </w:tc>
        <w:tc>
          <w:tcPr>
            <w:tcW w:w="960" w:type="dxa"/>
            <w:hideMark/>
          </w:tcPr>
          <w:p w:rsidR="00400C40" w:rsidRPr="00400C40" w:rsidRDefault="00400C40" w:rsidP="00400C40">
            <w:r w:rsidRPr="00400C40">
              <w:t>16.67</w:t>
            </w:r>
          </w:p>
        </w:tc>
        <w:tc>
          <w:tcPr>
            <w:tcW w:w="960" w:type="dxa"/>
            <w:hideMark/>
          </w:tcPr>
          <w:p w:rsidR="00400C40" w:rsidRPr="00400C40" w:rsidRDefault="00400C40" w:rsidP="00400C40">
            <w:r w:rsidRPr="00400C40">
              <w:t>14.29</w:t>
            </w:r>
          </w:p>
        </w:tc>
        <w:tc>
          <w:tcPr>
            <w:tcW w:w="960" w:type="dxa"/>
            <w:hideMark/>
          </w:tcPr>
          <w:p w:rsidR="00400C40" w:rsidRPr="00400C40" w:rsidRDefault="00400C40" w:rsidP="00400C40"/>
        </w:tc>
      </w:tr>
      <w:tr w:rsidR="00400C40" w:rsidRPr="00400C40" w:rsidTr="00400C40">
        <w:trPr>
          <w:trHeight w:val="300"/>
        </w:trPr>
        <w:tc>
          <w:tcPr>
            <w:tcW w:w="1240" w:type="dxa"/>
            <w:hideMark/>
          </w:tcPr>
          <w:p w:rsidR="00400C40" w:rsidRPr="00400C40" w:rsidRDefault="00400C40" w:rsidP="00400C40">
            <w:pPr>
              <w:rPr>
                <w:b/>
                <w:bCs/>
              </w:rPr>
            </w:pPr>
            <w:r w:rsidRPr="00400C40">
              <w:rPr>
                <w:b/>
                <w:bCs/>
              </w:rPr>
              <w:t>3</w:t>
            </w:r>
          </w:p>
        </w:tc>
        <w:tc>
          <w:tcPr>
            <w:tcW w:w="960" w:type="dxa"/>
            <w:hideMark/>
          </w:tcPr>
          <w:p w:rsidR="00400C40" w:rsidRPr="00400C40" w:rsidRDefault="00400C40" w:rsidP="00400C40">
            <w:r w:rsidRPr="00400C40">
              <w:t>33.33</w:t>
            </w:r>
          </w:p>
        </w:tc>
        <w:tc>
          <w:tcPr>
            <w:tcW w:w="960" w:type="dxa"/>
            <w:hideMark/>
          </w:tcPr>
          <w:p w:rsidR="00400C40" w:rsidRPr="00400C40" w:rsidRDefault="00400C40" w:rsidP="00400C40">
            <w:r w:rsidRPr="00400C40">
              <w:t>21.43</w:t>
            </w:r>
          </w:p>
        </w:tc>
        <w:tc>
          <w:tcPr>
            <w:tcW w:w="960" w:type="dxa"/>
            <w:hideMark/>
          </w:tcPr>
          <w:p w:rsidR="00400C40" w:rsidRPr="00400C40" w:rsidRDefault="00400C40" w:rsidP="00400C40"/>
        </w:tc>
      </w:tr>
      <w:tr w:rsidR="00400C40" w:rsidRPr="00400C40" w:rsidTr="00400C40">
        <w:trPr>
          <w:trHeight w:val="300"/>
        </w:trPr>
        <w:tc>
          <w:tcPr>
            <w:tcW w:w="1240" w:type="dxa"/>
            <w:hideMark/>
          </w:tcPr>
          <w:p w:rsidR="00400C40" w:rsidRPr="00400C40" w:rsidRDefault="00400C40" w:rsidP="00400C40">
            <w:pPr>
              <w:rPr>
                <w:b/>
                <w:bCs/>
              </w:rPr>
            </w:pPr>
            <w:r w:rsidRPr="00400C40">
              <w:rPr>
                <w:b/>
                <w:bCs/>
              </w:rPr>
              <w:t>4</w:t>
            </w:r>
          </w:p>
        </w:tc>
        <w:tc>
          <w:tcPr>
            <w:tcW w:w="960" w:type="dxa"/>
            <w:hideMark/>
          </w:tcPr>
          <w:p w:rsidR="00400C40" w:rsidRPr="00400C40" w:rsidRDefault="00400C40" w:rsidP="00400C40">
            <w:r w:rsidRPr="00400C40">
              <w:t>20</w:t>
            </w:r>
          </w:p>
        </w:tc>
        <w:tc>
          <w:tcPr>
            <w:tcW w:w="960" w:type="dxa"/>
            <w:hideMark/>
          </w:tcPr>
          <w:p w:rsidR="00400C40" w:rsidRPr="00400C40" w:rsidRDefault="00400C40" w:rsidP="00400C40">
            <w:r w:rsidRPr="00400C40">
              <w:t>55</w:t>
            </w:r>
          </w:p>
        </w:tc>
        <w:tc>
          <w:tcPr>
            <w:tcW w:w="960" w:type="dxa"/>
            <w:hideMark/>
          </w:tcPr>
          <w:p w:rsidR="00400C40" w:rsidRPr="00400C40" w:rsidRDefault="00400C40" w:rsidP="00400C40"/>
        </w:tc>
      </w:tr>
      <w:tr w:rsidR="00400C40" w:rsidRPr="00400C40" w:rsidTr="00400C40">
        <w:trPr>
          <w:trHeight w:val="300"/>
        </w:trPr>
        <w:tc>
          <w:tcPr>
            <w:tcW w:w="1240" w:type="dxa"/>
            <w:hideMark/>
          </w:tcPr>
          <w:p w:rsidR="00400C40" w:rsidRPr="00400C40" w:rsidRDefault="00400C40" w:rsidP="00400C40">
            <w:pPr>
              <w:rPr>
                <w:b/>
                <w:bCs/>
              </w:rPr>
            </w:pPr>
            <w:r w:rsidRPr="00400C40">
              <w:rPr>
                <w:b/>
                <w:bCs/>
              </w:rPr>
              <w:t>Total</w:t>
            </w:r>
          </w:p>
        </w:tc>
        <w:tc>
          <w:tcPr>
            <w:tcW w:w="960" w:type="dxa"/>
            <w:hideMark/>
          </w:tcPr>
          <w:p w:rsidR="00400C40" w:rsidRPr="00400C40" w:rsidRDefault="00400C40" w:rsidP="00400C40">
            <w:r w:rsidRPr="00400C40">
              <w:t>60</w:t>
            </w:r>
          </w:p>
        </w:tc>
        <w:tc>
          <w:tcPr>
            <w:tcW w:w="960" w:type="dxa"/>
            <w:hideMark/>
          </w:tcPr>
          <w:p w:rsidR="00400C40" w:rsidRPr="00400C40" w:rsidRDefault="00400C40" w:rsidP="00400C40">
            <w:r w:rsidRPr="00400C40">
              <w:t>140</w:t>
            </w:r>
          </w:p>
        </w:tc>
        <w:tc>
          <w:tcPr>
            <w:tcW w:w="960" w:type="dxa"/>
            <w:hideMark/>
          </w:tcPr>
          <w:p w:rsidR="00400C40" w:rsidRPr="00400C40" w:rsidRDefault="00400C40" w:rsidP="00400C40">
            <w:r w:rsidRPr="00400C40">
              <w:t>200</w:t>
            </w:r>
          </w:p>
        </w:tc>
      </w:tr>
    </w:tbl>
    <w:p w:rsidR="005D57B6" w:rsidRDefault="005D57B6"/>
    <w:p w:rsidR="00D6420A" w:rsidRDefault="00D6420A">
      <w:r>
        <w:t>ii.</w:t>
      </w:r>
      <w:r w:rsidR="00144BA5">
        <w:t xml:space="preserve"> Figure 1 shows the proportion of participants with partial or complete response (1, purple), vs those with stable or progressive disease (0, pink)</w:t>
      </w:r>
      <w:r w:rsidR="005C7271">
        <w:t xml:space="preserve"> for each subtyping approach</w:t>
      </w:r>
      <w:r w:rsidR="00440674">
        <w:t>, pooling across study arms</w:t>
      </w:r>
      <w:r w:rsidR="00144BA5">
        <w:t xml:space="preserve">. </w:t>
      </w:r>
    </w:p>
    <w:p w:rsidR="00D6420A" w:rsidRDefault="00853D3D">
      <w:pPr>
        <w:rPr>
          <w:rFonts w:ascii="Arial" w:hAnsi="Arial" w:cs="Arial"/>
          <w:color w:val="000000"/>
          <w:sz w:val="20"/>
          <w:szCs w:val="20"/>
        </w:rPr>
      </w:pPr>
      <w:r w:rsidRPr="00853D3D">
        <w:rPr>
          <w:noProof/>
        </w:rPr>
        <w:lastRenderedPageBreak/>
        <w:drawing>
          <wp:inline distT="0" distB="0" distL="0" distR="0">
            <wp:extent cx="1937842" cy="1452625"/>
            <wp:effectExtent l="0" t="0" r="5715" b="0"/>
            <wp:docPr id="1" name="Picture 1" descr="Mosaic Plot for prcr by su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 Plot for prcr by sub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3898" cy="1487149"/>
                    </a:xfrm>
                    <a:prstGeom prst="rect">
                      <a:avLst/>
                    </a:prstGeom>
                    <a:noFill/>
                    <a:ln>
                      <a:noFill/>
                    </a:ln>
                  </pic:spPr>
                </pic:pic>
              </a:graphicData>
            </a:graphic>
          </wp:inline>
        </w:drawing>
      </w:r>
      <w:r w:rsidR="00BD290D" w:rsidRPr="00BD290D">
        <w:rPr>
          <w:rFonts w:ascii="Arial" w:hAnsi="Arial" w:cs="Arial"/>
          <w:color w:val="000000"/>
          <w:sz w:val="20"/>
          <w:szCs w:val="20"/>
        </w:rPr>
        <w:t xml:space="preserve"> </w:t>
      </w:r>
      <w:r w:rsidR="00BD290D" w:rsidRPr="00BD290D">
        <w:rPr>
          <w:noProof/>
        </w:rPr>
        <w:drawing>
          <wp:inline distT="0" distB="0" distL="0" distR="0">
            <wp:extent cx="1934360" cy="1450015"/>
            <wp:effectExtent l="0" t="0" r="8890" b="0"/>
            <wp:docPr id="2" name="Picture 2" descr="Mosaic Plot for prcr by s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saic Plot for prcr by sub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7400" cy="1482278"/>
                    </a:xfrm>
                    <a:prstGeom prst="rect">
                      <a:avLst/>
                    </a:prstGeom>
                    <a:noFill/>
                    <a:ln>
                      <a:noFill/>
                    </a:ln>
                  </pic:spPr>
                </pic:pic>
              </a:graphicData>
            </a:graphic>
          </wp:inline>
        </w:drawing>
      </w:r>
      <w:r w:rsidR="00BD290D" w:rsidRPr="00BD290D">
        <w:rPr>
          <w:noProof/>
        </w:rPr>
        <w:drawing>
          <wp:inline distT="0" distB="0" distL="0" distR="0" wp14:anchorId="5703522B" wp14:editId="357428CB">
            <wp:extent cx="1924140" cy="1442354"/>
            <wp:effectExtent l="0" t="0" r="0" b="5715"/>
            <wp:docPr id="3" name="Picture 3" descr="Mosaic Plot for prcr by su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saic Plot for prcr by sub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0190" cy="1484370"/>
                    </a:xfrm>
                    <a:prstGeom prst="rect">
                      <a:avLst/>
                    </a:prstGeom>
                    <a:noFill/>
                    <a:ln>
                      <a:noFill/>
                    </a:ln>
                  </pic:spPr>
                </pic:pic>
              </a:graphicData>
            </a:graphic>
          </wp:inline>
        </w:drawing>
      </w:r>
    </w:p>
    <w:p w:rsidR="004D75D1" w:rsidRDefault="004D75D1"/>
    <w:p w:rsidR="004D75D1" w:rsidRDefault="004D75D1">
      <w:r>
        <w:t>iii.</w:t>
      </w:r>
      <w:r w:rsidR="007464CA">
        <w:t xml:space="preserve"> Figure 2 shows the overlap between subtyping approaches A vs B, B vs C, and A vs C. </w:t>
      </w:r>
      <w:r w:rsidR="00985490">
        <w:t xml:space="preserve">There appears to be an extremely high correlation between subtypes A1, B1 and C1. Subtypes B2, B3 and B4 appear to have similar overlap </w:t>
      </w:r>
      <w:r w:rsidR="005A05C9">
        <w:t>across</w:t>
      </w:r>
      <w:r w:rsidR="00985490">
        <w:t xml:space="preserve"> subtypes A2 and A3. </w:t>
      </w:r>
      <w:r w:rsidR="00F4272F">
        <w:t>The</w:t>
      </w:r>
      <w:r w:rsidR="00985490">
        <w:t xml:space="preserve"> majority of people with subtype</w:t>
      </w:r>
      <w:r w:rsidR="00F4272F">
        <w:t xml:space="preserve"> C2</w:t>
      </w:r>
      <w:r w:rsidR="00985490">
        <w:t xml:space="preserve"> </w:t>
      </w:r>
      <w:r w:rsidR="00F4272F">
        <w:t>also have subtypes B2-B4 but few have subtype B1</w:t>
      </w:r>
      <w:r w:rsidR="00985490">
        <w:t xml:space="preserve">. Of those with subtype </w:t>
      </w:r>
      <w:r w:rsidR="00F4272F">
        <w:t xml:space="preserve">C2, most have subtype A2 and A3, but few have subtype A1. </w:t>
      </w:r>
    </w:p>
    <w:p w:rsidR="004D75D1" w:rsidRDefault="00942622">
      <w:r>
        <w:rPr>
          <w:rFonts w:ascii="Arial" w:hAnsi="Arial" w:cs="Arial"/>
          <w:noProof/>
          <w:color w:val="000000"/>
          <w:sz w:val="20"/>
          <w:szCs w:val="20"/>
        </w:rPr>
        <w:drawing>
          <wp:inline distT="0" distB="0" distL="0" distR="0">
            <wp:extent cx="1935613" cy="1450954"/>
            <wp:effectExtent l="0" t="0" r="7620" b="0"/>
            <wp:docPr id="4" name="Picture 4" descr="Mosaic Plot for subA by s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aic Plot for subA by sub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0950" cy="1469947"/>
                    </a:xfrm>
                    <a:prstGeom prst="rect">
                      <a:avLst/>
                    </a:prstGeom>
                    <a:noFill/>
                    <a:ln>
                      <a:noFill/>
                    </a:ln>
                  </pic:spPr>
                </pic:pic>
              </a:graphicData>
            </a:graphic>
          </wp:inline>
        </w:drawing>
      </w:r>
      <w:r w:rsidRPr="00942622">
        <w:rPr>
          <w:rFonts w:ascii="Arial" w:hAnsi="Arial" w:cs="Arial"/>
          <w:color w:val="000000"/>
          <w:sz w:val="20"/>
          <w:szCs w:val="20"/>
        </w:rPr>
        <w:t xml:space="preserve"> </w:t>
      </w:r>
      <w:r>
        <w:rPr>
          <w:rFonts w:ascii="Arial" w:hAnsi="Arial" w:cs="Arial"/>
          <w:noProof/>
          <w:color w:val="000000"/>
          <w:sz w:val="20"/>
          <w:szCs w:val="20"/>
        </w:rPr>
        <w:drawing>
          <wp:inline distT="0" distB="0" distL="0" distR="0">
            <wp:extent cx="1933696" cy="1449516"/>
            <wp:effectExtent l="0" t="0" r="0" b="0"/>
            <wp:docPr id="5" name="Picture 5" descr="Mosaic Plot for subB by su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saic Plot for subB by sub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0480" cy="1477089"/>
                    </a:xfrm>
                    <a:prstGeom prst="rect">
                      <a:avLst/>
                    </a:prstGeom>
                    <a:noFill/>
                    <a:ln>
                      <a:noFill/>
                    </a:ln>
                  </pic:spPr>
                </pic:pic>
              </a:graphicData>
            </a:graphic>
          </wp:inline>
        </w:drawing>
      </w:r>
      <w:r w:rsidR="00500FC4" w:rsidRPr="00500FC4">
        <w:rPr>
          <w:rFonts w:ascii="Arial" w:hAnsi="Arial" w:cs="Arial"/>
          <w:color w:val="000000"/>
          <w:sz w:val="20"/>
          <w:szCs w:val="20"/>
        </w:rPr>
        <w:t xml:space="preserve"> </w:t>
      </w:r>
      <w:r w:rsidR="00500FC4">
        <w:rPr>
          <w:rFonts w:ascii="Arial" w:hAnsi="Arial" w:cs="Arial"/>
          <w:noProof/>
          <w:color w:val="000000"/>
          <w:sz w:val="20"/>
          <w:szCs w:val="20"/>
        </w:rPr>
        <w:drawing>
          <wp:inline distT="0" distB="0" distL="0" distR="0">
            <wp:extent cx="1924140" cy="1442353"/>
            <wp:effectExtent l="0" t="0" r="0" b="5715"/>
            <wp:docPr id="6" name="Picture 6" descr="Mosaic Plot for subA by su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saic Plot for subA by sub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6735" cy="1466787"/>
                    </a:xfrm>
                    <a:prstGeom prst="rect">
                      <a:avLst/>
                    </a:prstGeom>
                    <a:noFill/>
                    <a:ln>
                      <a:noFill/>
                    </a:ln>
                  </pic:spPr>
                </pic:pic>
              </a:graphicData>
            </a:graphic>
          </wp:inline>
        </w:drawing>
      </w:r>
    </w:p>
    <w:p w:rsidR="004D75D1" w:rsidRDefault="004D75D1">
      <w:r>
        <w:t>iv.</w:t>
      </w:r>
    </w:p>
    <w:p w:rsidR="004D75D1" w:rsidRDefault="004D75D1">
      <w:r>
        <w:t xml:space="preserve">Subtypes A2 and A3 have similar profiles, subtypes B2-4 have similar profiles, and subtype C2 appears to be similar to the aforementioned subtypes. Subtypes A1, B1 and C1 appear to have similar proportions of response category. It appears that a more complicated strategy such as B is not warranted, and a dichotomous subtyping approach such as C appears to capture most of the variability in response between subtypes. </w:t>
      </w:r>
    </w:p>
    <w:p w:rsidR="00602095" w:rsidRDefault="00602095">
      <w:r>
        <w:t>Part b:</w:t>
      </w:r>
    </w:p>
    <w:p w:rsidR="00DF4B5C" w:rsidRDefault="00DF4B5C">
      <w:proofErr w:type="spellStart"/>
      <w:r>
        <w:t>i</w:t>
      </w:r>
      <w:proofErr w:type="spellEnd"/>
      <w:r>
        <w:t>.</w:t>
      </w:r>
    </w:p>
    <w:p w:rsidR="00602095" w:rsidRDefault="00602095">
      <w:r>
        <w:t xml:space="preserve">Fit a proportional odds model for each subtyping strategy with subtype as the only predictor. Check the model assumptions using appropriate diagnostics. </w:t>
      </w:r>
    </w:p>
    <w:p w:rsidR="00946EEA" w:rsidRDefault="00946EEA">
      <w:r>
        <w:t>Model: logit (</w:t>
      </w:r>
      <w:proofErr w:type="spellStart"/>
      <w:r>
        <w:t>theta_hij</w:t>
      </w:r>
      <w:proofErr w:type="spellEnd"/>
      <w:r>
        <w:t xml:space="preserve">) = </w:t>
      </w:r>
      <w:proofErr w:type="spellStart"/>
      <w:r>
        <w:t>alpha_k</w:t>
      </w:r>
      <w:proofErr w:type="spellEnd"/>
      <w:r>
        <w:t xml:space="preserve"> + </w:t>
      </w:r>
      <w:proofErr w:type="spellStart"/>
      <w:r>
        <w:t>x’_hi</w:t>
      </w:r>
      <w:proofErr w:type="spellEnd"/>
      <w:r>
        <w:t xml:space="preserve"> * </w:t>
      </w:r>
      <w:proofErr w:type="spellStart"/>
      <w:r>
        <w:t>beta_k</w:t>
      </w:r>
      <w:proofErr w:type="spellEnd"/>
    </w:p>
    <w:p w:rsidR="00631E89" w:rsidRDefault="00631E89">
      <w:r>
        <w:t xml:space="preserve">Theta = probability of </w:t>
      </w:r>
      <w:r w:rsidR="00092ED9">
        <w:t>worse disease state (</w:t>
      </w:r>
      <w:r w:rsidR="005E3281">
        <w:t>lower vs higher</w:t>
      </w:r>
      <w:r w:rsidR="00092ED9">
        <w:t xml:space="preserve"> number of response category</w:t>
      </w:r>
      <w:r w:rsidR="00A8501A">
        <w:t>, where 1=progressive disease and 4=complete response</w:t>
      </w:r>
      <w:r w:rsidR="00092ED9">
        <w:t>)</w:t>
      </w:r>
    </w:p>
    <w:p w:rsidR="00602095" w:rsidRDefault="0079590E">
      <w:r>
        <w:t>Alpha1 = log odds of progressive disease vs all other categories, alpha2 = log odds of progressive disease or stable disease vs other categories, alpha3 = log odds of progressive disease, stable disease or partial response vs complete response</w:t>
      </w:r>
    </w:p>
    <w:p w:rsidR="0079590E" w:rsidRDefault="0079590E">
      <w:r>
        <w:lastRenderedPageBreak/>
        <w:t>Beta1 = increment to log odds of more favorable outcome for subtype 2 vs 1, Beta2 = increment to log odds of more favorable outcome for subtype 3 vs 1, Beta3 = increment to log odds of more favorable outcome for subtype 4 vs 1</w:t>
      </w:r>
    </w:p>
    <w:p w:rsidR="0079590E" w:rsidRDefault="00946EEA">
      <w:r>
        <w:t>[</w:t>
      </w:r>
      <w:r w:rsidR="0079590E">
        <w:t>Gamma1 = increment to log odds of more favorable outcome for arm 2 vs arm 1</w:t>
      </w:r>
      <w:r>
        <w:t xml:space="preserve"> in part D]</w:t>
      </w:r>
    </w:p>
    <w:p w:rsidR="00C51E09" w:rsidRDefault="00C51E09">
      <w:r>
        <w:t>Proportional odds assumption states that each of these betas are equal, so the differences in log odds amongst subtypes can be assumed to be equal for each cumulative logit</w:t>
      </w:r>
      <w:r w:rsidR="003E0A83">
        <w:t xml:space="preserve">. For all 3 subtyping strategies the p value for the proportional odds assumption is greater than 0.05, indicating that the probabilities of each response category vary by cumulative logit. The model for subtyping strategy B has an associated p value of 0.0835, indicating some degree of homogeneity across cumulative logits. </w:t>
      </w:r>
      <w:r w:rsidR="00076776">
        <w:t xml:space="preserve">This could potentially be explained by the graph in part </w:t>
      </w:r>
      <w:proofErr w:type="gramStart"/>
      <w:r w:rsidR="00076776">
        <w:t>a</w:t>
      </w:r>
      <w:proofErr w:type="gramEnd"/>
      <w:r w:rsidR="00076776">
        <w:t xml:space="preserve"> ii, which shows that subtype B1 has a different response profile from B2, B3 and B4 which are similar. </w:t>
      </w:r>
    </w:p>
    <w:p w:rsidR="00F9403A" w:rsidRDefault="00F9403A">
      <w:r>
        <w:t>ii.</w:t>
      </w:r>
    </w:p>
    <w:p w:rsidR="00F9403A" w:rsidRDefault="00F9403A">
      <w:r>
        <w:t>Perform test</w:t>
      </w:r>
      <w:r w:rsidR="000A4171">
        <w:t xml:space="preserve"> of null hypothesis</w:t>
      </w:r>
      <w:r>
        <w:t xml:space="preserve"> that</w:t>
      </w:r>
      <w:r w:rsidR="000A4171">
        <w:t xml:space="preserve"> subtype is not associated with response category. </w:t>
      </w:r>
    </w:p>
    <w:p w:rsidR="000A4171" w:rsidRDefault="000A4171">
      <w:r>
        <w:t>Subtype A: p &lt;0.0001, chi squared 2 df</w:t>
      </w:r>
      <w:r w:rsidR="001040B1">
        <w:t>, Wald test</w:t>
      </w:r>
    </w:p>
    <w:p w:rsidR="000A4171" w:rsidRDefault="000A4171">
      <w:r>
        <w:t>Subtype B: p=0.0012, chi squared 3 df</w:t>
      </w:r>
    </w:p>
    <w:p w:rsidR="000A4171" w:rsidRDefault="000A4171">
      <w:r>
        <w:t>Subtype C: p&lt;0.0001, chi squared 1 df</w:t>
      </w:r>
    </w:p>
    <w:p w:rsidR="00602095" w:rsidRDefault="007F5767">
      <w:r>
        <w:t>For a</w:t>
      </w:r>
      <w:r w:rsidR="001040B1">
        <w:t>ll three</w:t>
      </w:r>
      <w:r>
        <w:t xml:space="preserve"> subtyping approaches,</w:t>
      </w:r>
      <w:r w:rsidR="001040B1">
        <w:t xml:space="preserve"> subtype </w:t>
      </w:r>
      <w:r>
        <w:t>is</w:t>
      </w:r>
      <w:r w:rsidR="001040B1">
        <w:t xml:space="preserve"> significantly associated with </w:t>
      </w:r>
      <w:r w:rsidR="003C0AF9">
        <w:t>response category</w:t>
      </w:r>
      <w:r w:rsidR="001040B1">
        <w:t xml:space="preserve">. </w:t>
      </w:r>
    </w:p>
    <w:p w:rsidR="00602095" w:rsidRDefault="003B4B95">
      <w:r>
        <w:t>Part c:</w:t>
      </w:r>
    </w:p>
    <w:p w:rsidR="006C3027" w:rsidRDefault="003B4B95">
      <w:r>
        <w:t xml:space="preserve">The approach with the smallest p value is not necessarily the best option for categorizing patients by predicted clinical outcome. It is possible that a subtyping approach with more subtypes than other options may simply be overfitting the data. Similarly, an approach such as C with only two categories may not be capturing the subtle nuances of </w:t>
      </w:r>
      <w:r w:rsidR="00680B2C">
        <w:t>certain subtypes since there are 4 response categories.</w:t>
      </w:r>
    </w:p>
    <w:p w:rsidR="003B4B95" w:rsidRDefault="006C3027">
      <w:r>
        <w:t xml:space="preserve">Part d: </w:t>
      </w:r>
      <w:r w:rsidR="00B80338">
        <w:t>(describe stat means to compare each subtype approach, given models in B)</w:t>
      </w:r>
    </w:p>
    <w:p w:rsidR="00B80338" w:rsidRDefault="001C2CD2">
      <w:r>
        <w:t xml:space="preserve">Ideas: </w:t>
      </w:r>
      <w:r w:rsidR="00FD2104">
        <w:t xml:space="preserve">Goal is to correctly classify disease </w:t>
      </w:r>
      <w:r w:rsidR="0024096D">
        <w:t xml:space="preserve">response </w:t>
      </w:r>
      <w:r w:rsidR="00FD2104">
        <w:t xml:space="preserve">class of patients based on subtyping approach. </w:t>
      </w:r>
      <w:r w:rsidR="0024096D">
        <w:t xml:space="preserve">In order to pick the best subtyping </w:t>
      </w:r>
      <w:proofErr w:type="gramStart"/>
      <w:r w:rsidR="0024096D">
        <w:t>approach</w:t>
      </w:r>
      <w:proofErr w:type="gramEnd"/>
      <w:r w:rsidR="0024096D">
        <w:t xml:space="preserve"> it would be important to examine the proportional odds assumption and how strongly associated each subtype is associated with outcome for each approach. The test of the proportional odds assumption casts a wide net and makes a very general assumption about all variables and all logits. If two subtypes for one subtype approach equally could predict the same disease outcome it would make sense to collapse those subtypes into one subtype. </w:t>
      </w:r>
      <w:bookmarkStart w:id="0" w:name="_GoBack"/>
      <w:bookmarkEnd w:id="0"/>
    </w:p>
    <w:p w:rsidR="00B80338" w:rsidRDefault="00B80338">
      <w:r>
        <w:t>Part e: Repeat analysis in B and D using arm as a covariate in proportional odds model.</w:t>
      </w:r>
    </w:p>
    <w:p w:rsidR="00B80338" w:rsidRDefault="00B80338" w:rsidP="00B80338">
      <w:r>
        <w:t xml:space="preserve">Perform test of null hypothesis that subtype is not associated with response category. </w:t>
      </w:r>
    </w:p>
    <w:p w:rsidR="00B80338" w:rsidRDefault="00B80338" w:rsidP="00B80338">
      <w:r>
        <w:t>Subtype A: p &lt;0.0001, chi squared 2 df, Wald test</w:t>
      </w:r>
    </w:p>
    <w:p w:rsidR="00B80338" w:rsidRDefault="00B80338" w:rsidP="00B80338">
      <w:r>
        <w:t>Subtype B: p=0.0012, chi squared 3 df</w:t>
      </w:r>
    </w:p>
    <w:p w:rsidR="00B80338" w:rsidRDefault="00B80338" w:rsidP="00B80338">
      <w:r>
        <w:t>Subtype C: p&lt;0.0001, chi squared 1 df</w:t>
      </w:r>
    </w:p>
    <w:p w:rsidR="00B80338" w:rsidRDefault="00B80338">
      <w:proofErr w:type="spellStart"/>
      <w:r>
        <w:lastRenderedPageBreak/>
        <w:t>i</w:t>
      </w:r>
      <w:proofErr w:type="spellEnd"/>
      <w:r>
        <w:t>.</w:t>
      </w:r>
    </w:p>
    <w:p w:rsidR="00B80338" w:rsidRDefault="00B80338">
      <w:r>
        <w:t>For subtyping approach C, the proportional odds model indicates that the log odds of better response</w:t>
      </w:r>
      <w:r w:rsidR="00724E39">
        <w:t xml:space="preserve"> for someone with subtype C1</w:t>
      </w:r>
      <w:r>
        <w:t xml:space="preserve"> in arm 2 compared to </w:t>
      </w:r>
      <w:r w:rsidR="00724E39">
        <w:t xml:space="preserve">someone with subtype C1 in </w:t>
      </w:r>
      <w:r>
        <w:t>arm 1 is 0.822. Therefore, for all cumulative logits,</w:t>
      </w:r>
      <w:r w:rsidR="00932757">
        <w:t xml:space="preserve"> an individual</w:t>
      </w:r>
      <w:r>
        <w:t xml:space="preserve"> in arm 2 compared</w:t>
      </w:r>
      <w:r w:rsidR="00932757">
        <w:t xml:space="preserve"> to an individual</w:t>
      </w:r>
      <w:r>
        <w:t xml:space="preserve"> </w:t>
      </w:r>
      <w:r w:rsidR="00932757">
        <w:t>in</w:t>
      </w:r>
      <w:r>
        <w:t xml:space="preserve"> arm 1, is 2.275 times are likely to have a better outcome. The test of the null hypothesis of no treatment effect follows a chi square distribution with 1 degree of freedom. The test statistic has a value of 9.00 and an associated p value of 0.0027. Thus, we reject the null hypothesis of no treatment effect when applying subtyping approach C. </w:t>
      </w:r>
      <w:r w:rsidR="00DB6730">
        <w:t>The confidence interval for this odds ratio is 1.33 to 3.89.</w:t>
      </w:r>
    </w:p>
    <w:p w:rsidR="00FF1C63" w:rsidRDefault="00FF1C63">
      <w:r>
        <w:t xml:space="preserve">An interaction term was included between arm and subtype to see if treatment effects depend on subtype. The p value for the interaction is 0.0079, indicating that treatment has different effects across subtypes. </w:t>
      </w:r>
    </w:p>
    <w:p w:rsidR="00362F8F" w:rsidRDefault="00362F8F">
      <w:r>
        <w:t>ii. (Which drug would you recommend for each subtype based on these results?)</w:t>
      </w:r>
    </w:p>
    <w:p w:rsidR="00A32DF1" w:rsidRDefault="00362F8F">
      <w:r>
        <w:t xml:space="preserve">I would recommend Gemcitabine + Abraxane (arm 2) for subtype C1 and </w:t>
      </w:r>
      <w:proofErr w:type="spellStart"/>
      <w:r>
        <w:t>Folfirinox</w:t>
      </w:r>
      <w:proofErr w:type="spellEnd"/>
      <w:r>
        <w:t xml:space="preserve"> (arm 1) for subtype C2</w:t>
      </w:r>
      <w:r w:rsidR="004E01E0">
        <w:t xml:space="preserve">. </w:t>
      </w:r>
    </w:p>
    <w:p w:rsidR="00A32DF1" w:rsidRDefault="00A32DF1">
      <w:r>
        <w:t xml:space="preserve">For subtyping </w:t>
      </w:r>
      <w:proofErr w:type="gramStart"/>
      <w:r>
        <w:t>approach</w:t>
      </w:r>
      <w:proofErr w:type="gramEnd"/>
      <w:r>
        <w:t xml:space="preserve"> A, </w:t>
      </w:r>
      <w:proofErr w:type="spellStart"/>
      <w:r>
        <w:t>Folfirinox</w:t>
      </w:r>
      <w:proofErr w:type="spellEnd"/>
      <w:r>
        <w:t xml:space="preserve"> (arm 1) appears to have a higher proportion of complete response for all subtypes. </w:t>
      </w:r>
    </w:p>
    <w:p w:rsidR="00B34039" w:rsidRDefault="00B34039">
      <w:r>
        <w:t xml:space="preserve">For subtyping approach B, </w:t>
      </w:r>
      <w:proofErr w:type="spellStart"/>
      <w:r>
        <w:t>Folfirinox</w:t>
      </w:r>
      <w:proofErr w:type="spellEnd"/>
      <w:r>
        <w:t xml:space="preserve"> (arm 1) appears to have a higher proportion of complete response for subtypes B2-B4. Both arms appear to have the same proportion of complete response for patients with subtype B1, but I would recommend Gemcitabine + Abraxane for those with subtype B1 because there is a higher proportion of either</w:t>
      </w:r>
      <w:r w:rsidR="00A32DF1">
        <w:t xml:space="preserve"> complete response or partial response as compared with </w:t>
      </w:r>
      <w:proofErr w:type="spellStart"/>
      <w:r w:rsidR="00A32DF1">
        <w:t>Folfirinox</w:t>
      </w:r>
      <w:proofErr w:type="spellEnd"/>
      <w:r w:rsidR="00A32DF1">
        <w:t xml:space="preserve">. </w:t>
      </w:r>
    </w:p>
    <w:sectPr w:rsidR="00B34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0E"/>
    <w:rsid w:val="00076776"/>
    <w:rsid w:val="00077A2B"/>
    <w:rsid w:val="00092ED9"/>
    <w:rsid w:val="000A4171"/>
    <w:rsid w:val="000E0B0E"/>
    <w:rsid w:val="001040B1"/>
    <w:rsid w:val="00144BA5"/>
    <w:rsid w:val="00167FE2"/>
    <w:rsid w:val="001922A2"/>
    <w:rsid w:val="001C2CD2"/>
    <w:rsid w:val="0024096D"/>
    <w:rsid w:val="00362F8F"/>
    <w:rsid w:val="003B4B95"/>
    <w:rsid w:val="003C0AF9"/>
    <w:rsid w:val="003E0A83"/>
    <w:rsid w:val="00400C40"/>
    <w:rsid w:val="00440674"/>
    <w:rsid w:val="004D75D1"/>
    <w:rsid w:val="004E01E0"/>
    <w:rsid w:val="00500FC4"/>
    <w:rsid w:val="005A05C9"/>
    <w:rsid w:val="005C7271"/>
    <w:rsid w:val="005D57B6"/>
    <w:rsid w:val="005E3281"/>
    <w:rsid w:val="00602095"/>
    <w:rsid w:val="00631E89"/>
    <w:rsid w:val="00680B2C"/>
    <w:rsid w:val="006C3027"/>
    <w:rsid w:val="006D0998"/>
    <w:rsid w:val="00724E39"/>
    <w:rsid w:val="007464CA"/>
    <w:rsid w:val="0079590E"/>
    <w:rsid w:val="007F5767"/>
    <w:rsid w:val="00853D3D"/>
    <w:rsid w:val="00932757"/>
    <w:rsid w:val="00942622"/>
    <w:rsid w:val="00946EEA"/>
    <w:rsid w:val="00985490"/>
    <w:rsid w:val="00A32DF1"/>
    <w:rsid w:val="00A8501A"/>
    <w:rsid w:val="00AB7FE4"/>
    <w:rsid w:val="00B34039"/>
    <w:rsid w:val="00B80338"/>
    <w:rsid w:val="00BD290D"/>
    <w:rsid w:val="00C51E09"/>
    <w:rsid w:val="00D6420A"/>
    <w:rsid w:val="00D82ADD"/>
    <w:rsid w:val="00D946AE"/>
    <w:rsid w:val="00DB6730"/>
    <w:rsid w:val="00DF4B5C"/>
    <w:rsid w:val="00F3172D"/>
    <w:rsid w:val="00F4272F"/>
    <w:rsid w:val="00F435B8"/>
    <w:rsid w:val="00F92292"/>
    <w:rsid w:val="00F9251F"/>
    <w:rsid w:val="00F9403A"/>
    <w:rsid w:val="00FD2104"/>
    <w:rsid w:val="00FF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7515"/>
  <w15:chartTrackingRefBased/>
  <w15:docId w15:val="{8575BF8F-5A31-42F7-B6B6-C69837FB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144B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5965">
      <w:bodyDiv w:val="1"/>
      <w:marLeft w:val="0"/>
      <w:marRight w:val="0"/>
      <w:marTop w:val="0"/>
      <w:marBottom w:val="0"/>
      <w:divBdr>
        <w:top w:val="none" w:sz="0" w:space="0" w:color="auto"/>
        <w:left w:val="none" w:sz="0" w:space="0" w:color="auto"/>
        <w:bottom w:val="none" w:sz="0" w:space="0" w:color="auto"/>
        <w:right w:val="none" w:sz="0" w:space="0" w:color="auto"/>
      </w:divBdr>
    </w:div>
    <w:div w:id="238030013">
      <w:bodyDiv w:val="1"/>
      <w:marLeft w:val="0"/>
      <w:marRight w:val="0"/>
      <w:marTop w:val="0"/>
      <w:marBottom w:val="0"/>
      <w:divBdr>
        <w:top w:val="none" w:sz="0" w:space="0" w:color="auto"/>
        <w:left w:val="none" w:sz="0" w:space="0" w:color="auto"/>
        <w:bottom w:val="none" w:sz="0" w:space="0" w:color="auto"/>
        <w:right w:val="none" w:sz="0" w:space="0" w:color="auto"/>
      </w:divBdr>
    </w:div>
    <w:div w:id="319426558">
      <w:bodyDiv w:val="1"/>
      <w:marLeft w:val="120"/>
      <w:marRight w:val="120"/>
      <w:marTop w:val="0"/>
      <w:marBottom w:val="0"/>
      <w:divBdr>
        <w:top w:val="none" w:sz="0" w:space="0" w:color="auto"/>
        <w:left w:val="none" w:sz="0" w:space="0" w:color="auto"/>
        <w:bottom w:val="none" w:sz="0" w:space="0" w:color="auto"/>
        <w:right w:val="none" w:sz="0" w:space="0" w:color="auto"/>
      </w:divBdr>
      <w:divsChild>
        <w:div w:id="1819804572">
          <w:marLeft w:val="0"/>
          <w:marRight w:val="0"/>
          <w:marTop w:val="0"/>
          <w:marBottom w:val="0"/>
          <w:divBdr>
            <w:top w:val="none" w:sz="0" w:space="0" w:color="auto"/>
            <w:left w:val="none" w:sz="0" w:space="0" w:color="auto"/>
            <w:bottom w:val="none" w:sz="0" w:space="0" w:color="auto"/>
            <w:right w:val="none" w:sz="0" w:space="0" w:color="auto"/>
          </w:divBdr>
          <w:divsChild>
            <w:div w:id="567806137">
              <w:marLeft w:val="0"/>
              <w:marRight w:val="0"/>
              <w:marTop w:val="0"/>
              <w:marBottom w:val="0"/>
              <w:divBdr>
                <w:top w:val="none" w:sz="0" w:space="0" w:color="auto"/>
                <w:left w:val="none" w:sz="0" w:space="0" w:color="auto"/>
                <w:bottom w:val="none" w:sz="0" w:space="0" w:color="auto"/>
                <w:right w:val="none" w:sz="0" w:space="0" w:color="auto"/>
              </w:divBdr>
            </w:div>
            <w:div w:id="1416435716">
              <w:marLeft w:val="0"/>
              <w:marRight w:val="0"/>
              <w:marTop w:val="0"/>
              <w:marBottom w:val="0"/>
              <w:divBdr>
                <w:top w:val="none" w:sz="0" w:space="0" w:color="auto"/>
                <w:left w:val="none" w:sz="0" w:space="0" w:color="auto"/>
                <w:bottom w:val="none" w:sz="0" w:space="0" w:color="auto"/>
                <w:right w:val="none" w:sz="0" w:space="0" w:color="auto"/>
              </w:divBdr>
            </w:div>
            <w:div w:id="2053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6931">
      <w:bodyDiv w:val="1"/>
      <w:marLeft w:val="0"/>
      <w:marRight w:val="0"/>
      <w:marTop w:val="0"/>
      <w:marBottom w:val="0"/>
      <w:divBdr>
        <w:top w:val="none" w:sz="0" w:space="0" w:color="auto"/>
        <w:left w:val="none" w:sz="0" w:space="0" w:color="auto"/>
        <w:bottom w:val="none" w:sz="0" w:space="0" w:color="auto"/>
        <w:right w:val="none" w:sz="0" w:space="0" w:color="auto"/>
      </w:divBdr>
    </w:div>
    <w:div w:id="437674692">
      <w:bodyDiv w:val="1"/>
      <w:marLeft w:val="120"/>
      <w:marRight w:val="120"/>
      <w:marTop w:val="0"/>
      <w:marBottom w:val="0"/>
      <w:divBdr>
        <w:top w:val="none" w:sz="0" w:space="0" w:color="auto"/>
        <w:left w:val="none" w:sz="0" w:space="0" w:color="auto"/>
        <w:bottom w:val="none" w:sz="0" w:space="0" w:color="auto"/>
        <w:right w:val="none" w:sz="0" w:space="0" w:color="auto"/>
      </w:divBdr>
      <w:divsChild>
        <w:div w:id="1539858289">
          <w:marLeft w:val="0"/>
          <w:marRight w:val="0"/>
          <w:marTop w:val="0"/>
          <w:marBottom w:val="0"/>
          <w:divBdr>
            <w:top w:val="none" w:sz="0" w:space="0" w:color="auto"/>
            <w:left w:val="none" w:sz="0" w:space="0" w:color="auto"/>
            <w:bottom w:val="none" w:sz="0" w:space="0" w:color="auto"/>
            <w:right w:val="none" w:sz="0" w:space="0" w:color="auto"/>
          </w:divBdr>
          <w:divsChild>
            <w:div w:id="494150238">
              <w:marLeft w:val="0"/>
              <w:marRight w:val="0"/>
              <w:marTop w:val="0"/>
              <w:marBottom w:val="0"/>
              <w:divBdr>
                <w:top w:val="none" w:sz="0" w:space="0" w:color="auto"/>
                <w:left w:val="none" w:sz="0" w:space="0" w:color="auto"/>
                <w:bottom w:val="none" w:sz="0" w:space="0" w:color="auto"/>
                <w:right w:val="none" w:sz="0" w:space="0" w:color="auto"/>
              </w:divBdr>
            </w:div>
            <w:div w:id="989673087">
              <w:marLeft w:val="0"/>
              <w:marRight w:val="0"/>
              <w:marTop w:val="0"/>
              <w:marBottom w:val="0"/>
              <w:divBdr>
                <w:top w:val="none" w:sz="0" w:space="0" w:color="auto"/>
                <w:left w:val="none" w:sz="0" w:space="0" w:color="auto"/>
                <w:bottom w:val="none" w:sz="0" w:space="0" w:color="auto"/>
                <w:right w:val="none" w:sz="0" w:space="0" w:color="auto"/>
              </w:divBdr>
            </w:div>
            <w:div w:id="16001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0972">
      <w:bodyDiv w:val="1"/>
      <w:marLeft w:val="0"/>
      <w:marRight w:val="0"/>
      <w:marTop w:val="0"/>
      <w:marBottom w:val="0"/>
      <w:divBdr>
        <w:top w:val="none" w:sz="0" w:space="0" w:color="auto"/>
        <w:left w:val="none" w:sz="0" w:space="0" w:color="auto"/>
        <w:bottom w:val="none" w:sz="0" w:space="0" w:color="auto"/>
        <w:right w:val="none" w:sz="0" w:space="0" w:color="auto"/>
      </w:divBdr>
    </w:div>
    <w:div w:id="729885154">
      <w:bodyDiv w:val="1"/>
      <w:marLeft w:val="0"/>
      <w:marRight w:val="0"/>
      <w:marTop w:val="0"/>
      <w:marBottom w:val="0"/>
      <w:divBdr>
        <w:top w:val="none" w:sz="0" w:space="0" w:color="auto"/>
        <w:left w:val="none" w:sz="0" w:space="0" w:color="auto"/>
        <w:bottom w:val="none" w:sz="0" w:space="0" w:color="auto"/>
        <w:right w:val="none" w:sz="0" w:space="0" w:color="auto"/>
      </w:divBdr>
    </w:div>
    <w:div w:id="1018507670">
      <w:bodyDiv w:val="1"/>
      <w:marLeft w:val="120"/>
      <w:marRight w:val="120"/>
      <w:marTop w:val="0"/>
      <w:marBottom w:val="0"/>
      <w:divBdr>
        <w:top w:val="none" w:sz="0" w:space="0" w:color="auto"/>
        <w:left w:val="none" w:sz="0" w:space="0" w:color="auto"/>
        <w:bottom w:val="none" w:sz="0" w:space="0" w:color="auto"/>
        <w:right w:val="none" w:sz="0" w:space="0" w:color="auto"/>
      </w:divBdr>
      <w:divsChild>
        <w:div w:id="1983190543">
          <w:marLeft w:val="0"/>
          <w:marRight w:val="0"/>
          <w:marTop w:val="0"/>
          <w:marBottom w:val="0"/>
          <w:divBdr>
            <w:top w:val="none" w:sz="0" w:space="0" w:color="auto"/>
            <w:left w:val="none" w:sz="0" w:space="0" w:color="auto"/>
            <w:bottom w:val="none" w:sz="0" w:space="0" w:color="auto"/>
            <w:right w:val="none" w:sz="0" w:space="0" w:color="auto"/>
          </w:divBdr>
          <w:divsChild>
            <w:div w:id="275865676">
              <w:marLeft w:val="0"/>
              <w:marRight w:val="0"/>
              <w:marTop w:val="0"/>
              <w:marBottom w:val="0"/>
              <w:divBdr>
                <w:top w:val="none" w:sz="0" w:space="0" w:color="auto"/>
                <w:left w:val="none" w:sz="0" w:space="0" w:color="auto"/>
                <w:bottom w:val="none" w:sz="0" w:space="0" w:color="auto"/>
                <w:right w:val="none" w:sz="0" w:space="0" w:color="auto"/>
              </w:divBdr>
            </w:div>
            <w:div w:id="640500038">
              <w:marLeft w:val="0"/>
              <w:marRight w:val="0"/>
              <w:marTop w:val="0"/>
              <w:marBottom w:val="0"/>
              <w:divBdr>
                <w:top w:val="none" w:sz="0" w:space="0" w:color="auto"/>
                <w:left w:val="none" w:sz="0" w:space="0" w:color="auto"/>
                <w:bottom w:val="none" w:sz="0" w:space="0" w:color="auto"/>
                <w:right w:val="none" w:sz="0" w:space="0" w:color="auto"/>
              </w:divBdr>
            </w:div>
            <w:div w:id="19299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0106">
      <w:bodyDiv w:val="1"/>
      <w:marLeft w:val="120"/>
      <w:marRight w:val="120"/>
      <w:marTop w:val="0"/>
      <w:marBottom w:val="0"/>
      <w:divBdr>
        <w:top w:val="none" w:sz="0" w:space="0" w:color="auto"/>
        <w:left w:val="none" w:sz="0" w:space="0" w:color="auto"/>
        <w:bottom w:val="none" w:sz="0" w:space="0" w:color="auto"/>
        <w:right w:val="none" w:sz="0" w:space="0" w:color="auto"/>
      </w:divBdr>
      <w:divsChild>
        <w:div w:id="1759669851">
          <w:marLeft w:val="0"/>
          <w:marRight w:val="0"/>
          <w:marTop w:val="0"/>
          <w:marBottom w:val="0"/>
          <w:divBdr>
            <w:top w:val="none" w:sz="0" w:space="0" w:color="auto"/>
            <w:left w:val="none" w:sz="0" w:space="0" w:color="auto"/>
            <w:bottom w:val="none" w:sz="0" w:space="0" w:color="auto"/>
            <w:right w:val="none" w:sz="0" w:space="0" w:color="auto"/>
          </w:divBdr>
          <w:divsChild>
            <w:div w:id="801197738">
              <w:marLeft w:val="0"/>
              <w:marRight w:val="0"/>
              <w:marTop w:val="0"/>
              <w:marBottom w:val="0"/>
              <w:divBdr>
                <w:top w:val="none" w:sz="0" w:space="0" w:color="auto"/>
                <w:left w:val="none" w:sz="0" w:space="0" w:color="auto"/>
                <w:bottom w:val="none" w:sz="0" w:space="0" w:color="auto"/>
                <w:right w:val="none" w:sz="0" w:space="0" w:color="auto"/>
              </w:divBdr>
            </w:div>
            <w:div w:id="2080324311">
              <w:marLeft w:val="0"/>
              <w:marRight w:val="0"/>
              <w:marTop w:val="0"/>
              <w:marBottom w:val="0"/>
              <w:divBdr>
                <w:top w:val="none" w:sz="0" w:space="0" w:color="auto"/>
                <w:left w:val="none" w:sz="0" w:space="0" w:color="auto"/>
                <w:bottom w:val="none" w:sz="0" w:space="0" w:color="auto"/>
                <w:right w:val="none" w:sz="0" w:space="0" w:color="auto"/>
              </w:divBdr>
            </w:div>
            <w:div w:id="21005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F6F5E-C24D-497D-A140-5E399EB2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4</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Batorsky</dc:creator>
  <cp:keywords/>
  <dc:description/>
  <cp:lastModifiedBy>Anna Batorsky</cp:lastModifiedBy>
  <cp:revision>21</cp:revision>
  <dcterms:created xsi:type="dcterms:W3CDTF">2020-06-09T15:46:00Z</dcterms:created>
  <dcterms:modified xsi:type="dcterms:W3CDTF">2020-07-29T15:22:00Z</dcterms:modified>
</cp:coreProperties>
</file>