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80"/>
        <w:jc w:val="center"/>
      </w:pPr>
      <w:r>
        <w:rPr>
          <w:rFonts w:ascii="Arial" w:cs="Arial" w:eastAsia="Arial" w:hAnsi="Arial"/>
          <w:b/>
          <w:bCs/>
          <w:caps/>
          <w:color w:val="070E1C"/>
          <w:sz w:val="48"/>
          <w:szCs w:val="48"/>
        </w:rPr>
        <w:t xml:space="preserve">BRAND IDENTITY GUIDE</w:t>
      </w:r>
    </w:p>
    <w:p>
      <w:pPr>
        <w:spacing w:before="0" w:after="80"/>
        <w:jc w:val="center"/>
      </w:pPr>
      <w:r>
        <w:rPr>
          <w:rFonts w:ascii="Arial" w:cs="Arial" w:eastAsia="Arial" w:hAnsi="Arial"/>
          <w:b/>
          <w:bCs/>
          <w:color w:val="070E1C"/>
          <w:sz w:val="56"/>
          <w:szCs w:val="56"/>
        </w:rPr>
        <w:t xml:space="preserve">ParallaxEdge</w:t>
      </w:r>
    </w:p>
    <w:p>
      <w:pPr>
        <w:spacing w:before="80" w:after="80"/>
        <w:jc w:val="center"/>
      </w:pPr>
      <w:r>
        <w:rPr>
          <w:rFonts w:ascii="Arial" w:cs="Arial" w:eastAsia="Arial" w:hAnsi="Arial"/>
          <w:i/>
          <w:iCs/>
          <w:color w:val="4A6070"/>
          <w:sz w:val="26"/>
          <w:szCs w:val="26"/>
        </w:rPr>
        <w:t xml:space="preserve">Discover opportunities most of the market misses.</w:t>
      </w:r>
    </w:p>
    <w:p>
      <w:pPr>
        <w:spacing w:before="400" w:after="0"/>
      </w:pPr>
      <w:r>
        <w:t xml:space="preserve"/>
      </w:r>
    </w:p>
    <w:p>
      <w:pPr>
        <w:spacing w:before="0" w:after="80"/>
        <w:jc w:val="center"/>
      </w:pPr>
      <w:r>
        <w:rPr>
          <w:rFonts w:ascii="Arial" w:cs="Arial" w:eastAsia="Arial" w:hAnsi="Arial"/>
          <w:caps/>
          <w:color w:val="4A6070"/>
          <w:sz w:val="20"/>
          <w:szCs w:val="20"/>
        </w:rPr>
        <w:t xml:space="preserve">CONFIDENTIAL  —  Version 1.2  —  2026</w:t>
      </w:r>
    </w:p>
    <w:p>
      <w:pPr>
        <w:pageBreakBefore/>
      </w:pPr>
      <w:r>
        <w:t xml:space="preserve"/>
      </w:r>
    </w:p>
    <w:p>
      <w:pPr>
        <w:pStyle w:val="Heading1"/>
        <w:spacing w:before="400" w:after="160"/>
      </w:pPr>
      <w:r>
        <w:rPr>
          <w:rFonts w:ascii="Arial" w:cs="Arial" w:eastAsia="Arial" w:hAnsi="Arial"/>
          <w:b/>
          <w:bCs/>
          <w:color w:val="070E1C"/>
          <w:sz w:val="32"/>
          <w:szCs w:val="32"/>
        </w:rPr>
        <w:t xml:space="preserve">1. Brand Overview</w:t>
      </w:r>
    </w:p>
    <w:p>
      <w:pPr>
        <w:spacing w:before="80" w:after="80"/>
      </w:pPr>
      <w:r>
        <w:rPr>
          <w:rFonts w:ascii="Arial" w:cs="Arial" w:eastAsia="Arial" w:hAnsi="Arial"/>
          <w:color w:val="2D3748"/>
          <w:sz w:val="22"/>
          <w:szCs w:val="22"/>
        </w:rPr>
        <w:t xml:space="preserve">ParallaxEdge is an AI-powered decision intelligence platform for sports bettors. It provides users with tools to make smarter betting decisions grounded in data, not instinct. ParallaxEdge does not make predictions on behalf of users — it surfaces opportunities, quantifies edges, and puts better information in the hands of every bettor.</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1.1 Mission</w:t>
      </w:r>
    </w:p>
    <w:p>
      <w:pPr>
        <w:spacing w:before="80" w:after="80"/>
      </w:pPr>
      <w:r>
        <w:rPr>
          <w:rFonts w:ascii="Arial" w:cs="Arial" w:eastAsia="Arial" w:hAnsi="Arial"/>
          <w:color w:val="2D3748"/>
          <w:sz w:val="22"/>
          <w:szCs w:val="22"/>
        </w:rPr>
        <w:t xml:space="preserve">To give every sports bettor access to the same quality of analytical intelligence previously available only to institutional players and professional analysts.</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1.2 Vision</w:t>
      </w:r>
    </w:p>
    <w:p>
      <w:pPr>
        <w:spacing w:before="80" w:after="80"/>
      </w:pPr>
      <w:r>
        <w:rPr>
          <w:rFonts w:ascii="Arial" w:cs="Arial" w:eastAsia="Arial" w:hAnsi="Arial"/>
          <w:color w:val="2D3748"/>
          <w:sz w:val="22"/>
          <w:szCs w:val="22"/>
        </w:rPr>
        <w:t xml:space="preserve">A world where betting decisions are made with precision, transparency, and confidence — powered by AI models that find value the market hasn't priced yet.</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1.3 Positioning Statement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B4" w:sz="4"/>
              <w:left w:val="thick" w:color="00D4B4" w:sz="12"/>
              <w:bottom w:val="single" w:color="00D4B4" w:sz="4"/>
              <w:right w:val="single" w:color="00D4B4" w:sz="4"/>
            </w:tcBorders>
            <w:shd w:fill="E8FAF7" w:val="clear"/>
            <w:tcMar>
              <w:top w:type="dxa" w:w="120"/>
              <w:left w:type="dxa" w:w="200"/>
              <w:bottom w:type="dxa" w:w="120"/>
              <w:right w:type="dxa" w:w="200"/>
            </w:tcMar>
          </w:tcPr>
          <w:p>
            <w:r>
              <w:rPr>
                <w:rFonts w:ascii="Arial" w:cs="Arial" w:eastAsia="Arial" w:hAnsi="Arial"/>
                <w:i/>
                <w:iCs/>
                <w:color w:val="1A4A42"/>
                <w:sz w:val="20"/>
                <w:szCs w:val="20"/>
              </w:rPr>
              <w:t xml:space="preserve">ParallaxEdge is the AI-powered betting intelligence platform that finds opportunities most of the market misses — giving bettors of every level the tools to decide with data, not instinct.</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1.4 Core Brand Pillars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Pillar</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Precision</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Every signal is traceable, explainable, and model-backed. No black boxes.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Edge</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Users are always one step ahead of the market. The platform exists to find value others miss.</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Clarity</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Complex AI output distilled into actionable signals anyone can act on.</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Empowerment</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The user makes the final decision. ParallaxEdge is the tool, not the tipster.</w:t>
            </w:r>
          </w:p>
        </w:tc>
      </w:tr>
    </w:tbl>
    <w:p>
      <w:pPr>
        <w:pageBreakBefore/>
      </w:pPr>
      <w:r>
        <w:t xml:space="preserve"/>
      </w:r>
    </w:p>
    <w:p>
      <w:pPr>
        <w:pStyle w:val="Heading1"/>
        <w:spacing w:before="400" w:after="160"/>
      </w:pPr>
      <w:r>
        <w:rPr>
          <w:rFonts w:ascii="Arial" w:cs="Arial" w:eastAsia="Arial" w:hAnsi="Arial"/>
          <w:b/>
          <w:bCs/>
          <w:color w:val="070E1C"/>
          <w:sz w:val="32"/>
          <w:szCs w:val="32"/>
        </w:rPr>
        <w:t xml:space="preserve">2. Tagline &amp; Messaging</w:t>
      </w:r>
    </w:p>
    <w:p>
      <w:pPr>
        <w:pStyle w:val="Heading2"/>
        <w:spacing w:before="280" w:after="120"/>
      </w:pPr>
      <w:r>
        <w:rPr>
          <w:rFonts w:ascii="Arial" w:cs="Arial" w:eastAsia="Arial" w:hAnsi="Arial"/>
          <w:b/>
          <w:bCs/>
          <w:color w:val="070E1C"/>
          <w:sz w:val="26"/>
          <w:szCs w:val="26"/>
        </w:rPr>
        <w:t xml:space="preserve">2.1 Primary Tagline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B4" w:sz="4"/>
              <w:left w:val="thick" w:color="00D4B4" w:sz="12"/>
              <w:bottom w:val="single" w:color="00D4B4" w:sz="4"/>
              <w:right w:val="single" w:color="00D4B4" w:sz="4"/>
            </w:tcBorders>
            <w:shd w:fill="E8FAF7" w:val="clear"/>
            <w:tcMar>
              <w:top w:type="dxa" w:w="120"/>
              <w:left w:type="dxa" w:w="200"/>
              <w:bottom w:type="dxa" w:w="120"/>
              <w:right w:type="dxa" w:w="200"/>
            </w:tcMar>
          </w:tcPr>
          <w:p>
            <w:r>
              <w:rPr>
                <w:rFonts w:ascii="Arial" w:cs="Arial" w:eastAsia="Arial" w:hAnsi="Arial"/>
                <w:i/>
                <w:iCs/>
                <w:color w:val="1A4A42"/>
                <w:sz w:val="20"/>
                <w:szCs w:val="20"/>
              </w:rPr>
              <w:t xml:space="preserve">Discover opportunities most of the market misses.</w:t>
            </w:r>
          </w:p>
        </w:tc>
      </w:tr>
    </w:tbl>
    <w:p>
      <w:pPr>
        <w:spacing w:before="160" w:after="0"/>
      </w:pPr>
      <w:r>
        <w:t xml:space="preserve"/>
      </w:r>
    </w:p>
    <w:p>
      <w:pPr>
        <w:spacing w:before="80" w:after="80"/>
      </w:pPr>
      <w:r>
        <w:rPr>
          <w:rFonts w:ascii="Arial" w:cs="Arial" w:eastAsia="Arial" w:hAnsi="Arial"/>
          <w:color w:val="2D3748"/>
          <w:sz w:val="22"/>
          <w:szCs w:val="22"/>
        </w:rPr>
        <w:t xml:space="preserve">This tagline was developed through a deliberate creative and strategic process. Key decisions embedded in it:</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"Discover" — positions the user as the active agent with an exploratory quality that maps to the parallax concept of uncovering angles others miss. ParallaxEdge is the tool; the bettor makes the decision.</w:t>
      </w:r>
    </w:p>
    <w:p>
      <w:pPr>
        <w:pStyle w:val="ListParagraph"/>
        <w:numPr>
          <w:ilvl w:val="0"/>
          <w:numId w:val="2"/>
        </w:numPr>
        <w:spacing w:before="40" w:after="40"/>
      </w:pPr>
      <w:r>
        <w:rPr>
          <w:rFonts w:ascii="Arial" w:cs="Arial" w:eastAsia="Arial" w:hAnsi="Arial"/>
          <w:color w:val="2D3748"/>
          <w:sz w:val="22"/>
          <w:szCs w:val="22"/>
        </w:rPr>
        <w:t xml:space="preserve">"Opportunities" — describes value in the market, not guaranteed outcomes. Accurate and defensible.</w:t>
      </w:r>
    </w:p>
    <w:p>
      <w:pPr>
        <w:pStyle w:val="ListParagraph"/>
        <w:numPr>
          <w:ilvl w:val="0"/>
          <w:numId w:val="2"/>
        </w:numPr>
        <w:spacing w:before="40" w:after="40"/>
      </w:pPr>
      <w:r>
        <w:rPr>
          <w:rFonts w:ascii="Arial" w:cs="Arial" w:eastAsia="Arial" w:hAnsi="Arial"/>
          <w:color w:val="2D3748"/>
          <w:sz w:val="22"/>
          <w:szCs w:val="22"/>
        </w:rPr>
        <w:t xml:space="preserve">"Most" — an honest qualifier. No model finds every edge. This is confident without overclaiming.</w:t>
      </w:r>
    </w:p>
    <w:p>
      <w:pPr>
        <w:pStyle w:val="ListParagraph"/>
        <w:numPr>
          <w:ilvl w:val="0"/>
          <w:numId w:val="2"/>
        </w:numPr>
        <w:spacing w:before="40" w:after="40"/>
      </w:pPr>
      <w:r>
        <w:rPr>
          <w:rFonts w:ascii="Arial" w:cs="Arial" w:eastAsia="Arial" w:hAnsi="Arial"/>
          <w:color w:val="2D3748"/>
          <w:sz w:val="22"/>
          <w:szCs w:val="22"/>
        </w:rPr>
        <w:t xml:space="preserve">"The market" — sophisticated benchmark that speaks to data-literate users without alienating newcomers.</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2.2 Tagline Usage Notes</w:t>
      </w:r>
    </w:p>
    <w:p>
      <w:pPr>
        <w:spacing w:before="80" w:after="80"/>
      </w:pPr>
      <w:r>
        <w:rPr>
          <w:rFonts w:ascii="Arial" w:cs="Arial" w:eastAsia="Arial" w:hAnsi="Arial"/>
          <w:color w:val="2D3748"/>
          <w:sz w:val="22"/>
          <w:szCs w:val="22"/>
        </w:rPr>
        <w:t xml:space="preserve">This tagline should appear in its complete form wherever possible. It must not be shortened, paraphrased, or altered in marketing materials without brand approval. It should always be presented in sentence case exactly as written.</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2.3 Hero Sub-copy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B4" w:sz="4"/>
              <w:left w:val="thick" w:color="00D4B4" w:sz="12"/>
              <w:bottom w:val="single" w:color="00D4B4" w:sz="4"/>
              <w:right w:val="single" w:color="00D4B4" w:sz="4"/>
            </w:tcBorders>
            <w:shd w:fill="E8FAF7" w:val="clear"/>
            <w:tcMar>
              <w:top w:type="dxa" w:w="120"/>
              <w:left w:type="dxa" w:w="200"/>
              <w:bottom w:type="dxa" w:w="120"/>
              <w:right w:type="dxa" w:w="200"/>
            </w:tcMar>
          </w:tcPr>
          <w:p>
            <w:r>
              <w:rPr>
                <w:rFonts w:ascii="Arial" w:cs="Arial" w:eastAsia="Arial" w:hAnsi="Arial"/>
                <w:i/>
                <w:iCs/>
                <w:color w:val="1A4A42"/>
                <w:sz w:val="20"/>
                <w:szCs w:val="20"/>
              </w:rPr>
              <w:t xml:space="preserve">ParallaxEdge gives you the same AI-powered signals professional analysts use — so every decision you make is informed by data, not instinct.</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2.4 Supporting Messages by Audience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Audience</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Message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Casual fans &amp; first-time bettors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Stop guessing. Start finding real value with AI tools built for how the game actually works.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Experienced sports bettors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Nine proprietary signals. Confidence intervals. Real-time odds movement. The edge, quantified.</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Data-driven analysts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Model-backed signals with full explainability. Every output is traceable to its inputs.</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2.5 What We Never Say</w:t>
      </w:r>
    </w:p>
    <w:p>
      <w:pPr>
        <w:spacing w:before="80" w:after="80"/>
      </w:pPr>
      <w:r>
        <w:rPr>
          <w:rFonts w:ascii="Arial" w:cs="Arial" w:eastAsia="Arial" w:hAnsi="Arial"/>
          <w:color w:val="2D3748"/>
          <w:sz w:val="22"/>
          <w:szCs w:val="22"/>
        </w:rPr>
        <w:t xml:space="preserve">The following statements and framings are off-limits in all ParallaxEdge communications:</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Guaranteed wins, guaranteed returns, or any language implying certainty of outcome</w:t>
      </w:r>
    </w:p>
    <w:p>
      <w:pPr>
        <w:pStyle w:val="ListParagraph"/>
        <w:numPr>
          <w:ilvl w:val="0"/>
          <w:numId w:val="2"/>
        </w:numPr>
        <w:spacing w:before="40" w:after="40"/>
      </w:pPr>
      <w:r>
        <w:rPr>
          <w:rFonts w:ascii="Arial" w:cs="Arial" w:eastAsia="Arial" w:hAnsi="Arial"/>
          <w:color w:val="2D3748"/>
          <w:sz w:val="22"/>
          <w:szCs w:val="22"/>
        </w:rPr>
        <w:t xml:space="preserve">"We predict" — ParallaxEdge surfaces opportunities; users make decisions</w:t>
      </w:r>
    </w:p>
    <w:p>
      <w:pPr>
        <w:pStyle w:val="ListParagraph"/>
        <w:numPr>
          <w:ilvl w:val="0"/>
          <w:numId w:val="2"/>
        </w:numPr>
        <w:spacing w:before="40" w:after="40"/>
      </w:pPr>
      <w:r>
        <w:rPr>
          <w:rFonts w:ascii="Arial" w:cs="Arial" w:eastAsia="Arial" w:hAnsi="Arial"/>
          <w:color w:val="2D3748"/>
          <w:sz w:val="22"/>
          <w:szCs w:val="22"/>
        </w:rPr>
        <w:t xml:space="preserve">"Beat the bookies" or similar adversarial, aggressive framing</w:t>
      </w:r>
    </w:p>
    <w:p>
      <w:pPr>
        <w:pStyle w:val="ListParagraph"/>
        <w:numPr>
          <w:ilvl w:val="0"/>
          <w:numId w:val="2"/>
        </w:numPr>
        <w:spacing w:before="40" w:after="40"/>
      </w:pPr>
      <w:r>
        <w:rPr>
          <w:rFonts w:ascii="Arial" w:cs="Arial" w:eastAsia="Arial" w:hAnsi="Arial"/>
          <w:color w:val="2D3748"/>
          <w:sz w:val="22"/>
          <w:szCs w:val="22"/>
        </w:rPr>
        <w:t xml:space="preserve">Any language that implies the platform replaces judgment rather than informing it</w:t>
      </w:r>
    </w:p>
    <w:p>
      <w:pPr>
        <w:pageBreakBefore/>
      </w:pPr>
      <w:r>
        <w:t xml:space="preserve"/>
      </w:r>
    </w:p>
    <w:p>
      <w:pPr>
        <w:pStyle w:val="Heading1"/>
        <w:spacing w:before="400" w:after="160"/>
      </w:pPr>
      <w:r>
        <w:rPr>
          <w:rFonts w:ascii="Arial" w:cs="Arial" w:eastAsia="Arial" w:hAnsi="Arial"/>
          <w:b/>
          <w:bCs/>
          <w:color w:val="070E1C"/>
          <w:sz w:val="32"/>
          <w:szCs w:val="32"/>
        </w:rPr>
        <w:t xml:space="preserve">3. Visual Identity</w:t>
      </w:r>
    </w:p>
    <w:p>
      <w:pPr>
        <w:pStyle w:val="Heading2"/>
        <w:spacing w:before="280" w:after="120"/>
      </w:pPr>
      <w:r>
        <w:rPr>
          <w:rFonts w:ascii="Arial" w:cs="Arial" w:eastAsia="Arial" w:hAnsi="Arial"/>
          <w:b/>
          <w:bCs/>
          <w:color w:val="070E1C"/>
          <w:sz w:val="26"/>
          <w:szCs w:val="26"/>
        </w:rPr>
        <w:t xml:space="preserve">3.1 Brand Aesthetic</w:t>
      </w:r>
    </w:p>
    <w:p>
      <w:pPr>
        <w:spacing w:before="80" w:after="80"/>
      </w:pPr>
      <w:r>
        <w:rPr>
          <w:rFonts w:ascii="Arial" w:cs="Arial" w:eastAsia="Arial" w:hAnsi="Arial"/>
          <w:color w:val="2D3748"/>
          <w:sz w:val="22"/>
          <w:szCs w:val="22"/>
        </w:rPr>
        <w:t xml:space="preserve">ParallaxEdge sits at the intersection of Wall Street-grade data intelligence and the visceral thrill of football. The visual language reflects this: Bloomberg meets sports. Clean, technical, authoritative — with enough warmth to welcome a first-time bettor alongside a professional analyst.</w:t>
      </w:r>
    </w:p>
    <w:p>
      <w:pPr>
        <w:spacing w:before="80" w:after="0"/>
      </w:pPr>
      <w:r>
        <w:t xml:space="preserve"/>
      </w:r>
    </w:p>
    <w:p>
      <w:pPr>
        <w:spacing w:before="80" w:after="80"/>
      </w:pPr>
      <w:r>
        <w:rPr>
          <w:rFonts w:ascii="Arial" w:cs="Arial" w:eastAsia="Arial" w:hAnsi="Arial"/>
          <w:color w:val="2D3748"/>
          <w:sz w:val="22"/>
          <w:szCs w:val="22"/>
        </w:rPr>
        <w:t xml:space="preserve">The aesthetic is best described as: sleek, data-forward, quietly confident. Never flashy, never aggressive, never generic.</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3.2 Colour Palette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Colour</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Deep Navy  #070E1C</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Primary background. Establishes premium, technical authority.</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Signal Teal  #00D4B4</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Primary accent. Used for high-confidence signals, CTAs, and brand highlights.</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Alert Amber  #F5A623</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Secondary accent. Used for mid-confidence signals and monitoring states.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Cold White  #E8EDF5</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Primary text on dark backgrounds. Readable and refined.</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Navy Surface  #0D1829</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Secondary background for cards and dashboard surfaces.</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3.3 Signal Colour System</w:t>
      </w:r>
    </w:p>
    <w:p>
      <w:pPr>
        <w:spacing w:before="80" w:after="80"/>
      </w:pPr>
      <w:r>
        <w:rPr>
          <w:rFonts w:ascii="Arial" w:cs="Arial" w:eastAsia="Arial" w:hAnsi="Arial"/>
          <w:color w:val="2D3748"/>
          <w:sz w:val="22"/>
          <w:szCs w:val="22"/>
        </w:rPr>
        <w:t xml:space="preserve">The teal/amber dual-signal system is a core UI and brand pattern. Users learn to read it instinctively across all touchpoints: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Colour</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Teal</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High-confidence edge detected. Action recommended.</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Amber</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Mid-confidence signal. Monitor closely.</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Muted / Dimmed</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Signal inactive, offline, or insufficient data.</w:t>
            </w:r>
          </w:p>
        </w:tc>
      </w:tr>
    </w:tbl>
    <w:p>
      <w:pPr>
        <w:spacing w:before="80" w:after="0"/>
      </w:pPr>
      <w:r>
        <w:t xml:space="preserve"/>
      </w:r>
    </w:p>
    <w:p>
      <w:pPr>
        <w:spacing w:before="80" w:after="80"/>
      </w:pPr>
      <w:r>
        <w:rPr>
          <w:rFonts w:ascii="Arial" w:cs="Arial" w:eastAsia="Arial" w:hAnsi="Arial"/>
          <w:color w:val="2D3748"/>
          <w:sz w:val="22"/>
          <w:szCs w:val="22"/>
        </w:rPr>
        <w:t xml:space="preserve">This system must be applied consistently across the dashboard, social media signal cards, email alerts, and all product communications.</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3.4 Typography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Typeface</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DM Serif Display</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Headlines, hero text, section titles. Provides editorial authority and warmth. Italic variant used for emphasis and tagline pairings.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IBM Plex Mono</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Data, statistics, confidence scores, odds, labels, and all numerical outputs. Signals precision and technical credibility.</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DM Sans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Body copy, UI text, supporting content. Also used for the wordmark. Clean and legible at all sizes.</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3.5 Motion Language</w:t>
      </w:r>
    </w:p>
    <w:p>
      <w:pPr>
        <w:spacing w:before="80" w:after="80"/>
      </w:pPr>
      <w:r>
        <w:rPr>
          <w:rFonts w:ascii="Arial" w:cs="Arial" w:eastAsia="Arial" w:hAnsi="Arial"/>
          <w:color w:val="2D3748"/>
          <w:sz w:val="22"/>
          <w:szCs w:val="22"/>
        </w:rPr>
        <w:t xml:space="preserve">Motion is used purposefully to reinforce the data-intelligence character of the brand. Core motion principles:</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Data streaming in — numbers and signals animate into view, never appear statically</w:t>
      </w:r>
    </w:p>
    <w:p>
      <w:pPr>
        <w:pStyle w:val="ListParagraph"/>
        <w:numPr>
          <w:ilvl w:val="0"/>
          <w:numId w:val="2"/>
        </w:numPr>
        <w:spacing w:before="40" w:after="40"/>
      </w:pPr>
      <w:r>
        <w:rPr>
          <w:rFonts w:ascii="Arial" w:cs="Arial" w:eastAsia="Arial" w:hAnsi="Arial"/>
          <w:color w:val="2D3748"/>
          <w:sz w:val="22"/>
          <w:szCs w:val="22"/>
        </w:rPr>
        <w:t xml:space="preserve">Confidence intervals animate on load — bars fill progressively, reinforcing the probabilistic nature of outputs</w:t>
      </w:r>
    </w:p>
    <w:p>
      <w:pPr>
        <w:pStyle w:val="ListParagraph"/>
        <w:numPr>
          <w:ilvl w:val="0"/>
          <w:numId w:val="2"/>
        </w:numPr>
        <w:spacing w:before="40" w:after="40"/>
      </w:pPr>
      <w:r>
        <w:rPr>
          <w:rFonts w:ascii="Arial" w:cs="Arial" w:eastAsia="Arial" w:hAnsi="Arial"/>
          <w:color w:val="2D3748"/>
          <w:sz w:val="22"/>
          <w:szCs w:val="22"/>
        </w:rPr>
        <w:t xml:space="preserve">Ticker elements run continuously — reinforcing live intelligence and market activity</w:t>
      </w:r>
    </w:p>
    <w:p>
      <w:pPr>
        <w:pStyle w:val="ListParagraph"/>
        <w:numPr>
          <w:ilvl w:val="0"/>
          <w:numId w:val="2"/>
        </w:numPr>
        <w:spacing w:before="40" w:after="40"/>
      </w:pPr>
      <w:r>
        <w:rPr>
          <w:rFonts w:ascii="Arial" w:cs="Arial" w:eastAsia="Arial" w:hAnsi="Arial"/>
          <w:color w:val="2D3748"/>
          <w:sz w:val="22"/>
          <w:szCs w:val="22"/>
        </w:rPr>
        <w:t xml:space="preserve">Transitions are smooth and measured — never sudden or aggressive</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3.6 Iconography</w:t>
      </w:r>
    </w:p>
    <w:p>
      <w:pPr>
        <w:spacing w:before="80" w:after="80"/>
      </w:pPr>
      <w:r>
        <w:rPr>
          <w:rFonts w:ascii="Arial" w:cs="Arial" w:eastAsia="Arial" w:hAnsi="Arial"/>
          <w:color w:val="2D3748"/>
          <w:sz w:val="22"/>
          <w:szCs w:val="22"/>
        </w:rPr>
        <w:t xml:space="preserve">Icon style is thin-line technical. Icons reference parallax grids, probability curves, signal waveforms, and angular geometry. No sports emoji, no trophy graphics, no gambling iconography (dice, cards, chips). The visual language is analytics, not casino.</w:t>
      </w:r>
    </w:p>
    <w:p>
      <w:pPr>
        <w:pageBreakBefore/>
      </w:pPr>
      <w:r>
        <w:t xml:space="preserve"/>
      </w:r>
    </w:p>
    <w:p>
      <w:pPr>
        <w:pStyle w:val="Heading2"/>
        <w:spacing w:before="280" w:after="120"/>
      </w:pPr>
      <w:r>
        <w:rPr>
          <w:rFonts w:ascii="Arial" w:cs="Arial" w:eastAsia="Arial" w:hAnsi="Arial"/>
          <w:b/>
          <w:bCs/>
          <w:color w:val="070E1C"/>
          <w:sz w:val="26"/>
          <w:szCs w:val="26"/>
        </w:rPr>
        <w:t xml:space="preserve">3.7 Logo &amp; Mark</w:t>
      </w:r>
    </w:p>
    <w:p>
      <w:pPr>
        <w:spacing w:before="80" w:after="0"/>
      </w:pPr>
      <w:r>
        <w:t xml:space="preserve"/>
      </w:r>
    </w:p>
    <w:p>
      <w:pPr>
        <w:spacing w:before="80" w:after="80"/>
      </w:pPr>
      <w:r>
        <w:rPr>
          <w:rFonts w:ascii="Arial" w:cs="Arial" w:eastAsia="Arial" w:hAnsi="Arial"/>
          <w:color w:val="2D3748"/>
          <w:sz w:val="22"/>
          <w:szCs w:val="22"/>
        </w:rPr>
        <w:t xml:space="preserve">The ParallaxEdge logo is a combination mark: a geometric icon (the mark) paired with the wordmark. Both elements are defined below. The mark may be used independently in UI contexts where the wordmark is not required. The full lockup should be used in all marketing, document, and brand communications.</w:t>
      </w:r>
    </w:p>
    <w:p>
      <w:pPr>
        <w:spacing w:before="160" w:after="0"/>
      </w:pPr>
      <w:r>
        <w:t xml:space="preserve"/>
      </w:r>
    </w:p>
    <w:p>
      <w:pPr>
        <w:spacing w:before="200" w:after="80"/>
      </w:pPr>
      <w:r>
        <w:rPr>
          <w:rFonts w:ascii="Arial" w:cs="Arial" w:eastAsia="Arial" w:hAnsi="Arial"/>
          <w:b/>
          <w:bCs/>
          <w:color w:val="070E1C"/>
          <w:sz w:val="22"/>
          <w:szCs w:val="22"/>
        </w:rPr>
        <w:t xml:space="preserve">The Mark — Perspective Field</w:t>
      </w:r>
    </w:p>
    <w:p>
      <w:pPr>
        <w:spacing w:before="80" w:after="80"/>
      </w:pPr>
      <w:r>
        <w:rPr>
          <w:rFonts w:ascii="Arial" w:cs="Arial" w:eastAsia="Arial" w:hAnsi="Arial"/>
          <w:color w:val="2D3748"/>
          <w:sz w:val="22"/>
          <w:szCs w:val="22"/>
        </w:rPr>
        <w:t xml:space="preserve">The icon is a perspective grid contained within a triangular boundary. Radiating lines converge at a single vanishing point at the apex, with horizontal cross-lines creating the grid. Line opacity decreases from the centre outward, reinforcing the sense of depth and dimensional shift. A solid teal dot marks the apex — the point of signal detection, the edge.</w:t>
      </w:r>
    </w:p>
    <w:p>
      <w:pPr>
        <w:spacing w:before="80" w:after="0"/>
      </w:pPr>
      <w:r>
        <w:t xml:space="preserve"/>
      </w:r>
    </w:p>
    <w:p>
      <w:pPr>
        <w:spacing w:before="80" w:after="80"/>
      </w:pPr>
      <w:r>
        <w:rPr>
          <w:rFonts w:ascii="Arial" w:cs="Arial" w:eastAsia="Arial" w:hAnsi="Arial"/>
          <w:color w:val="2D3748"/>
          <w:sz w:val="22"/>
          <w:szCs w:val="22"/>
        </w:rPr>
        <w:t xml:space="preserve">This mark encodes both core brand concepts simultaneously: the parallax depth of perspective (the grid radiating from a single point) and the edge (the apex, the precise moment of advantage).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Mark outline stroke</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Signal Teal  #00D4B4  —  1pt weight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Grid lines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Signal Teal  #00D4B4  —  0.5pt weight, opacity 15%–90% radiating from centre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Apex dot</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Signal Teal  #00D4B4  —  solid fill</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Background</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Deep Navy  #070E1C  (primary context)</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Light background variant</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Grid and outline shift to #007A6A (darkened teal for contrast on light)</w:t>
            </w:r>
          </w:p>
        </w:tc>
      </w:tr>
    </w:tbl>
    <w:p>
      <w:pPr>
        <w:spacing w:before="160" w:after="0"/>
      </w:pPr>
      <w:r>
        <w:t xml:space="preserve"/>
      </w:r>
    </w:p>
    <w:p>
      <w:pPr>
        <w:spacing w:before="200" w:after="80"/>
      </w:pPr>
      <w:r>
        <w:rPr>
          <w:rFonts w:ascii="Arial" w:cs="Arial" w:eastAsia="Arial" w:hAnsi="Arial"/>
          <w:b/>
          <w:bCs/>
          <w:color w:val="070E1C"/>
          <w:sz w:val="22"/>
          <w:szCs w:val="22"/>
        </w:rPr>
        <w:t xml:space="preserve">The Wordmark</w:t>
      </w:r>
    </w:p>
    <w:p>
      <w:pPr>
        <w:spacing w:before="80" w:after="80"/>
      </w:pPr>
      <w:r>
        <w:rPr>
          <w:rFonts w:ascii="Arial" w:cs="Arial" w:eastAsia="Arial" w:hAnsi="Arial"/>
          <w:color w:val="2D3748"/>
          <w:sz w:val="22"/>
          <w:szCs w:val="22"/>
        </w:rPr>
        <w:t xml:space="preserve">The wordmark is set in DM Sans, weight 500, uppercase, letter-spacing 0.12em. The two-color split is the defining feature: "Parallax" renders in Cold White (#E8EDF5), "Edge" renders in Signal Teal (#00D4B4). The words are set at equal size and weight — the color contrast alone carries the hierarchy between the methodology name and the product promise.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"Parallax"</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DM Sans  500  uppercase  #E8EDF5  (Cold White)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"Edge"</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DM Sans  500  uppercase  #00D4B4  (Signal Teal)</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Sub-label (optional)</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IBM Plex Mono  9pt  uppercase  letter-spacing 0.22em  #4A6070</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Minimum wordmark size</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13px cap height — do not render below this size</w:t>
            </w:r>
          </w:p>
        </w:tc>
      </w:tr>
    </w:tbl>
    <w:p>
      <w:pPr>
        <w:spacing w:before="160" w:after="0"/>
      </w:pPr>
      <w:r>
        <w:t xml:space="preserve"/>
      </w:r>
    </w:p>
    <w:p>
      <w:pPr>
        <w:spacing w:before="200" w:after="80"/>
      </w:pPr>
      <w:r>
        <w:rPr>
          <w:rFonts w:ascii="Arial" w:cs="Arial" w:eastAsia="Arial" w:hAnsi="Arial"/>
          <w:b/>
          <w:bCs/>
          <w:color w:val="070E1C"/>
          <w:sz w:val="22"/>
          <w:szCs w:val="22"/>
        </w:rPr>
        <w:t xml:space="preserve">Size &amp; Scale</w:t>
      </w:r>
    </w:p>
    <w:p>
      <w:pPr>
        <w:spacing w:before="80" w:after="80"/>
      </w:pPr>
      <w:r>
        <w:rPr>
          <w:rFonts w:ascii="Arial" w:cs="Arial" w:eastAsia="Arial" w:hAnsi="Arial"/>
          <w:color w:val="2D3748"/>
          <w:sz w:val="22"/>
          <w:szCs w:val="22"/>
        </w:rPr>
        <w:t xml:space="preserve">The mark has been tested and optimised at the following sizes. Below 20px, internal grid detail should be reduced to three lines only (centre line at full opacity, two flanking lines at 50% opacity) to maintain legibility.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Size</w:t>
            </w:r>
          </w:p>
        </w:tc>
        <w:tc>
          <w:tcPr>
            <w:tcW w:type="dxa" w:w="20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Rendering</w:t>
            </w:r>
          </w:p>
        </w:tc>
        <w:tc>
          <w:tcPr>
            <w:tcW w:type="dxa" w:w="59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Context</w:t>
            </w:r>
          </w:p>
        </w:tc>
      </w:tr>
      <w:tr>
        <w:tc>
          <w:tcPr>
            <w:tcW w:type="dxa" w:w="14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80px</w:t>
            </w:r>
          </w:p>
        </w:tc>
        <w:tc>
          <w:tcPr>
            <w:tcW w:type="dxa" w:w="20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val="false"/>
                <w:bCs w:val="false"/>
                <w:color w:val="2D3748"/>
                <w:sz w:val="20"/>
                <w:szCs w:val="20"/>
              </w:rPr>
              <w:t xml:space="preserve">Full detail — all 9 radiating lines, 4 horizontal cross-lines</w:t>
            </w:r>
          </w:p>
        </w:tc>
      </w:tr>
      <w:tr>
        <w:tc>
          <w:tcPr>
            <w:tcW w:type="dxa" w:w="14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48px</w:t>
            </w:r>
          </w:p>
        </w:tc>
        <w:tc>
          <w:tcPr>
            <w:tcW w:type="dxa" w:w="20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val="false"/>
                <w:bCs w:val="false"/>
                <w:color w:val="2D3748"/>
                <w:sz w:val="20"/>
                <w:szCs w:val="20"/>
              </w:rPr>
              <w:t xml:space="preserve">Full detail</w:t>
            </w:r>
          </w:p>
        </w:tc>
      </w:tr>
      <w:tr>
        <w:tc>
          <w:tcPr>
            <w:tcW w:type="dxa" w:w="14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32px</w:t>
            </w:r>
          </w:p>
        </w:tc>
        <w:tc>
          <w:tcPr>
            <w:tcW w:type="dxa" w:w="20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val="false"/>
                <w:bCs w:val="false"/>
                <w:color w:val="2D3748"/>
                <w:sz w:val="20"/>
                <w:szCs w:val="20"/>
              </w:rPr>
              <w:t xml:space="preserve">Full detail — minimum for full grid</w:t>
            </w:r>
          </w:p>
        </w:tc>
      </w:tr>
      <w:tr>
        <w:tc>
          <w:tcPr>
            <w:tcW w:type="dxa" w:w="14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20px</w:t>
            </w:r>
          </w:p>
        </w:tc>
        <w:tc>
          <w:tcPr>
            <w:tcW w:type="dxa" w:w="20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val="false"/>
                <w:bCs w:val="false"/>
                <w:color w:val="2D3748"/>
                <w:sz w:val="20"/>
                <w:szCs w:val="20"/>
              </w:rPr>
              <w:t xml:space="preserve">Simplified — 3 radiating lines + outline + apex dot (favicon use)</w:t>
            </w:r>
          </w:p>
        </w:tc>
      </w:tr>
    </w:tbl>
    <w:p>
      <w:pPr>
        <w:spacing w:before="160" w:after="0"/>
      </w:pPr>
      <w:r>
        <w:t xml:space="preserve"/>
      </w:r>
    </w:p>
    <w:p>
      <w:pPr>
        <w:spacing w:before="200" w:after="80"/>
      </w:pPr>
      <w:r>
        <w:rPr>
          <w:rFonts w:ascii="Arial" w:cs="Arial" w:eastAsia="Arial" w:hAnsi="Arial"/>
          <w:b/>
          <w:bCs/>
          <w:color w:val="070E1C"/>
          <w:sz w:val="22"/>
          <w:szCs w:val="22"/>
        </w:rPr>
        <w:t xml:space="preserve">Colour Variants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Variant</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Primary — on Deep Navy</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Mark and wordmark in full brand colours. Default usage.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On light backgrounds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Mark outline and grid shift to #007A6A. Wordmark "Parallax" in #070E1C (Deep Navy). "Edge" in #007A6A.</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On Signal Teal</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Full mark and wordmark rendered in Deep Navy #070E1C. "Edge" portion at 55% opacity to maintain two-word read without colour differentiation.</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Single colour (print / emboss)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Full mark and wordmark in a single colour. Wordmark runs as one solid colour — the teal/white split is suspended.</w:t>
            </w:r>
          </w:p>
        </w:tc>
      </w:tr>
    </w:tbl>
    <w:p>
      <w:pPr>
        <w:spacing w:before="160" w:after="0"/>
      </w:pPr>
      <w:r>
        <w:t xml:space="preserve"/>
      </w:r>
    </w:p>
    <w:p>
      <w:pPr>
        <w:spacing w:before="200" w:after="80"/>
      </w:pPr>
      <w:r>
        <w:rPr>
          <w:rFonts w:ascii="Arial" w:cs="Arial" w:eastAsia="Arial" w:hAnsi="Arial"/>
          <w:b/>
          <w:bCs/>
          <w:color w:val="070E1C"/>
          <w:sz w:val="22"/>
          <w:szCs w:val="22"/>
        </w:rPr>
        <w:t xml:space="preserve">Clear Space &amp; Placement</w:t>
      </w:r>
    </w:p>
    <w:p>
      <w:pPr>
        <w:spacing w:before="80" w:after="80"/>
      </w:pPr>
      <w:r>
        <w:rPr>
          <w:rFonts w:ascii="Arial" w:cs="Arial" w:eastAsia="Arial" w:hAnsi="Arial"/>
          <w:color w:val="2D3748"/>
          <w:sz w:val="22"/>
          <w:szCs w:val="22"/>
        </w:rPr>
        <w:t xml:space="preserve">Maintain a minimum clear space of 1× the mark height on all sides of the full lockup. Do not place the logo on busy photographic backgrounds. Do not place it on amber — the mark uses teal, which conflicts with amber backgrounds at small sizes.</w:t>
      </w:r>
    </w:p>
    <w:p>
      <w:pPr>
        <w:spacing w:before="160" w:after="0"/>
      </w:pPr>
      <w:r>
        <w:t xml:space="preserve"/>
      </w:r>
    </w:p>
    <w:p>
      <w:pPr>
        <w:spacing w:before="200" w:after="80"/>
      </w:pPr>
      <w:r>
        <w:rPr>
          <w:rFonts w:ascii="Arial" w:cs="Arial" w:eastAsia="Arial" w:hAnsi="Arial"/>
          <w:b/>
          <w:bCs/>
          <w:color w:val="070E1C"/>
          <w:sz w:val="22"/>
          <w:szCs w:val="22"/>
        </w:rPr>
        <w:t xml:space="preserve">Logo Usage — What Requires Approval</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Any modification to the mark geometry — line weights, angles, number of radiating lines</w:t>
      </w:r>
    </w:p>
    <w:p>
      <w:pPr>
        <w:pStyle w:val="ListParagraph"/>
        <w:numPr>
          <w:ilvl w:val="0"/>
          <w:numId w:val="2"/>
        </w:numPr>
        <w:spacing w:before="40" w:after="40"/>
      </w:pPr>
      <w:r>
        <w:rPr>
          <w:rFonts w:ascii="Arial" w:cs="Arial" w:eastAsia="Arial" w:hAnsi="Arial"/>
          <w:color w:val="2D3748"/>
          <w:sz w:val="22"/>
          <w:szCs w:val="22"/>
        </w:rPr>
        <w:t xml:space="preserve">Any change to the wordmark typeface, weight, or letter-spacing</w:t>
      </w:r>
    </w:p>
    <w:p>
      <w:pPr>
        <w:pStyle w:val="ListParagraph"/>
        <w:numPr>
          <w:ilvl w:val="0"/>
          <w:numId w:val="2"/>
        </w:numPr>
        <w:spacing w:before="40" w:after="40"/>
      </w:pPr>
      <w:r>
        <w:rPr>
          <w:rFonts w:ascii="Arial" w:cs="Arial" w:eastAsia="Arial" w:hAnsi="Arial"/>
          <w:color w:val="2D3748"/>
          <w:sz w:val="22"/>
          <w:szCs w:val="22"/>
        </w:rPr>
        <w:t xml:space="preserve">Any change to the two-color split (both words in the same color)</w:t>
      </w:r>
    </w:p>
    <w:p>
      <w:pPr>
        <w:pStyle w:val="ListParagraph"/>
        <w:numPr>
          <w:ilvl w:val="0"/>
          <w:numId w:val="2"/>
        </w:numPr>
        <w:spacing w:before="40" w:after="40"/>
      </w:pPr>
      <w:r>
        <w:rPr>
          <w:rFonts w:ascii="Arial" w:cs="Arial" w:eastAsia="Arial" w:hAnsi="Arial"/>
          <w:color w:val="2D3748"/>
          <w:sz w:val="22"/>
          <w:szCs w:val="22"/>
        </w:rPr>
        <w:t xml:space="preserve">Animated versions of the mark beyond the approved motion spec</w:t>
      </w:r>
    </w:p>
    <w:p>
      <w:pPr>
        <w:pStyle w:val="ListParagraph"/>
        <w:numPr>
          <w:ilvl w:val="0"/>
          <w:numId w:val="2"/>
        </w:numPr>
        <w:spacing w:before="40" w:after="40"/>
      </w:pPr>
      <w:r>
        <w:rPr>
          <w:rFonts w:ascii="Arial" w:cs="Arial" w:eastAsia="Arial" w:hAnsi="Arial"/>
          <w:color w:val="2D3748"/>
          <w:sz w:val="22"/>
          <w:szCs w:val="22"/>
        </w:rPr>
        <w:t xml:space="preserve">Any application on a non-approved background color</w:t>
      </w:r>
    </w:p>
    <w:p>
      <w:pPr>
        <w:spacing w:before="160" w:after="0"/>
      </w:pPr>
      <w:r>
        <w:t xml:space="preserve"/>
      </w:r>
    </w:p>
    <w:p>
      <w:pPr>
        <w:spacing w:before="200" w:after="80"/>
      </w:pPr>
      <w:r>
        <w:rPr>
          <w:rFonts w:ascii="Arial" w:cs="Arial" w:eastAsia="Arial" w:hAnsi="Arial"/>
          <w:b/>
          <w:bCs/>
          <w:color w:val="070E1C"/>
          <w:sz w:val="22"/>
          <w:szCs w:val="22"/>
        </w:rPr>
        <w:t xml:space="preserve">What Is Never Permitted</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Stretching or distorting the mark or wordmark in any dimension</w:t>
      </w:r>
    </w:p>
    <w:p>
      <w:pPr>
        <w:pStyle w:val="ListParagraph"/>
        <w:numPr>
          <w:ilvl w:val="0"/>
          <w:numId w:val="2"/>
        </w:numPr>
        <w:spacing w:before="40" w:after="40"/>
      </w:pPr>
      <w:r>
        <w:rPr>
          <w:rFonts w:ascii="Arial" w:cs="Arial" w:eastAsia="Arial" w:hAnsi="Arial"/>
          <w:color w:val="2D3748"/>
          <w:sz w:val="22"/>
          <w:szCs w:val="22"/>
        </w:rPr>
        <w:t xml:space="preserve">Applying drop shadows, glows, outlines, or decorative effects to the mark</w:t>
      </w:r>
    </w:p>
    <w:p>
      <w:pPr>
        <w:pStyle w:val="ListParagraph"/>
        <w:numPr>
          <w:ilvl w:val="0"/>
          <w:numId w:val="2"/>
        </w:numPr>
        <w:spacing w:before="40" w:after="40"/>
      </w:pPr>
      <w:r>
        <w:rPr>
          <w:rFonts w:ascii="Arial" w:cs="Arial" w:eastAsia="Arial" w:hAnsi="Arial"/>
          <w:color w:val="2D3748"/>
          <w:sz w:val="22"/>
          <w:szCs w:val="22"/>
        </w:rPr>
        <w:t xml:space="preserve">Recreating the mark from memory — always use approved asset files</w:t>
      </w:r>
    </w:p>
    <w:p>
      <w:pPr>
        <w:pStyle w:val="ListParagraph"/>
        <w:numPr>
          <w:ilvl w:val="0"/>
          <w:numId w:val="2"/>
        </w:numPr>
        <w:spacing w:before="40" w:after="40"/>
      </w:pPr>
      <w:r>
        <w:rPr>
          <w:rFonts w:ascii="Arial" w:cs="Arial" w:eastAsia="Arial" w:hAnsi="Arial"/>
          <w:color w:val="2D3748"/>
          <w:sz w:val="22"/>
          <w:szCs w:val="22"/>
        </w:rPr>
        <w:t xml:space="preserve">Combining the mark with any other logo or brand element</w:t>
      </w:r>
    </w:p>
    <w:p>
      <w:pPr>
        <w:pStyle w:val="ListParagraph"/>
        <w:numPr>
          <w:ilvl w:val="0"/>
          <w:numId w:val="2"/>
        </w:numPr>
        <w:spacing w:before="40" w:after="40"/>
      </w:pPr>
      <w:r>
        <w:rPr>
          <w:rFonts w:ascii="Arial" w:cs="Arial" w:eastAsia="Arial" w:hAnsi="Arial"/>
          <w:color w:val="2D3748"/>
          <w:sz w:val="22"/>
          <w:szCs w:val="22"/>
        </w:rPr>
        <w:t xml:space="preserve">Using the mark as a pattern or background element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B4" w:sz="4"/>
              <w:left w:val="thick" w:color="00D4B4" w:sz="12"/>
              <w:bottom w:val="single" w:color="00D4B4" w:sz="4"/>
              <w:right w:val="single" w:color="00D4B4" w:sz="4"/>
            </w:tcBorders>
            <w:shd w:fill="E8FAF7" w:val="clear"/>
            <w:tcMar>
              <w:top w:type="dxa" w:w="120"/>
              <w:left w:type="dxa" w:w="200"/>
              <w:bottom w:type="dxa" w:w="120"/>
              <w:right w:type="dxa" w:w="200"/>
            </w:tcMar>
          </w:tcPr>
          <w:p>
            <w:r>
              <w:rPr>
                <w:rFonts w:ascii="Arial" w:cs="Arial" w:eastAsia="Arial" w:hAnsi="Arial"/>
                <w:i/>
                <w:iCs/>
                <w:color w:val="1A4A42"/>
                <w:sz w:val="20"/>
                <w:szCs w:val="20"/>
              </w:rPr>
              <w:t xml:space="preserve">The mark files are maintained as SVG assets. Always use the current approved files from the brand asset library. Do not recreate the mark from these written specifications — the SVG files are the canonical source of truth.</w:t>
            </w:r>
          </w:p>
        </w:tc>
      </w:tr>
    </w:tbl>
    <w:p>
      <w:pPr>
        <w:pageBreakBefore/>
      </w:pPr>
      <w:r>
        <w:t xml:space="preserve"/>
      </w:r>
    </w:p>
    <w:p>
      <w:pPr>
        <w:pStyle w:val="Heading1"/>
        <w:spacing w:before="400" w:after="160"/>
      </w:pPr>
      <w:r>
        <w:rPr>
          <w:rFonts w:ascii="Arial" w:cs="Arial" w:eastAsia="Arial" w:hAnsi="Arial"/>
          <w:b/>
          <w:bCs/>
          <w:color w:val="070E1C"/>
          <w:sz w:val="32"/>
          <w:szCs w:val="32"/>
        </w:rPr>
        <w:t xml:space="preserve">4. Brand Voice &amp; Tone</w:t>
      </w:r>
    </w:p>
    <w:p>
      <w:pPr>
        <w:pStyle w:val="Heading2"/>
        <w:spacing w:before="280" w:after="120"/>
      </w:pPr>
      <w:r>
        <w:rPr>
          <w:rFonts w:ascii="Arial" w:cs="Arial" w:eastAsia="Arial" w:hAnsi="Arial"/>
          <w:b/>
          <w:bCs/>
          <w:color w:val="070E1C"/>
          <w:sz w:val="26"/>
          <w:szCs w:val="26"/>
        </w:rPr>
        <w:t xml:space="preserve">4.1 Voice Principles</w:t>
      </w:r>
    </w:p>
    <w:p>
      <w:pPr>
        <w:spacing w:before="80" w:after="80"/>
      </w:pPr>
      <w:r>
        <w:rPr>
          <w:rFonts w:ascii="Arial" w:cs="Arial" w:eastAsia="Arial" w:hAnsi="Arial"/>
          <w:color w:val="2D3748"/>
          <w:sz w:val="22"/>
          <w:szCs w:val="22"/>
        </w:rPr>
        <w:t xml:space="preserve">ParallaxEdge's voice is the same across all channels: direct, data-literate, and quietly confident. It never hypes, never hustles, and never sounds like a tipster. It sounds like the smartest person in the room — who also happens to be easy to talk 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Principle</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In Practice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Direct</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Say exactly what the product does. No vague claims, no hedging, no waffle.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Data-literate</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Use precise language. Edge, confidence, signals, expected value — these words mean something specific and we use them correctly.</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Quietly confident</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The product speaks for itself. No superlatives, no exclamation marks, no hype.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Accessible</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Analytical depth should never become a barrier. The casual fan should always feel welcome.</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4.2 Tone in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Context</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Tone</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Marketing copy</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Confident and sharp. Minimal words, maximum precision.</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Product UI</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Clinical and clear. Labels, not sentences. Numbers with context.</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Social media</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Informed and engaged. Show the work. React to the game with data, not emotion.</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Onboarding</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Warm and educational. Build understanding before asking for action.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Error states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Direct and solution-oriented. Never apologetic, never alarming.</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4.3 Writing Examples</w:t>
      </w:r>
    </w:p>
    <w:p>
      <w:pPr>
        <w:spacing w:before="80" w:after="0"/>
      </w:pPr>
      <w:r>
        <w:t xml:space="preserve"/>
      </w:r>
    </w:p>
    <w:p>
      <w:pPr>
        <w:spacing w:before="200" w:after="80"/>
      </w:pPr>
      <w:r>
        <w:rPr>
          <w:rFonts w:ascii="Arial" w:cs="Arial" w:eastAsia="Arial" w:hAnsi="Arial"/>
          <w:b/>
          <w:bCs/>
          <w:color w:val="070E1C"/>
          <w:sz w:val="22"/>
          <w:szCs w:val="22"/>
        </w:rPr>
        <w:t xml:space="preserve">Correct</w:t>
      </w:r>
    </w:p>
    <w:p>
      <w:pPr>
        <w:pStyle w:val="ListParagraph"/>
        <w:numPr>
          <w:ilvl w:val="0"/>
          <w:numId w:val="2"/>
        </w:numPr>
        <w:spacing w:before="40" w:after="40"/>
      </w:pPr>
      <w:r>
        <w:rPr>
          <w:rFonts w:ascii="Arial" w:cs="Arial" w:eastAsia="Arial" w:hAnsi="Arial"/>
          <w:color w:val="2D3748"/>
          <w:sz w:val="22"/>
          <w:szCs w:val="22"/>
        </w:rPr>
        <w:t xml:space="preserve">"Brazil vs Argentina: +7.4% edge detected. Confidence: 84%. Market drift suggests line movement within 2 hours."</w:t>
      </w:r>
    </w:p>
    <w:p>
      <w:pPr>
        <w:pStyle w:val="ListParagraph"/>
        <w:numPr>
          <w:ilvl w:val="0"/>
          <w:numId w:val="2"/>
        </w:numPr>
        <w:spacing w:before="40" w:after="40"/>
      </w:pPr>
      <w:r>
        <w:rPr>
          <w:rFonts w:ascii="Arial" w:cs="Arial" w:eastAsia="Arial" w:hAnsi="Arial"/>
          <w:color w:val="2D3748"/>
          <w:sz w:val="22"/>
          <w:szCs w:val="22"/>
        </w:rPr>
        <w:t xml:space="preserve">"The model found an opportunity the market hasn't priced yet. Here's what the signals show."</w:t>
      </w:r>
    </w:p>
    <w:p>
      <w:pPr>
        <w:pStyle w:val="ListParagraph"/>
        <w:numPr>
          <w:ilvl w:val="0"/>
          <w:numId w:val="2"/>
        </w:numPr>
        <w:spacing w:before="40" w:after="40"/>
      </w:pPr>
      <w:r>
        <w:rPr>
          <w:rFonts w:ascii="Arial" w:cs="Arial" w:eastAsia="Arial" w:hAnsi="Arial"/>
          <w:color w:val="2D3748"/>
          <w:sz w:val="22"/>
          <w:szCs w:val="22"/>
        </w:rPr>
        <w:t xml:space="preserve">"Not every edge hits. Over time, consistently finding value is how the math works in your favour."</w:t>
      </w:r>
    </w:p>
    <w:p>
      <w:pPr>
        <w:spacing w:before="160" w:after="0"/>
      </w:pPr>
      <w:r>
        <w:t xml:space="preserve"/>
      </w:r>
    </w:p>
    <w:p>
      <w:pPr>
        <w:spacing w:before="200" w:after="80"/>
      </w:pPr>
      <w:r>
        <w:rPr>
          <w:rFonts w:ascii="Arial" w:cs="Arial" w:eastAsia="Arial" w:hAnsi="Arial"/>
          <w:b/>
          <w:bCs/>
          <w:color w:val="070E1C"/>
          <w:sz w:val="22"/>
          <w:szCs w:val="22"/>
        </w:rPr>
        <w:t xml:space="preserve">Incorrect</w:t>
      </w:r>
    </w:p>
    <w:p>
      <w:pPr>
        <w:pStyle w:val="ListParagraph"/>
        <w:numPr>
          <w:ilvl w:val="0"/>
          <w:numId w:val="2"/>
        </w:numPr>
        <w:spacing w:before="40" w:after="40"/>
      </w:pPr>
      <w:r>
        <w:rPr>
          <w:rFonts w:ascii="Arial" w:cs="Arial" w:eastAsia="Arial" w:hAnsi="Arial"/>
          <w:color w:val="2D3748"/>
          <w:sz w:val="22"/>
          <w:szCs w:val="22"/>
        </w:rPr>
        <w:t xml:space="preserve">"Brazil are GOING TO WIN tonight! Our model is ON FIRE"</w:t>
      </w:r>
    </w:p>
    <w:p>
      <w:pPr>
        <w:pStyle w:val="ListParagraph"/>
        <w:numPr>
          <w:ilvl w:val="0"/>
          <w:numId w:val="2"/>
        </w:numPr>
        <w:spacing w:before="40" w:after="40"/>
      </w:pPr>
      <w:r>
        <w:rPr>
          <w:rFonts w:ascii="Arial" w:cs="Arial" w:eastAsia="Arial" w:hAnsi="Arial"/>
          <w:color w:val="2D3748"/>
          <w:sz w:val="22"/>
          <w:szCs w:val="22"/>
        </w:rPr>
        <w:t xml:space="preserve">"Guaranteed edge! Don't miss out!"</w:t>
      </w:r>
    </w:p>
    <w:p>
      <w:pPr>
        <w:pStyle w:val="ListParagraph"/>
        <w:numPr>
          <w:ilvl w:val="0"/>
          <w:numId w:val="2"/>
        </w:numPr>
        <w:spacing w:before="40" w:after="40"/>
      </w:pPr>
      <w:r>
        <w:rPr>
          <w:rFonts w:ascii="Arial" w:cs="Arial" w:eastAsia="Arial" w:hAnsi="Arial"/>
          <w:color w:val="2D3748"/>
          <w:sz w:val="22"/>
          <w:szCs w:val="22"/>
        </w:rPr>
        <w:t xml:space="preserve">"We predict a Brazil victory with high accuracy."</w:t>
      </w:r>
    </w:p>
    <w:p>
      <w:pPr>
        <w:pageBreakBefore/>
      </w:pPr>
      <w:r>
        <w:t xml:space="preserve"/>
      </w:r>
    </w:p>
    <w:p>
      <w:pPr>
        <w:pStyle w:val="Heading1"/>
        <w:spacing w:before="400" w:after="160"/>
      </w:pPr>
      <w:r>
        <w:rPr>
          <w:rFonts w:ascii="Arial" w:cs="Arial" w:eastAsia="Arial" w:hAnsi="Arial"/>
          <w:b/>
          <w:bCs/>
          <w:color w:val="070E1C"/>
          <w:sz w:val="32"/>
          <w:szCs w:val="32"/>
        </w:rPr>
        <w:t xml:space="preserve">5. Social Media Strategy</w:t>
      </w:r>
    </w:p>
    <w:p>
      <w:pPr>
        <w:pStyle w:val="Heading2"/>
        <w:spacing w:before="280" w:after="120"/>
      </w:pPr>
      <w:r>
        <w:rPr>
          <w:rFonts w:ascii="Arial" w:cs="Arial" w:eastAsia="Arial" w:hAnsi="Arial"/>
          <w:b/>
          <w:bCs/>
          <w:color w:val="070E1C"/>
          <w:sz w:val="26"/>
          <w:szCs w:val="26"/>
        </w:rPr>
        <w:t xml:space="preserve">5.1 Platform Strategy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Role &amp; Content</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X (Primary)</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Real-time signal cards, pre-match edge alerts, odds movement updates, reactive match commentary backed by data. Highest frequency platform.</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Instagram</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Designed signal cards, model explainers, World Cup visual content. Focus on aesthetic quality and shareability.</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YouTube Shorts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Short-form explainer content: how our signals work, what expected value means, how to read a confidence interval.</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5.2 Content Pillars (70/20/10)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Pillar</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70% — Signal Posts</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Pre-match AI model outputs, odds movement alerts, historical edge breakdowns. Format: clean stat cards using the teal/amber signal system.</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20% — Education</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How our model reads expected goals. Explainer threads. Short-form video. Builds trust with sceptics and onboards new users.</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10% — Culture</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World Cup moments, reactive content, community wins. Human voice on top of data backbone.</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5.3 Pre-Launch Cadence</w:t>
      </w:r>
    </w:p>
    <w:p>
      <w:pPr>
        <w:spacing w:before="80" w:after="80"/>
      </w:pPr>
      <w:r>
        <w:rPr>
          <w:rFonts w:ascii="Arial" w:cs="Arial" w:eastAsia="Arial" w:hAnsi="Arial"/>
          <w:color w:val="2D3748"/>
          <w:sz w:val="22"/>
          <w:szCs w:val="22"/>
        </w:rPr>
        <w:t xml:space="preserve">Six weeks before go-live, begin seeding "model preview" content: real AI outputs, no product yet. This builds credibility before the commercial ask.</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Week 6–5: Model signal cards for top fixtures. No product mention. Establish the voice.</w:t>
      </w:r>
    </w:p>
    <w:p>
      <w:pPr>
        <w:pStyle w:val="ListParagraph"/>
        <w:numPr>
          <w:ilvl w:val="0"/>
          <w:numId w:val="2"/>
        </w:numPr>
        <w:spacing w:before="40" w:after="40"/>
      </w:pPr>
      <w:r>
        <w:rPr>
          <w:rFonts w:ascii="Arial" w:cs="Arial" w:eastAsia="Arial" w:hAnsi="Arial"/>
          <w:color w:val="2D3748"/>
          <w:sz w:val="22"/>
          <w:szCs w:val="22"/>
        </w:rPr>
        <w:t xml:space="preserve">Week 4–3: Introduce the brand name. Tease the platform. Begin waitlist CTA.</w:t>
      </w:r>
    </w:p>
    <w:p>
      <w:pPr>
        <w:pStyle w:val="ListParagraph"/>
        <w:numPr>
          <w:ilvl w:val="0"/>
          <w:numId w:val="2"/>
        </w:numPr>
        <w:spacing w:before="40" w:after="40"/>
      </w:pPr>
      <w:r>
        <w:rPr>
          <w:rFonts w:ascii="Arial" w:cs="Arial" w:eastAsia="Arial" w:hAnsi="Arial"/>
          <w:color w:val="2D3748"/>
          <w:sz w:val="22"/>
          <w:szCs w:val="22"/>
        </w:rPr>
        <w:t xml:space="preserve">Week 2–1: Full launch campaign activation. Influencer seeding. Final waitlist push.</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5.4 Influencer Approach</w:t>
      </w:r>
    </w:p>
    <w:p>
      <w:pPr>
        <w:spacing w:before="80" w:after="80"/>
      </w:pPr>
      <w:r>
        <w:rPr>
          <w:rFonts w:ascii="Arial" w:cs="Arial" w:eastAsia="Arial" w:hAnsi="Arial"/>
          <w:color w:val="2D3748"/>
          <w:sz w:val="22"/>
          <w:szCs w:val="22"/>
        </w:rPr>
        <w:t xml:space="preserve">Seed to sports data creators and football analytics accounts, not traditional betting influencers. This audience has greater credibility with the target user and significantly lower liability risk. Prioritise accounts that regularly discuss expected goals, market analysis, and data journalism over tipster channels.</w:t>
      </w:r>
    </w:p>
    <w:p>
      <w:pPr>
        <w:pageBreakBefore/>
      </w:pPr>
      <w:r>
        <w:t xml:space="preserve"/>
      </w:r>
    </w:p>
    <w:p>
      <w:pPr>
        <w:pStyle w:val="Heading1"/>
        <w:spacing w:before="400" w:after="160"/>
      </w:pPr>
      <w:r>
        <w:rPr>
          <w:rFonts w:ascii="Arial" w:cs="Arial" w:eastAsia="Arial" w:hAnsi="Arial"/>
          <w:b/>
          <w:bCs/>
          <w:color w:val="070E1C"/>
          <w:sz w:val="32"/>
          <w:szCs w:val="32"/>
        </w:rPr>
        <w:t xml:space="preserve">6. Launch Campaign</w:t>
      </w:r>
    </w:p>
    <w:p>
      <w:pPr>
        <w:pStyle w:val="Heading2"/>
        <w:spacing w:before="280" w:after="120"/>
      </w:pPr>
      <w:r>
        <w:rPr>
          <w:rFonts w:ascii="Arial" w:cs="Arial" w:eastAsia="Arial" w:hAnsi="Arial"/>
          <w:b/>
          <w:bCs/>
          <w:color w:val="070E1C"/>
          <w:sz w:val="26"/>
          <w:szCs w:val="26"/>
        </w:rPr>
        <w:t xml:space="preserve">6.1 Campaign Concept</w:t>
      </w:r>
    </w:p>
    <w:p>
      <w:pPr>
        <w:spacing w:before="80" w:after="80"/>
      </w:pPr>
      <w:r>
        <w:rPr>
          <w:rFonts w:ascii="Arial" w:cs="Arial" w:eastAsia="Arial" w:hAnsi="Arial"/>
          <w:color w:val="2D3748"/>
          <w:sz w:val="22"/>
          <w:szCs w:val="22"/>
        </w:rPr>
        <w:t xml:space="preserve">The campaign is called "The Edge Is Live." It launches with the World Cup and runs through the group stage. Every match becomes a live advertisement — model predictions are published 24 hours before kickoff, and results are tracked publicly. The campaign IS the product demo.</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6.2 Campaign Rationale</w:t>
      </w:r>
    </w:p>
    <w:p>
      <w:pPr>
        <w:spacing w:before="80" w:after="80"/>
      </w:pPr>
      <w:r>
        <w:rPr>
          <w:rFonts w:ascii="Arial" w:cs="Arial" w:eastAsia="Arial" w:hAnsi="Arial"/>
          <w:color w:val="2D3748"/>
          <w:sz w:val="22"/>
          <w:szCs w:val="22"/>
        </w:rPr>
        <w:t xml:space="preserve">The most powerful proof of ParallaxEdge's value is the product performing in public. Rather than claiming analytical superiority, the brand demonstrates it — transparently, in real time, at the biggest sporting event in the world.</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6.3 Launch Week Activation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Day</w:t>
            </w:r>
          </w:p>
        </w:tc>
        <w:tc>
          <w:tcPr>
            <w:tcW w:type="dxa" w:w="6560"/>
            <w:tcBorders>
              <w:top w:val="single" w:color="D0D8E0" w:sz="1"/>
              <w:left w:val="single" w:color="D0D8E0" w:sz="1"/>
              <w:bottom w:val="single" w:color="D0D8E0" w:sz="1"/>
              <w:right w:val="single" w:color="D0D8E0" w:sz="1"/>
            </w:tcBorders>
            <w:shd w:fill="070E1C" w:val="clear"/>
            <w:tcMar>
              <w:top w:type="dxa" w:w="80"/>
              <w:left w:type="dxa" w:w="160"/>
              <w:bottom w:type="dxa" w:w="80"/>
              <w:right w:type="dxa" w:w="160"/>
            </w:tcMar>
          </w:tcPr>
          <w:p>
            <w:r>
              <w:rPr>
                <w:rFonts w:ascii="Arial" w:cs="Arial" w:eastAsia="Arial" w:hAnsi="Arial"/>
                <w:b/>
                <w:bCs/>
                <w:color w:val="FFFFFF"/>
                <w:sz w:val="20"/>
                <w:szCs w:val="20"/>
              </w:rPr>
              <w:t xml:space="preserve">Activity</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Day 1</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Brand film release. 60-second cinematic, no voiceover. Data becoming decisions. Distributed across all channels simultaneously.</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Day 3</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First public model signal card published. Opening World Cup match. Full signal breakdown shared on X and Instagram.</w:t>
            </w:r>
          </w:p>
        </w:tc>
      </w:tr>
      <w:tr>
        <w:tc>
          <w:tcPr>
            <w:tcW w:type="dxa" w:w="280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b/>
                <w:bCs/>
                <w:color w:val="070E1C"/>
                <w:sz w:val="20"/>
                <w:szCs w:val="20"/>
              </w:rPr>
              <w:t xml:space="preserve">Day 5</w:t>
            </w:r>
          </w:p>
        </w:tc>
        <w:tc>
          <w:tcPr>
            <w:tcW w:type="dxa" w:w="6560"/>
            <w:tcBorders>
              <w:top w:val="single" w:color="D0D8E0" w:sz="1"/>
              <w:left w:val="single" w:color="D0D8E0" w:sz="1"/>
              <w:bottom w:val="single" w:color="D0D8E0" w:sz="1"/>
              <w:right w:val="single" w:color="D0D8E0" w:sz="1"/>
            </w:tcBorders>
            <w:shd w:fill="F2F4F7" w:val="clear"/>
            <w:tcMar>
              <w:top w:type="dxa" w:w="80"/>
              <w:left w:type="dxa" w:w="160"/>
              <w:bottom w:type="dxa" w:w="80"/>
              <w:right w:type="dxa" w:w="160"/>
            </w:tcMar>
          </w:tcPr>
          <w:p>
            <w:r>
              <w:rPr>
                <w:rFonts w:ascii="Arial" w:cs="Arial" w:eastAsia="Arial" w:hAnsi="Arial"/>
                <w:color w:val="2D3748"/>
                <w:sz w:val="20"/>
                <w:szCs w:val="20"/>
              </w:rPr>
              <w:t xml:space="preserve">Influencer seeding begins. Sports data and analytics creators receive early access. No scripted content — genuine reactions only.</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b/>
                <w:bCs/>
                <w:color w:val="070E1C"/>
                <w:sz w:val="20"/>
                <w:szCs w:val="20"/>
              </w:rPr>
              <w:t xml:space="preserve">Day 7</w:t>
            </w:r>
          </w:p>
        </w:tc>
        <w:tc>
          <w:tcPr>
            <w:tcW w:type="dxa" w:w="6560"/>
            <w:tcBorders>
              <w:top w:val="single" w:color="D0D8E0" w:sz="1"/>
              <w:left w:val="single" w:color="D0D8E0" w:sz="1"/>
              <w:bottom w:val="single" w:color="D0D8E0" w:sz="1"/>
              <w:right w:val="single" w:color="D0D8E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Platform opens to waitlist. First 1,000 users receive pro tier free for the Group Stage.</w:t>
            </w:r>
          </w:p>
        </w:tc>
      </w:tr>
    </w:tbl>
    <w:p>
      <w:pPr>
        <w:spacing w:before="160" w:after="0"/>
      </w:pPr>
      <w:r>
        <w:t xml:space="preserve"/>
      </w:r>
    </w:p>
    <w:p>
      <w:pPr>
        <w:pStyle w:val="Heading2"/>
        <w:spacing w:before="280" w:after="120"/>
      </w:pPr>
      <w:r>
        <w:rPr>
          <w:rFonts w:ascii="Arial" w:cs="Arial" w:eastAsia="Arial" w:hAnsi="Arial"/>
          <w:b/>
          <w:bCs/>
          <w:color w:val="070E1C"/>
          <w:sz w:val="26"/>
          <w:szCs w:val="26"/>
        </w:rPr>
        <w:t xml:space="preserve">6.4 Brand Film Brief</w:t>
      </w:r>
    </w:p>
    <w:p>
      <w:pPr>
        <w:spacing w:before="80" w:after="80"/>
      </w:pPr>
      <w:r>
        <w:rPr>
          <w:rFonts w:ascii="Arial" w:cs="Arial" w:eastAsia="Arial" w:hAnsi="Arial"/>
          <w:color w:val="2D3748"/>
          <w:sz w:val="22"/>
          <w:szCs w:val="22"/>
        </w:rPr>
        <w:t xml:space="preserve">A 60-second cinematic film to anchor the launch. No voiceover. No presenter. No betting imagery. The film shows:</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A match unfolding — close, tense, decisive</w:t>
      </w:r>
    </w:p>
    <w:p>
      <w:pPr>
        <w:pStyle w:val="ListParagraph"/>
        <w:numPr>
          <w:ilvl w:val="0"/>
          <w:numId w:val="2"/>
        </w:numPr>
        <w:spacing w:before="40" w:after="40"/>
      </w:pPr>
      <w:r>
        <w:rPr>
          <w:rFonts w:ascii="Arial" w:cs="Arial" w:eastAsia="Arial" w:hAnsi="Arial"/>
          <w:color w:val="2D3748"/>
          <w:sz w:val="22"/>
          <w:szCs w:val="22"/>
        </w:rPr>
        <w:t xml:space="preserve">Data overlaying the action — probability curves, odds shifting, signals firing</w:t>
      </w:r>
    </w:p>
    <w:p>
      <w:pPr>
        <w:pStyle w:val="ListParagraph"/>
        <w:numPr>
          <w:ilvl w:val="0"/>
          <w:numId w:val="2"/>
        </w:numPr>
        <w:spacing w:before="40" w:after="40"/>
      </w:pPr>
      <w:r>
        <w:rPr>
          <w:rFonts w:ascii="Arial" w:cs="Arial" w:eastAsia="Arial" w:hAnsi="Arial"/>
          <w:color w:val="2D3748"/>
          <w:sz w:val="22"/>
          <w:szCs w:val="22"/>
        </w:rPr>
        <w:t xml:space="preserve">A moment of clarity — the model sees the opportunity before it happens</w:t>
      </w:r>
    </w:p>
    <w:p>
      <w:pPr>
        <w:pStyle w:val="ListParagraph"/>
        <w:numPr>
          <w:ilvl w:val="0"/>
          <w:numId w:val="2"/>
        </w:numPr>
        <w:spacing w:before="40" w:after="40"/>
      </w:pPr>
      <w:r>
        <w:rPr>
          <w:rFonts w:ascii="Arial" w:cs="Arial" w:eastAsia="Arial" w:hAnsi="Arial"/>
          <w:color w:val="2D3748"/>
          <w:sz w:val="22"/>
          <w:szCs w:val="22"/>
        </w:rPr>
        <w:t xml:space="preserve">Cut to black. Tagline: "Discover opportunities most of the market misses."</w:t>
      </w:r>
    </w:p>
    <w:p>
      <w:pPr>
        <w:spacing w:before="80" w:after="0"/>
      </w:pPr>
      <w:r>
        <w:t xml:space="preserve"/>
      </w:r>
    </w:p>
    <w:p>
      <w:pPr>
        <w:spacing w:before="80" w:after="80"/>
      </w:pPr>
      <w:r>
        <w:rPr>
          <w:rFonts w:ascii="Arial" w:cs="Arial" w:eastAsia="Arial" w:hAnsi="Arial"/>
          <w:color w:val="2D3748"/>
          <w:sz w:val="22"/>
          <w:szCs w:val="22"/>
        </w:rPr>
        <w:t xml:space="preserve">Tone: cinematic, restrained, precise. Reference: Bloomberg short films, The Economist video essays. Anti-reference: FanDuel, Bet365 TV ads.</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6.5 Responsible Gambling Commitment</w:t>
      </w:r>
    </w:p>
    <w:p>
      <w:pPr>
        <w:spacing w:before="80" w:after="80"/>
      </w:pPr>
      <w:r>
        <w:rPr>
          <w:rFonts w:ascii="Arial" w:cs="Arial" w:eastAsia="Arial" w:hAnsi="Arial"/>
          <w:color w:val="2D3748"/>
          <w:sz w:val="22"/>
          <w:szCs w:val="22"/>
        </w:rPr>
        <w:t xml:space="preserve">All ParallaxEdge communications must include appropriate responsible gambling messaging. The platform is a decision tool, not a winning guarantee. This must be reflected in:</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Footer messaging on all digital properties</w:t>
      </w:r>
    </w:p>
    <w:p>
      <w:pPr>
        <w:pStyle w:val="ListParagraph"/>
        <w:numPr>
          <w:ilvl w:val="0"/>
          <w:numId w:val="2"/>
        </w:numPr>
        <w:spacing w:before="40" w:after="40"/>
      </w:pPr>
      <w:r>
        <w:rPr>
          <w:rFonts w:ascii="Arial" w:cs="Arial" w:eastAsia="Arial" w:hAnsi="Arial"/>
          <w:color w:val="2D3748"/>
          <w:sz w:val="22"/>
          <w:szCs w:val="22"/>
        </w:rPr>
        <w:t xml:space="preserve">Onboarding flow — explicit framing of ParallaxEdge as a tool, not a tipster</w:t>
      </w:r>
    </w:p>
    <w:p>
      <w:pPr>
        <w:pStyle w:val="ListParagraph"/>
        <w:numPr>
          <w:ilvl w:val="0"/>
          <w:numId w:val="2"/>
        </w:numPr>
        <w:spacing w:before="40" w:after="40"/>
      </w:pPr>
      <w:r>
        <w:rPr>
          <w:rFonts w:ascii="Arial" w:cs="Arial" w:eastAsia="Arial" w:hAnsi="Arial"/>
          <w:color w:val="2D3748"/>
          <w:sz w:val="22"/>
          <w:szCs w:val="22"/>
        </w:rPr>
        <w:t xml:space="preserve">Social media bio and profile descriptions</w:t>
      </w:r>
    </w:p>
    <w:p>
      <w:pPr>
        <w:pStyle w:val="ListParagraph"/>
        <w:numPr>
          <w:ilvl w:val="0"/>
          <w:numId w:val="2"/>
        </w:numPr>
        <w:spacing w:before="40" w:after="40"/>
      </w:pPr>
      <w:r>
        <w:rPr>
          <w:rFonts w:ascii="Arial" w:cs="Arial" w:eastAsia="Arial" w:hAnsi="Arial"/>
          <w:color w:val="2D3748"/>
          <w:sz w:val="22"/>
          <w:szCs w:val="22"/>
        </w:rPr>
        <w:t xml:space="preserve">Any paid media or influencer content</w:t>
      </w:r>
    </w:p>
    <w:p>
      <w:pPr>
        <w:pageBreakBefore/>
      </w:pPr>
      <w:r>
        <w:t xml:space="preserve"/>
      </w:r>
    </w:p>
    <w:p>
      <w:pPr>
        <w:pStyle w:val="Heading1"/>
        <w:spacing w:before="400" w:after="160"/>
      </w:pPr>
      <w:r>
        <w:rPr>
          <w:rFonts w:ascii="Arial" w:cs="Arial" w:eastAsia="Arial" w:hAnsi="Arial"/>
          <w:b/>
          <w:bCs/>
          <w:color w:val="070E1C"/>
          <w:sz w:val="32"/>
          <w:szCs w:val="32"/>
        </w:rPr>
        <w:t xml:space="preserve">7. Brand Governance</w:t>
      </w:r>
    </w:p>
    <w:p>
      <w:pPr>
        <w:pStyle w:val="Heading2"/>
        <w:spacing w:before="280" w:after="120"/>
      </w:pPr>
      <w:r>
        <w:rPr>
          <w:rFonts w:ascii="Arial" w:cs="Arial" w:eastAsia="Arial" w:hAnsi="Arial"/>
          <w:b/>
          <w:bCs/>
          <w:color w:val="070E1C"/>
          <w:sz w:val="26"/>
          <w:szCs w:val="26"/>
        </w:rPr>
        <w:t xml:space="preserve">7.1 Document Status</w:t>
      </w:r>
    </w:p>
    <w:p>
      <w:pPr>
        <w:spacing w:before="80" w:after="80"/>
      </w:pPr>
      <w:r>
        <w:rPr>
          <w:rFonts w:ascii="Arial" w:cs="Arial" w:eastAsia="Arial" w:hAnsi="Arial"/>
          <w:color w:val="2D3748"/>
          <w:sz w:val="22"/>
          <w:szCs w:val="22"/>
        </w:rPr>
        <w:t xml:space="preserve">This document represents Version 1.2 of the ParallaxEdge Brand Identity Guide, updated to include the logo and mark specification in Section 3.7. It should be treated as the definitive reference for all brand decisions across internal teams, agencies, and external partners.</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7.2 What Requires Brand Approval</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Any modification to the primary tagline</w:t>
      </w:r>
    </w:p>
    <w:p>
      <w:pPr>
        <w:pStyle w:val="ListParagraph"/>
        <w:numPr>
          <w:ilvl w:val="0"/>
          <w:numId w:val="2"/>
        </w:numPr>
        <w:spacing w:before="40" w:after="40"/>
      </w:pPr>
      <w:r>
        <w:rPr>
          <w:rFonts w:ascii="Arial" w:cs="Arial" w:eastAsia="Arial" w:hAnsi="Arial"/>
          <w:color w:val="2D3748"/>
          <w:sz w:val="22"/>
          <w:szCs w:val="22"/>
        </w:rPr>
        <w:t xml:space="preserve">Any modification to the mark geometry, wordmark typeface, weight, or colour treatment</w:t>
      </w:r>
    </w:p>
    <w:p>
      <w:pPr>
        <w:pStyle w:val="ListParagraph"/>
        <w:numPr>
          <w:ilvl w:val="0"/>
          <w:numId w:val="2"/>
        </w:numPr>
        <w:spacing w:before="40" w:after="40"/>
      </w:pPr>
      <w:r>
        <w:rPr>
          <w:rFonts w:ascii="Arial" w:cs="Arial" w:eastAsia="Arial" w:hAnsi="Arial"/>
          <w:color w:val="2D3748"/>
          <w:sz w:val="22"/>
          <w:szCs w:val="22"/>
        </w:rPr>
        <w:t xml:space="preserve">New colour introductions beyond the defined palette</w:t>
      </w:r>
    </w:p>
    <w:p>
      <w:pPr>
        <w:pStyle w:val="ListParagraph"/>
        <w:numPr>
          <w:ilvl w:val="0"/>
          <w:numId w:val="2"/>
        </w:numPr>
        <w:spacing w:before="40" w:after="40"/>
      </w:pPr>
      <w:r>
        <w:rPr>
          <w:rFonts w:ascii="Arial" w:cs="Arial" w:eastAsia="Arial" w:hAnsi="Arial"/>
          <w:color w:val="2D3748"/>
          <w:sz w:val="22"/>
          <w:szCs w:val="22"/>
        </w:rPr>
        <w:t xml:space="preserve">Typeface changes or additions</w:t>
      </w:r>
    </w:p>
    <w:p>
      <w:pPr>
        <w:pStyle w:val="ListParagraph"/>
        <w:numPr>
          <w:ilvl w:val="0"/>
          <w:numId w:val="2"/>
        </w:numPr>
        <w:spacing w:before="40" w:after="40"/>
      </w:pPr>
      <w:r>
        <w:rPr>
          <w:rFonts w:ascii="Arial" w:cs="Arial" w:eastAsia="Arial" w:hAnsi="Arial"/>
          <w:color w:val="2D3748"/>
          <w:sz w:val="22"/>
          <w:szCs w:val="22"/>
        </w:rPr>
        <w:t xml:space="preserve">Paid media campaigns and influencer briefs</w:t>
      </w:r>
    </w:p>
    <w:p>
      <w:pPr>
        <w:pStyle w:val="ListParagraph"/>
        <w:numPr>
          <w:ilvl w:val="0"/>
          <w:numId w:val="2"/>
        </w:numPr>
        <w:spacing w:before="40" w:after="40"/>
      </w:pPr>
      <w:r>
        <w:rPr>
          <w:rFonts w:ascii="Arial" w:cs="Arial" w:eastAsia="Arial" w:hAnsi="Arial"/>
          <w:color w:val="2D3748"/>
          <w:sz w:val="22"/>
          <w:szCs w:val="22"/>
        </w:rPr>
        <w:t xml:space="preserve">Any claim relating to model performance or prediction accuracy</w:t>
      </w:r>
    </w:p>
    <w:p>
      <w:pPr>
        <w:spacing w:before="160" w:after="0"/>
      </w:pPr>
      <w:r>
        <w:t xml:space="preserve"/>
      </w:r>
    </w:p>
    <w:p>
      <w:pPr>
        <w:pStyle w:val="Heading2"/>
        <w:spacing w:before="280" w:after="120"/>
      </w:pPr>
      <w:r>
        <w:rPr>
          <w:rFonts w:ascii="Arial" w:cs="Arial" w:eastAsia="Arial" w:hAnsi="Arial"/>
          <w:b/>
          <w:bCs/>
          <w:color w:val="070E1C"/>
          <w:sz w:val="26"/>
          <w:szCs w:val="26"/>
        </w:rPr>
        <w:t xml:space="preserve">7.3 Review Schedule</w:t>
      </w:r>
    </w:p>
    <w:p>
      <w:pPr>
        <w:spacing w:before="80" w:after="80"/>
      </w:pPr>
      <w:r>
        <w:rPr>
          <w:rFonts w:ascii="Arial" w:cs="Arial" w:eastAsia="Arial" w:hAnsi="Arial"/>
          <w:color w:val="2D3748"/>
          <w:sz w:val="22"/>
          <w:szCs w:val="22"/>
        </w:rPr>
        <w:t xml:space="preserve">This document should be reviewed at the following intervals:</w:t>
      </w:r>
    </w:p>
    <w:p>
      <w:pPr>
        <w:spacing w:before="80" w:after="0"/>
      </w:pPr>
      <w:r>
        <w:t xml:space="preserve"/>
      </w:r>
    </w:p>
    <w:p>
      <w:pPr>
        <w:pStyle w:val="ListParagraph"/>
        <w:numPr>
          <w:ilvl w:val="0"/>
          <w:numId w:val="2"/>
        </w:numPr>
        <w:spacing w:before="40" w:after="40"/>
      </w:pPr>
      <w:r>
        <w:rPr>
          <w:rFonts w:ascii="Arial" w:cs="Arial" w:eastAsia="Arial" w:hAnsi="Arial"/>
          <w:color w:val="2D3748"/>
          <w:sz w:val="22"/>
          <w:szCs w:val="22"/>
        </w:rPr>
        <w:t xml:space="preserve">Post Group Stage — assess World Cup campaign performance and update messaging if required</w:t>
      </w:r>
    </w:p>
    <w:p>
      <w:pPr>
        <w:pStyle w:val="ListParagraph"/>
        <w:numPr>
          <w:ilvl w:val="0"/>
          <w:numId w:val="2"/>
        </w:numPr>
        <w:spacing w:before="40" w:after="40"/>
      </w:pPr>
      <w:r>
        <w:rPr>
          <w:rFonts w:ascii="Arial" w:cs="Arial" w:eastAsia="Arial" w:hAnsi="Arial"/>
          <w:color w:val="2D3748"/>
          <w:sz w:val="22"/>
          <w:szCs w:val="22"/>
        </w:rPr>
        <w:t xml:space="preserve">Post tournament — full brand review ahead of next major sporting calendar event</w:t>
      </w:r>
    </w:p>
    <w:p>
      <w:pPr>
        <w:pStyle w:val="ListParagraph"/>
        <w:numPr>
          <w:ilvl w:val="0"/>
          <w:numId w:val="2"/>
        </w:numPr>
        <w:spacing w:before="40" w:after="40"/>
      </w:pPr>
      <w:r>
        <w:rPr>
          <w:rFonts w:ascii="Arial" w:cs="Arial" w:eastAsia="Arial" w:hAnsi="Arial"/>
          <w:color w:val="2D3748"/>
          <w:sz w:val="22"/>
          <w:szCs w:val="22"/>
        </w:rPr>
        <w:t xml:space="preserve">Annually — full document refresh</w:t>
      </w:r>
    </w:p>
    <w:p>
      <w:pPr>
        <w:spacing w:before="400" w:after="0"/>
      </w:pPr>
      <w:r>
        <w:t xml:space="preserve"/>
      </w:r>
    </w:p>
    <w:p>
      <w:pPr>
        <w:spacing w:before="200" w:after="80"/>
        <w:jc w:val="center"/>
      </w:pPr>
      <w:r>
        <w:rPr>
          <w:rFonts w:ascii="Arial" w:cs="Arial" w:eastAsia="Arial" w:hAnsi="Arial"/>
          <w:i/>
          <w:iCs/>
          <w:color w:val="4A6070"/>
          <w:sz w:val="18"/>
          <w:szCs w:val="18"/>
        </w:rPr>
        <w:t xml:space="preserve">ParallaxEdge Brand Identity Guide v1.2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70E1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70E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2026-03-20T16:09:29.117Z</dcterms:created>
  <dcterms:modified xsi:type="dcterms:W3CDTF">2026-03-20T16:09:29.118Z</dcterms:modified>
</cp:coreProperties>
</file>

<file path=docProps/custom.xml><?xml version="1.0" encoding="utf-8"?>
<Properties xmlns="http://schemas.openxmlformats.org/officeDocument/2006/custom-properties" xmlns:vt="http://schemas.openxmlformats.org/officeDocument/2006/docPropsVTypes"/>
</file>