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p>
      <w:pPr>
        <w:spacing w:before="80" w:after="80"/>
        <w:jc w:val="center"/>
      </w:pPr>
      <w:r>
        <w:rPr>
          <w:rFonts w:ascii="Arial" w:cs="Arial" w:eastAsia="Arial" w:hAnsi="Arial"/>
          <w:b/>
          <w:bCs/>
          <w:color w:val="0A7B83"/>
          <w:sz w:val="52"/>
          <w:szCs w:val="52"/>
        </w:rPr>
        <w:t xml:space="preserve">PARALLAXEDGE</w:t>
      </w:r>
    </w:p>
    <w:p>
      <w:pPr>
        <w:spacing w:before="80" w:after="80"/>
      </w:pPr>
      <w:r>
        <w:t xml:space="preserve"/>
      </w:r>
    </w:p>
    <w:p>
      <w:pPr>
        <w:spacing w:before="80" w:after="80"/>
        <w:jc w:val="center"/>
      </w:pPr>
      <w:r>
        <w:rPr>
          <w:rFonts w:ascii="Arial" w:cs="Arial" w:eastAsia="Arial" w:hAnsi="Arial"/>
          <w:b w:val="false"/>
          <w:bCs w:val="false"/>
          <w:color w:val="1A1A2E"/>
          <w:sz w:val="36"/>
          <w:szCs w:val="36"/>
        </w:rPr>
        <w:t xml:space="preserve">Marketing Plan</w:t>
      </w:r>
    </w:p>
    <w:p>
      <w:pPr>
        <w:spacing w:before="80" w:after="80"/>
        <w:jc w:val="center"/>
      </w:pPr>
      <w:r>
        <w:rPr>
          <w:rFonts w:ascii="Arial" w:cs="Arial" w:eastAsia="Arial" w:hAnsi="Arial"/>
          <w:b w:val="false"/>
          <w:bCs w:val="false"/>
          <w:color w:val="666666"/>
          <w:sz w:val="24"/>
          <w:szCs w:val="24"/>
        </w:rPr>
        <w:t xml:space="preserve">Year 1  |  June 2026 – May 2027</w:t>
      </w:r>
    </w:p>
    <w:p>
      <w:pPr>
        <w:spacing w:before="40" w:after="40"/>
      </w:pPr>
      <w:r>
        <w:t xml:space="preserve"/>
      </w:r>
    </w:p>
    <w:p>
      <w:pPr>
        <w:spacing w:before="80" w:after="80"/>
        <w:jc w:val="center"/>
      </w:pPr>
      <w:r>
        <w:rPr>
          <w:rFonts w:ascii="Arial" w:cs="Arial" w:eastAsia="Arial" w:hAnsi="Arial"/>
          <w:b w:val="false"/>
          <w:bCs w:val="false"/>
          <w:color w:val="888888"/>
          <w:sz w:val="20"/>
          <w:szCs w:val="20"/>
        </w:rPr>
        <w:t xml:space="preserve">Version 2.0  |  Confidential  |  March 2026</w:t>
      </w:r>
    </w:p>
    <w:p>
      <w:pPr>
        <w:spacing w:before="60" w:after="60"/>
      </w:pPr>
      <w:r>
        <w:t xml:space="preserve"/>
      </w:r>
    </w:p>
    <w:p>
      <w:pPr>
        <w:spacing w:before="80" w:after="80"/>
        <w:jc w:val="center"/>
      </w:pPr>
      <w:r>
        <w:rPr>
          <w:rFonts w:ascii="Arial" w:cs="Arial" w:eastAsia="Arial" w:hAnsi="Arial"/>
          <w:b w:val="false"/>
          <w:bCs w:val="false"/>
          <w:color w:val="0A7B83"/>
          <w:sz w:val="24"/>
          <w:szCs w:val="24"/>
        </w:rPr>
        <w:t xml:space="preserve">‘Discover opportunities most of the market misses.’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0A7B8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$313,592</w:t>
            </w:r>
          </w:p>
        </w:tc>
        <w:tc>
          <w:tcPr>
            <w:tcW w:type="dxa" w:w="2340"/>
            <w:gridSpan w:val="1"/>
            <w:tcBorders>
              <w:top w:val="single" w:color="CCCCCC" w:sz="1"/>
              <w:left w:val="single" w:color="CCCCCC" w:sz="1"/>
              <w:bottom w:val="single" w:color="CCCCCC" w:sz="1"/>
              <w:right w:val="single" w:color="CCCCCC" w:sz="1"/>
            </w:tcBorders>
            <w:shd w:fill="0A7B8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2,604</w:t>
            </w:r>
          </w:p>
        </w:tc>
        <w:tc>
          <w:tcPr>
            <w:tcW w:type="dxa" w:w="2340"/>
            <w:gridSpan w:val="1"/>
            <w:tcBorders>
              <w:top w:val="single" w:color="CCCCCC" w:sz="1"/>
              <w:left w:val="single" w:color="CCCCCC" w:sz="1"/>
              <w:bottom w:val="single" w:color="CCCCCC" w:sz="1"/>
              <w:right w:val="single" w:color="CCCCCC" w:sz="1"/>
            </w:tcBorders>
            <w:shd w:fill="0A7B8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8,595</w:t>
            </w:r>
          </w:p>
        </w:tc>
        <w:tc>
          <w:tcPr>
            <w:tcW w:type="dxa" w:w="2340"/>
            <w:gridSpan w:val="1"/>
            <w:tcBorders>
              <w:top w:val="single" w:color="CCCCCC" w:sz="1"/>
              <w:left w:val="single" w:color="CCCCCC" w:sz="1"/>
              <w:bottom w:val="single" w:color="CCCCCC" w:sz="1"/>
              <w:right w:val="single" w:color="CCCCCC" w:sz="1"/>
            </w:tcBorders>
            <w:shd w:fill="0A7B8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$49,476</w:t>
            </w:r>
          </w:p>
        </w:tc>
      </w:tr>
      <w:tr>
        <w:tc>
          <w:tcPr>
            <w:tcW w:type="dxa" w:w="2340"/>
            <w:gridSpan w:val="1"/>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Year 1 Revenue Target</w:t>
            </w:r>
          </w:p>
        </w:tc>
        <w:tc>
          <w:tcPr>
            <w:tcW w:type="dxa" w:w="2340"/>
            <w:gridSpan w:val="1"/>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Paid Subscribers (May 2027)</w:t>
            </w:r>
          </w:p>
        </w:tc>
        <w:tc>
          <w:tcPr>
            <w:tcW w:type="dxa" w:w="2340"/>
            <w:gridSpan w:val="1"/>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Registered Users</w:t>
            </w:r>
          </w:p>
        </w:tc>
        <w:tc>
          <w:tcPr>
            <w:tcW w:type="dxa" w:w="2340"/>
            <w:gridSpan w:val="1"/>
            <w:tcBorders>
              <w:top w:val="single" w:color="CCCCCC" w:sz="1"/>
              <w:left w:val="single" w:color="CCCCCC" w:sz="1"/>
              <w:bottom w:val="single" w:color="CCCCCC" w:sz="1"/>
              <w:right w:val="single" w:color="CCCCCC" w:sz="1"/>
            </w:tcBorders>
            <w:shd w:fill="E8F4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Monthly Recurring Revenue</w:t>
            </w:r>
          </w:p>
        </w:tc>
      </w:tr>
    </w:tbl>
    <w:p>
      <w:pPr>
        <w:spacing w:before="0" w:after="0"/>
      </w:pPr>
      <w:r>
        <w:t xml:space="preserve"/>
      </w:r>
    </w:p>
    <w:p>
      <w:r>
        <w:br w:type="page"/>
      </w:r>
    </w:p>
    <w:p>
      <w:pPr>
        <w:pStyle w:val="Heading1"/>
        <w:spacing w:before="80" w:after="80"/>
        <w:jc w:val="left"/>
      </w:pPr>
      <w:r>
        <w:rPr>
          <w:rFonts w:ascii="Arial" w:cs="Arial" w:eastAsia="Arial" w:hAnsi="Arial"/>
          <w:b w:val="false"/>
          <w:bCs w:val="false"/>
          <w:color w:val="000000"/>
          <w:sz w:val="22"/>
          <w:szCs w:val="22"/>
        </w:rPr>
        <w:t xml:space="preserve">1. Executive Summary</w:t>
      </w:r>
    </w:p>
    <w:p>
      <w:pPr>
        <w:spacing w:before="80" w:after="80"/>
        <w:jc w:val="left"/>
      </w:pPr>
      <w:r>
        <w:rPr>
          <w:rFonts w:ascii="Arial" w:cs="Arial" w:eastAsia="Arial" w:hAnsi="Arial"/>
          <w:b w:val="false"/>
          <w:bCs w:val="false"/>
          <w:color w:val="000000"/>
          <w:sz w:val="22"/>
          <w:szCs w:val="22"/>
        </w:rPr>
        <w:t xml:space="preserve">ParallaxEdge launches in June 2026 as an AI-powered sports betting analytics platform — timed to one of the largest demand catalysts in sports history: the FIFA World Cup 2026. This marketing plan covers the full Year 1 period from June 2026 through May 2027, spanning three sport launches (soccer, NFL, NBA) and two revenue streams (subscriptions and affiliate partnerships).</w:t>
      </w:r>
    </w:p>
    <w:p>
      <w:pPr>
        <w:spacing w:before="60" w:after="60"/>
      </w:pPr>
      <w:r>
        <w:t xml:space="preserve"/>
      </w:r>
    </w:p>
    <w:p>
      <w:pPr>
        <w:spacing w:before="80" w:after="80"/>
        <w:jc w:val="left"/>
      </w:pPr>
      <w:r>
        <w:rPr>
          <w:rFonts w:ascii="Arial" w:cs="Arial" w:eastAsia="Arial" w:hAnsi="Arial"/>
          <w:b w:val="false"/>
          <w:bCs w:val="false"/>
          <w:color w:val="000000"/>
          <w:sz w:val="22"/>
          <w:szCs w:val="22"/>
        </w:rPr>
        <w:t xml:space="preserve">The plan is built around a single organizing principle: prove the model in public before asking anyone to pay for it. Every marketing tactic in Year 1 flows from that premise — using the World Cup as a live product demonstration, publishing AI signals for every covered fixture before kickoff, and building credibility through transparency rather than claims.</w:t>
      </w:r>
    </w:p>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Strategic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Pillar</w:t>
            </w:r>
          </w:p>
        </w:tc>
        <w:tc>
          <w:tcPr>
            <w:tcW w:type="dxa" w:w="702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Precision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signal traceable, explainable, and model-backed. No black boxes.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Edge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Users are always one step ahead of the market. The platform exists to find value others miss.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Clarity</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Complex AI output distilled into actionable signals anyone can act on.</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Empowerment</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user makes the final decision. ParallaxEdge is the tool, not the tipster.</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Year 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4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Timing</w:t>
            </w:r>
          </w:p>
        </w:tc>
        <w:tc>
          <w:tcPr>
            <w:tcW w:type="dxa" w:w="43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Pre-Launch Build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April – May 2026</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Social presence, waitlist, influencer seeding</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Soft Launch — Soccer / World Cup</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June 2026</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Live model demonstration, promo cohort acquisition</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NFL Launch</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September 2026</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 growth spike, affiliate revenue begins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NBA Launch</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October 2026</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Third sport live, subscriber base consolidation</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Steady State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November 2026 – May 2027</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Content cadence, retention, affiliate ramp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5" w:val="clear"/>
            <w:tcMar>
              <w:top w:type="dxa" w:w="120"/>
              <w:left w:type="dxa" w:w="160"/>
              <w:bottom w:type="dxa" w:w="120"/>
              <w:right w:type="dxa" w:w="160"/>
            </w:tcMar>
          </w:tcPr>
          <w:p>
            <w:r>
              <w:rPr>
                <w:rFonts w:ascii="Arial" w:cs="Arial" w:eastAsia="Arial" w:hAnsi="Arial"/>
                <w:b/>
                <w:bCs/>
                <w:color w:val="1A1A2E"/>
                <w:sz w:val="20"/>
                <w:szCs w:val="20"/>
              </w:rPr>
              <w:t xml:space="preserve">Brand Voice  </w:t>
            </w:r>
            <w:r>
              <w:rPr>
                <w:rFonts w:ascii="Arial" w:cs="Arial" w:eastAsia="Arial" w:hAnsi="Arial"/>
                <w:color w:val="1A1A2E"/>
                <w:sz w:val="20"/>
                <w:szCs w:val="20"/>
              </w:rPr>
              <w:t xml:space="preserve">Direct, data-literate, and quietly confident. Never hypes. Never hustles. Never sounds like a tipster. The product speaks for itself.</w:t>
            </w:r>
          </w:p>
        </w:tc>
      </w:tr>
    </w:tbl>
    <w:p>
      <w:pPr>
        <w:pStyle w:val="Heading1"/>
        <w:spacing w:before="80" w:after="80"/>
        <w:jc w:val="left"/>
      </w:pPr>
      <w:r>
        <w:rPr>
          <w:rFonts w:ascii="Arial" w:cs="Arial" w:eastAsia="Arial" w:hAnsi="Arial"/>
          <w:b w:val="false"/>
          <w:bCs w:val="false"/>
          <w:color w:val="000000"/>
          <w:sz w:val="22"/>
          <w:szCs w:val="22"/>
        </w:rPr>
        <w:t xml:space="preserve">2. Marketing Objectives &amp; KPIs</w:t>
      </w:r>
    </w:p>
    <w:p>
      <w:pPr>
        <w:spacing w:before="80" w:after="80"/>
        <w:jc w:val="left"/>
      </w:pPr>
      <w:r>
        <w:rPr>
          <w:rFonts w:ascii="Arial" w:cs="Arial" w:eastAsia="Arial" w:hAnsi="Arial"/>
          <w:b w:val="false"/>
          <w:bCs w:val="false"/>
          <w:color w:val="000000"/>
          <w:sz w:val="22"/>
          <w:szCs w:val="22"/>
        </w:rPr>
        <w:t xml:space="preserve">Year 1 marketing objectives are directly derived from the financial model. Each objective maps to a quantifiable KPI with a defined timeframe.</w:t>
      </w:r>
    </w:p>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Primary Growth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80"/>
        <w:gridCol w:w="2080"/>
      </w:tblGrid>
      <w:tr>
        <w:tc>
          <w:tcPr>
            <w:tcW w:type="dxa" w:w="2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Objective</w:t>
            </w:r>
          </w:p>
        </w:tc>
        <w:tc>
          <w:tcPr>
            <w:tcW w:type="dxa" w:w="2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w:t>
            </w:r>
          </w:p>
        </w:tc>
        <w:tc>
          <w:tcPr>
            <w:tcW w:type="dxa" w:w="208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08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Timeframe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Acquisition</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Registered free users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5,000+</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months post-launch</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Paid Conversion</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Paid Sharp subscribers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months post-launch</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Revenue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Recurring Revenue</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$20,000+</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months post-launch</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Affiliate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Affiliate revenue</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$1,500/month</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months post-launch</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Conversion Rate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Free-to-paid rate</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Ongoing</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Retention</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paid churn</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&lt;5%</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Ongoing</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End-of-Year</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Paid Sharp subscribers (EOP)</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2,604</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May 2027</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End-of-Year</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registered users (EOP)</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8,595</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May 2027</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Social &amp; Reach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Timeframe</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 (Twitter)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Followers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months post-launch</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Instagram</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Followers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months post-launch</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YouTube Shorts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Subscribers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months post-launch</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TikTok</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Followers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months post-launch</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 Waitlist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Subscribers at launch</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Launch day</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Discord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Members (post-launch)</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months post-launch</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Subscriber Build Model</w:t>
      </w:r>
    </w:p>
    <w:p>
      <w:pPr>
        <w:spacing w:before="80" w:after="80"/>
        <w:jc w:val="left"/>
      </w:pPr>
      <w:r>
        <w:rPr>
          <w:rFonts w:ascii="Arial" w:cs="Arial" w:eastAsia="Arial" w:hAnsi="Arial"/>
          <w:b w:val="false"/>
          <w:bCs w:val="false"/>
          <w:color w:val="000000"/>
          <w:sz w:val="22"/>
          <w:szCs w:val="22"/>
        </w:rPr>
        <w:t xml:space="preserve">The subscriber ramp is driven by three distinct demand events, each requiring a distinct marketing activation: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W w:type="dxa" w:w="1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1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New Paid</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Paid Sharp (EOP)</w:t>
            </w:r>
          </w:p>
        </w:tc>
        <w:tc>
          <w:tcPr>
            <w:tcW w:type="dxa" w:w="39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Driver</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Jun-26</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Soft launch / promo seeding</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Jul-26</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430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510</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World Cup conversions (350 promo + 80 organic)</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Aug-26</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602</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Post-tournament organic tail</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Sep-26</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844</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NFL season launch</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Oct-26</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1,080</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NBA season launch</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Nov-26</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1,306</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Dual-sport momentum</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Dec-26 – May-27</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~100/mo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2,604</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Steady-state organic growth</w:t>
            </w:r>
          </w:p>
        </w:tc>
      </w:tr>
    </w:tbl>
    <w:p>
      <w:pPr>
        <w:pStyle w:val="Heading1"/>
        <w:spacing w:before="80" w:after="80"/>
        <w:jc w:val="left"/>
      </w:pPr>
      <w:r>
        <w:rPr>
          <w:rFonts w:ascii="Arial" w:cs="Arial" w:eastAsia="Arial" w:hAnsi="Arial"/>
          <w:b w:val="false"/>
          <w:bCs w:val="false"/>
          <w:color w:val="000000"/>
          <w:sz w:val="22"/>
          <w:szCs w:val="22"/>
        </w:rPr>
        <w:t xml:space="preserve">3. Target Audience</w:t>
      </w:r>
    </w:p>
    <w:p>
      <w:pPr>
        <w:spacing w:before="80" w:after="80"/>
        <w:jc w:val="left"/>
      </w:pPr>
      <w:r>
        <w:rPr>
          <w:rFonts w:ascii="Arial" w:cs="Arial" w:eastAsia="Arial" w:hAnsi="Arial"/>
          <w:b w:val="false"/>
          <w:bCs w:val="false"/>
          <w:color w:val="000000"/>
          <w:sz w:val="22"/>
          <w:szCs w:val="22"/>
        </w:rPr>
        <w:t xml:space="preserve">ParallaxEdge targets sports bettors across the analytical ability spectrum — from data-curious casual fans to serious hobbyists who treat sports betting as a part-time analytical pursuit. The platform’s free tier is a genuine product experience designed to convert across all segments; the Sharp tier conversion is the Year 1 commercial goal.</w:t>
      </w:r>
    </w:p>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Primary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Serious Hobbyist</w:t>
            </w:r>
          </w:p>
        </w:tc>
        <w:tc>
          <w:tcPr>
            <w:tcW w:type="dxa" w:w="312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Data-Curious Fan</w:t>
            </w:r>
          </w:p>
        </w:tc>
        <w:tc>
          <w:tcPr>
            <w:tcW w:type="dxa" w:w="312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Quantitative Analyst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core paying segment. Already betting regularly, familiar with basic concepts (ATS, moneyline, vig), actively looking for analytical tools to sharpen decisions. Willing to pay $19/month for a genuine edge.</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Follows sports closely, has started betting with legalisation, wants to bet smarter but finds existing tools either too basic or too complex. The World Cup is a natural entry point for this segment.</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Smaller but high-value. Uses or has used analytics professionally. Evaluates platforms on methodology transparency, CLV framework quality, and data exportability. Credibility-first acquisition.</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Audience Messaging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Segment</w:t>
            </w:r>
          </w:p>
        </w:tc>
        <w:tc>
          <w:tcPr>
            <w:tcW w:type="dxa" w:w="41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Message</w:t>
            </w:r>
          </w:p>
        </w:tc>
        <w:tc>
          <w:tcPr>
            <w:tcW w:type="dxa" w:w="2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 Priority</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Casual fans &amp; first-time bettors</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Stop guessing. Start finding real value with AI tools built for how the game actually works.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Instagram, YouTube Shorts, TikTok</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Experienced sports bettors</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Nine proprietary signals. Confidence intervals. Real-time odds movement. The edge, quantified.</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 (Twitter), Discord</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Data-driven analysts</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Model-backed signals with full explainability. Every output is traceable to its inputs.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 SEO, Public Track Record</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Geographic Focus</w:t>
      </w:r>
    </w:p>
    <w:p>
      <w:pPr>
        <w:spacing w:before="80" w:after="80"/>
        <w:jc w:val="left"/>
      </w:pPr>
      <w:r>
        <w:rPr>
          <w:rFonts w:ascii="Arial" w:cs="Arial" w:eastAsia="Arial" w:hAnsi="Arial"/>
          <w:b w:val="false"/>
          <w:bCs w:val="false"/>
          <w:color w:val="000000"/>
          <w:sz w:val="22"/>
          <w:szCs w:val="22"/>
        </w:rPr>
        <w:t xml:space="preserve">Legal sports betting in the United States is the primary market. As of 2026, 38 states and Washington D.C. permit legal wagering. The platform’s analytics layer requires no state gaming licence — it is accessible from all 50 states. Marketing is national from launch, with concentration in states with the highest betting handle: New Jersey, New York, Pennsylvania, Illinois, Ohio, Michigan, Colorado, and Arizona.</w:t>
      </w:r>
    </w:p>
    <w:p>
      <w:pPr>
        <w:spacing w:before="60" w:after="60"/>
      </w:pPr>
      <w:r>
        <w:t xml:space="preserve"/>
      </w:r>
    </w:p>
    <w:p>
      <w:pPr>
        <w:spacing w:before="80" w:after="80"/>
        <w:jc w:val="left"/>
      </w:pPr>
      <w:r>
        <w:rPr>
          <w:rFonts w:ascii="Arial" w:cs="Arial" w:eastAsia="Arial" w:hAnsi="Arial"/>
          <w:b w:val="false"/>
          <w:bCs w:val="false"/>
          <w:color w:val="000000"/>
          <w:sz w:val="22"/>
          <w:szCs w:val="22"/>
        </w:rPr>
        <w:t xml:space="preserve">The World Cup activates a secondary international audience — particularly the UK, Ireland, and Australia — where ParallaxEdge’s soccer model is equally applicable and the sports analytics community is highly engaged. This audience is acquired organically through social and SEO; no paid international targeting is planned in Year 1.</w:t>
      </w:r>
    </w:p>
    <w:p>
      <w:pPr>
        <w:pStyle w:val="Heading1"/>
        <w:spacing w:before="80" w:after="80"/>
        <w:jc w:val="left"/>
      </w:pPr>
      <w:r>
        <w:rPr>
          <w:rFonts w:ascii="Arial" w:cs="Arial" w:eastAsia="Arial" w:hAnsi="Arial"/>
          <w:b w:val="false"/>
          <w:bCs w:val="false"/>
          <w:color w:val="000000"/>
          <w:sz w:val="22"/>
          <w:szCs w:val="22"/>
        </w:rPr>
        <w:t xml:space="preserve">4. Pre-Launch Campaign (Weeks 6–1)</w:t>
      </w:r>
    </w:p>
    <w:p>
      <w:pPr>
        <w:spacing w:before="80" w:after="80"/>
        <w:jc w:val="left"/>
      </w:pPr>
      <w:r>
        <w:rPr>
          <w:rFonts w:ascii="Arial" w:cs="Arial" w:eastAsia="Arial" w:hAnsi="Arial"/>
          <w:b w:val="false"/>
          <w:bCs w:val="false"/>
          <w:color w:val="000000"/>
          <w:sz w:val="22"/>
          <w:szCs w:val="22"/>
        </w:rPr>
        <w:t xml:space="preserve">The six weeks before go-live establish ParallaxEdge’s voice, build the waitlist, and generate enough social proof that the platform launches into an engaged audience rather than a cold one. All social handles must be secured before this cadence begins.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5" w:val="clear"/>
            <w:tcMar>
              <w:top w:type="dxa" w:w="120"/>
              <w:left w:type="dxa" w:w="160"/>
              <w:bottom w:type="dxa" w:w="120"/>
              <w:right w:type="dxa" w:w="160"/>
            </w:tcMar>
          </w:tcPr>
          <w:p>
            <w:r>
              <w:rPr>
                <w:rFonts w:ascii="Arial" w:cs="Arial" w:eastAsia="Arial" w:hAnsi="Arial"/>
                <w:b/>
                <w:bCs/>
                <w:color w:val="1A1A2E"/>
                <w:sz w:val="20"/>
                <w:szCs w:val="20"/>
              </w:rPr>
              <w:t xml:space="preserve">Handle Checklist  </w:t>
            </w:r>
            <w:r>
              <w:rPr>
                <w:rFonts w:ascii="Arial" w:cs="Arial" w:eastAsia="Arial" w:hAnsi="Arial"/>
                <w:color w:val="1A1A2E"/>
                <w:sz w:val="20"/>
                <w:szCs w:val="20"/>
              </w:rPr>
              <w:t xml:space="preserve">Secure @parallaxedge on X, Instagram, TikTok, LinkedIn, YouTube, and Discord before Week 6. A consistent handle across all platforms is non-negotiable. Any variation creates brand fragmentation at the moment of maximum growth.</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Week-by-Week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4200"/>
        <w:gridCol w:w="1800"/>
      </w:tblGrid>
      <w:tr>
        <w:tc>
          <w:tcPr>
            <w:tcW w:type="dxa" w:w="1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Period</w:t>
            </w:r>
          </w:p>
        </w:tc>
        <w:tc>
          <w:tcPr>
            <w:tcW w:type="dxa" w:w="18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Theme</w:t>
            </w:r>
          </w:p>
        </w:tc>
        <w:tc>
          <w:tcPr>
            <w:tcW w:type="dxa" w:w="42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Activities</w:t>
            </w:r>
          </w:p>
        </w:tc>
        <w:tc>
          <w:tcPr>
            <w:tcW w:type="dxa" w:w="18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Goal</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Weeks 6–5 (~Late April)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Signal Before Brand</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Publish AI model signal cards for top upcoming fixtures on X and Instagram. No product mention. No CTA. Establish the analytical voice and visual system before any commercial message.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Voice recognition, early followers</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Weeks 4–3 (~Early May)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Brand Introduction</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Introduce the ParallaxEdge name and tagline. Platform teased with UI screenshots and motion design. Waitlist CTA activated. First methodology explainer thread published on X.</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Waitlist sign-ups begin, brand awareness</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Weeks 2–1 (~Late May)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Activation</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Launch campaign content released. Brand film teaser drops on Day -7. Influencer seeding begins — early access distributed to sports data and analytics creators. Final waitlist push. Affiliate agreement execution window.</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1,500+ waitlist, influencer amplification</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Waitlist Strategy</w:t>
      </w:r>
    </w:p>
    <w:p>
      <w:pPr>
        <w:spacing w:before="80" w:after="80"/>
        <w:jc w:val="left"/>
      </w:pPr>
      <w:r>
        <w:rPr>
          <w:rFonts w:ascii="Arial" w:cs="Arial" w:eastAsia="Arial" w:hAnsi="Arial"/>
          <w:b w:val="false"/>
          <w:bCs w:val="false"/>
          <w:color w:val="000000"/>
          <w:sz w:val="22"/>
          <w:szCs w:val="22"/>
        </w:rPr>
        <w:t xml:space="preserve">The waitlist serves two functions: it creates a launch-day conversion pool and generates social proof signals (“X people waiting”) that reinforce platform credibility. Target: 1,500+ waitlist sign-ups before go-live.</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Landing Page:  </w:t>
      </w:r>
      <w:r>
        <w:rPr>
          <w:rFonts w:ascii="Arial" w:cs="Arial" w:eastAsia="Arial" w:hAnsi="Arial"/>
          <w:sz w:val="22"/>
          <w:szCs w:val="22"/>
        </w:rPr>
        <w:t xml:space="preserve">Live by Week 6 — collecting email addresses with a simple CTA: “Get early access.”</w:t>
      </w:r>
    </w:p>
    <w:p>
      <w:pPr>
        <w:pStyle w:val="ListParagraph"/>
        <w:numPr>
          <w:ilvl w:val="0"/>
          <w:numId w:val="2"/>
        </w:numPr>
        <w:spacing w:before="60" w:after="60"/>
      </w:pPr>
      <w:r>
        <w:rPr>
          <w:rFonts w:ascii="Arial" w:cs="Arial" w:eastAsia="Arial" w:hAnsi="Arial"/>
          <w:b/>
          <w:bCs/>
          <w:sz w:val="22"/>
          <w:szCs w:val="22"/>
        </w:rPr>
        <w:t xml:space="preserve">Early Access Offer:  </w:t>
      </w:r>
      <w:r>
        <w:rPr>
          <w:rFonts w:ascii="Arial" w:cs="Arial" w:eastAsia="Arial" w:hAnsi="Arial"/>
          <w:sz w:val="22"/>
          <w:szCs w:val="22"/>
        </w:rPr>
        <w:t xml:space="preserve">First 1,000 users receive Sharp tier free for the World Cup group stage (~1 billing cycle).</w:t>
      </w:r>
    </w:p>
    <w:p>
      <w:pPr>
        <w:pStyle w:val="ListParagraph"/>
        <w:numPr>
          <w:ilvl w:val="0"/>
          <w:numId w:val="2"/>
        </w:numPr>
        <w:spacing w:before="60" w:after="60"/>
      </w:pPr>
      <w:r>
        <w:rPr>
          <w:rFonts w:ascii="Arial" w:cs="Arial" w:eastAsia="Arial" w:hAnsi="Arial"/>
          <w:b/>
          <w:bCs/>
          <w:sz w:val="22"/>
          <w:szCs w:val="22"/>
        </w:rPr>
        <w:t xml:space="preserve">Nurture Sequence:  </w:t>
      </w:r>
      <w:r>
        <w:rPr>
          <w:rFonts w:ascii="Arial" w:cs="Arial" w:eastAsia="Arial" w:hAnsi="Arial"/>
          <w:sz w:val="22"/>
          <w:szCs w:val="22"/>
        </w:rPr>
        <w:t xml:space="preserve">Weekly email to waitlist during the pre-launch window — model signal previews, methodology explainers, launch countdown.</w:t>
      </w:r>
    </w:p>
    <w:p>
      <w:pPr>
        <w:pStyle w:val="ListParagraph"/>
        <w:numPr>
          <w:ilvl w:val="0"/>
          <w:numId w:val="2"/>
        </w:numPr>
        <w:spacing w:before="60" w:after="60"/>
      </w:pPr>
      <w:r>
        <w:rPr>
          <w:rFonts w:ascii="Arial" w:cs="Arial" w:eastAsia="Arial" w:hAnsi="Arial"/>
          <w:b/>
          <w:bCs/>
          <w:sz w:val="22"/>
          <w:szCs w:val="22"/>
        </w:rPr>
        <w:t xml:space="preserve">Social Integration:  </w:t>
      </w:r>
      <w:r>
        <w:rPr>
          <w:rFonts w:ascii="Arial" w:cs="Arial" w:eastAsia="Arial" w:hAnsi="Arial"/>
          <w:sz w:val="22"/>
          <w:szCs w:val="22"/>
        </w:rPr>
        <w:t xml:space="preserve">Pre-launch social content links to waitlist. X and Instagram bios updated with waitlist link from Week 5.</w:t>
      </w:r>
    </w:p>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Brand Film: Pre-Launch Teaser</w:t>
      </w:r>
    </w:p>
    <w:p>
      <w:pPr>
        <w:spacing w:before="80" w:after="80"/>
        <w:jc w:val="left"/>
      </w:pPr>
      <w:r>
        <w:rPr>
          <w:rFonts w:ascii="Arial" w:cs="Arial" w:eastAsia="Arial" w:hAnsi="Arial"/>
          <w:b w:val="false"/>
          <w:bCs w:val="false"/>
          <w:color w:val="000000"/>
          <w:sz w:val="22"/>
          <w:szCs w:val="22"/>
        </w:rPr>
        <w:t xml:space="preserve">A 15-second cut of the 60-second brand film drops on Day -7. It shows the model signal firing — no voiceover, no presenter, just data and the tagline. Distribution: X, Instagram Reels, TikTok, YouTube Shorts simultaneously. This is the first piece of content that explicitly connects ParallaxEdge’s visual identity to its product promise. The full brand film and all signal card assets are produced using AI agent workflows at effectively zero marginal cost.</w:t>
      </w:r>
    </w:p>
    <w:p>
      <w:pPr>
        <w:pStyle w:val="Heading1"/>
        <w:spacing w:before="80" w:after="80"/>
        <w:jc w:val="left"/>
      </w:pPr>
      <w:r>
        <w:rPr>
          <w:rFonts w:ascii="Arial" w:cs="Arial" w:eastAsia="Arial" w:hAnsi="Arial"/>
          <w:b w:val="false"/>
          <w:bCs w:val="false"/>
          <w:color w:val="000000"/>
          <w:sz w:val="22"/>
          <w:szCs w:val="22"/>
        </w:rPr>
        <w:t xml:space="preserve">5. Launch Campaign: The Edge Is Live</w:t>
      </w:r>
    </w:p>
    <w:p>
      <w:pPr>
        <w:spacing w:before="80" w:after="80"/>
        <w:jc w:val="left"/>
      </w:pPr>
      <w:r>
        <w:rPr>
          <w:rFonts w:ascii="Arial" w:cs="Arial" w:eastAsia="Arial" w:hAnsi="Arial"/>
          <w:b w:val="false"/>
          <w:bCs w:val="false"/>
          <w:color w:val="000000"/>
          <w:sz w:val="22"/>
          <w:szCs w:val="22"/>
        </w:rPr>
        <w:t xml:space="preserve">The launch campaign centres on a single, powerful idea: the product demonstrates itself. During the World Cup group stage, ParallaxEdge publishes AI model outputs for every covered fixture 24 hours before kickoff — and tracks all results publicly. The campaign is the product demo.</w:t>
      </w:r>
    </w:p>
    <w:p>
      <w:pPr>
        <w:spacing w:before="60" w:after="60"/>
      </w:pPr>
      <w:r>
        <w:t xml:space="preserve"/>
      </w:r>
    </w:p>
    <w:p>
      <w:pPr>
        <w:spacing w:before="80" w:after="80"/>
        <w:jc w:val="center"/>
      </w:pPr>
      <w:r>
        <w:rPr>
          <w:rFonts w:ascii="Arial" w:cs="Arial" w:eastAsia="Arial" w:hAnsi="Arial"/>
          <w:b/>
          <w:bCs/>
          <w:color w:val="0A7B83"/>
          <w:sz w:val="26"/>
          <w:szCs w:val="26"/>
        </w:rPr>
        <w:t xml:space="preserve">“The Edge Is Live”</w:t>
      </w:r>
    </w:p>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Campaign Rationale</w:t>
      </w:r>
    </w:p>
    <w:p>
      <w:pPr>
        <w:spacing w:before="80" w:after="80"/>
        <w:jc w:val="left"/>
      </w:pPr>
      <w:r>
        <w:rPr>
          <w:rFonts w:ascii="Arial" w:cs="Arial" w:eastAsia="Arial" w:hAnsi="Arial"/>
          <w:b w:val="false"/>
          <w:bCs w:val="false"/>
          <w:color w:val="000000"/>
          <w:sz w:val="22"/>
          <w:szCs w:val="22"/>
        </w:rPr>
        <w:t xml:space="preserve">The most powerful proof of ParallaxEdge’s value is the model performing in public. Rather than claiming analytical superiority, the brand demonstrates it — transparently, in real time, at the biggest sporting event in the world. This approach achieves three objectives simultaneously:</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Builds trust faster than any paid advertising claim could — model performance is auditable by anyone.</w:t>
      </w:r>
    </w:p>
    <w:p>
      <w:pPr>
        <w:pStyle w:val="ListParagraph"/>
        <w:numPr>
          <w:ilvl w:val="0"/>
          <w:numId w:val="2"/>
        </w:numPr>
        <w:spacing w:before="60" w:after="60"/>
      </w:pPr>
      <w:r>
        <w:rPr>
          <w:rFonts w:ascii="Arial" w:cs="Arial" w:eastAsia="Arial" w:hAnsi="Arial"/>
          <w:sz w:val="22"/>
          <w:szCs w:val="22"/>
        </w:rPr>
        <w:t xml:space="preserve">Generates organic content at scale — every pre-match signal card is shareable, every result is a proof point.</w:t>
      </w:r>
    </w:p>
    <w:p>
      <w:pPr>
        <w:pStyle w:val="ListParagraph"/>
        <w:numPr>
          <w:ilvl w:val="0"/>
          <w:numId w:val="2"/>
        </w:numPr>
        <w:spacing w:before="60" w:after="60"/>
      </w:pPr>
      <w:r>
        <w:rPr>
          <w:rFonts w:ascii="Arial" w:cs="Arial" w:eastAsia="Arial" w:hAnsi="Arial"/>
          <w:sz w:val="22"/>
          <w:szCs w:val="22"/>
        </w:rPr>
        <w:t xml:space="preserve">Positions ParallaxEdge as the credible, data-led alternative in a market dominated by hype-driven tipsters.</w:t>
      </w:r>
    </w:p>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Launch Week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240"/>
        <w:gridCol w:w="2340"/>
      </w:tblGrid>
      <w:tr>
        <w:tc>
          <w:tcPr>
            <w:tcW w:type="dxa" w:w="78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62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Channel(s)</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Day 1</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60-second brand film released. Cinematic, no voiceover. Data becoming decisions. Cut to black. Tagline. Distributed simultaneously across all channels.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 Instagram, TikTok, YouTube</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Day 3</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 public model signal card published. Opening World Cup fixture. Full signal breakdown: win probability, fair-value odds, edge percentage, confidence score.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 (primary), Instagram</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Day 5</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Influencer seeding begins. Sports data and analytics creators receive early access. No scripted content — genuine reactions only.</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 Instagram, Discord</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Day 7</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opens to waitlist. First 1,000 users receive Sharp tier free for the group stage. Launch email sent to full waitlist.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X, all channels</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World Cup Group Stage Promotion</w:t>
      </w:r>
    </w:p>
    <w:p>
      <w:pPr>
        <w:spacing w:before="80" w:after="80"/>
        <w:jc w:val="left"/>
      </w:pPr>
      <w:r>
        <w:rPr>
          <w:rFonts w:ascii="Arial" w:cs="Arial" w:eastAsia="Arial" w:hAnsi="Arial"/>
          <w:b w:val="false"/>
          <w:bCs w:val="false"/>
          <w:color w:val="000000"/>
          <w:sz w:val="22"/>
          <w:szCs w:val="22"/>
        </w:rPr>
        <w:t xml:space="preserve">The first 1,000 sign-ups receive Sharp access free during the group stage (approximately one billing cycle). A 35% promo-to-paid conversion rate is modelled, yielding 350 paid Sharp subscribers from this cohort at the group stage conclusion. This is the single largest acquisition event in Year 1.</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468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Promo cohort size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 users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Promo-to-paid conversion</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 = 350 paid subscribers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Group stage duration</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weeks (June 11 – July 2, 2026)</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Fixtures covered</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48 group stage matches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Signals published</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48 pre-match model outputs (public)</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Brand Film Brief</w:t>
      </w:r>
    </w:p>
    <w:p>
      <w:pPr>
        <w:spacing w:before="80" w:after="80"/>
        <w:jc w:val="left"/>
      </w:pPr>
      <w:r>
        <w:rPr>
          <w:rFonts w:ascii="Arial" w:cs="Arial" w:eastAsia="Arial" w:hAnsi="Arial"/>
          <w:b w:val="false"/>
          <w:bCs w:val="false"/>
          <w:color w:val="000000"/>
          <w:sz w:val="22"/>
          <w:szCs w:val="22"/>
        </w:rPr>
        <w:t xml:space="preserve">A 60-second cinematic film anchors the launch across all platforms. Produced in-house using AI agent workflows. The creative brief:</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No voiceover. No presenter. No betting imagery.</w:t>
      </w:r>
    </w:p>
    <w:p>
      <w:pPr>
        <w:pStyle w:val="ListParagraph"/>
        <w:numPr>
          <w:ilvl w:val="0"/>
          <w:numId w:val="2"/>
        </w:numPr>
        <w:spacing w:before="60" w:after="60"/>
      </w:pPr>
      <w:r>
        <w:rPr>
          <w:rFonts w:ascii="Arial" w:cs="Arial" w:eastAsia="Arial" w:hAnsi="Arial"/>
          <w:sz w:val="22"/>
          <w:szCs w:val="22"/>
        </w:rPr>
        <w:t xml:space="preserve">Visual narrative: a match unfolds — close, tense, decisive. Data overlays the action — probability curves, odds shifting, signals firing. A moment of clarity: the model sees the opportunity before it happens. Cut to black.</w:t>
      </w:r>
    </w:p>
    <w:p>
      <w:pPr>
        <w:pStyle w:val="ListParagraph"/>
        <w:numPr>
          <w:ilvl w:val="0"/>
          <w:numId w:val="2"/>
        </w:numPr>
        <w:spacing w:before="60" w:after="60"/>
      </w:pPr>
      <w:r>
        <w:rPr>
          <w:rFonts w:ascii="Arial" w:cs="Arial" w:eastAsia="Arial" w:hAnsi="Arial"/>
          <w:sz w:val="22"/>
          <w:szCs w:val="22"/>
        </w:rPr>
        <w:t xml:space="preserve">Tagline: “Discover opportunities most of the market misses.”</w:t>
      </w:r>
    </w:p>
    <w:p>
      <w:pPr>
        <w:pStyle w:val="ListParagraph"/>
        <w:numPr>
          <w:ilvl w:val="0"/>
          <w:numId w:val="2"/>
        </w:numPr>
        <w:spacing w:before="60" w:after="60"/>
      </w:pPr>
      <w:r>
        <w:rPr>
          <w:rFonts w:ascii="Arial" w:cs="Arial" w:eastAsia="Arial" w:hAnsi="Arial"/>
          <w:sz w:val="22"/>
          <w:szCs w:val="22"/>
        </w:rPr>
        <w:t xml:space="preserve">Tone references: Bloomberg short films, The Economist video essays.</w:t>
      </w:r>
    </w:p>
    <w:p>
      <w:pPr>
        <w:pStyle w:val="ListParagraph"/>
        <w:numPr>
          <w:ilvl w:val="0"/>
          <w:numId w:val="2"/>
        </w:numPr>
        <w:spacing w:before="60" w:after="60"/>
      </w:pPr>
      <w:r>
        <w:rPr>
          <w:rFonts w:ascii="Arial" w:cs="Arial" w:eastAsia="Arial" w:hAnsi="Arial"/>
          <w:sz w:val="22"/>
          <w:szCs w:val="22"/>
        </w:rPr>
        <w:t xml:space="preserve">Anti-references: FanDuel, Bet365 TV ads — no sports-bar energy, no celebrity talent, no chest-thumping.</w:t>
      </w:r>
    </w:p>
    <w:p>
      <w:pPr>
        <w:pStyle w:val="Heading1"/>
        <w:spacing w:before="80" w:after="80"/>
        <w:jc w:val="left"/>
      </w:pPr>
      <w:r>
        <w:rPr>
          <w:rFonts w:ascii="Arial" w:cs="Arial" w:eastAsia="Arial" w:hAnsi="Arial"/>
          <w:b w:val="false"/>
          <w:bCs w:val="false"/>
          <w:color w:val="000000"/>
          <w:sz w:val="22"/>
          <w:szCs w:val="22"/>
        </w:rPr>
        <w:t xml:space="preserve">6. Social Media Strategy</w:t>
      </w:r>
    </w:p>
    <w:p>
      <w:pPr>
        <w:spacing w:before="80" w:after="80"/>
        <w:jc w:val="left"/>
      </w:pPr>
      <w:r>
        <w:rPr>
          <w:rFonts w:ascii="Arial" w:cs="Arial" w:eastAsia="Arial" w:hAnsi="Arial"/>
          <w:b w:val="false"/>
          <w:bCs w:val="false"/>
          <w:color w:val="000000"/>
          <w:sz w:val="22"/>
          <w:szCs w:val="22"/>
        </w:rPr>
        <w:t xml:space="preserve">Social media is the primary acquisition and credibility channel for ParallaxEdge in Year 1. The strategy is built around demonstrating the model in public before asking anyone to pay for it. Each platform has a distinct role, audience, and content format — but all channels apply the teal/amber signal system and the brand’s direct, data-literate voice consistently.</w:t>
      </w:r>
    </w:p>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Content Framework: The 70/20/10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7020"/>
      </w:tblGrid>
      <w:tr>
        <w:tc>
          <w:tcPr>
            <w:tcW w:type="dxa" w:w="78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Split</w:t>
            </w:r>
          </w:p>
        </w:tc>
        <w:tc>
          <w:tcPr>
            <w:tcW w:type="dxa" w:w="1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Pillar</w:t>
            </w:r>
          </w:p>
        </w:tc>
        <w:tc>
          <w:tcPr>
            <w:tcW w:type="dxa" w:w="702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Signal Posts</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Pre-match AI model outputs, odds movement alerts, edge breakdowns, and real-time market intelligence formatted as clean signal cards in the teal/amber visual system.</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Education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methodology explainers, expected value threads, how to read a confidence interval, CLV explainers. Content that builds trust with analytically curious users.</w:t>
            </w:r>
          </w:p>
        </w:tc>
      </w:tr>
      <w:tr>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Culture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World Cup moments, reactive in-game commentary backed by data, community wins, and human voice on top of the data backbone.</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X (Twitter) — Primary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5" w:val="clear"/>
            <w:tcMar>
              <w:top w:type="dxa" w:w="120"/>
              <w:left w:type="dxa" w:w="160"/>
              <w:bottom w:type="dxa" w:w="120"/>
              <w:right w:type="dxa" w:w="160"/>
            </w:tcMar>
          </w:tcPr>
          <w:p>
            <w:r>
              <w:rPr>
                <w:rFonts w:ascii="Arial" w:cs="Arial" w:eastAsia="Arial" w:hAnsi="Arial"/>
                <w:b/>
                <w:bCs/>
                <w:color w:val="1A1A2E"/>
                <w:sz w:val="20"/>
                <w:szCs w:val="20"/>
              </w:rPr>
              <w:t xml:space="preserve">Channel Role  </w:t>
            </w:r>
            <w:r>
              <w:rPr>
                <w:rFonts w:ascii="Arial" w:cs="Arial" w:eastAsia="Arial" w:hAnsi="Arial"/>
                <w:color w:val="1A1A2E"/>
                <w:sz w:val="20"/>
                <w:szCs w:val="20"/>
              </w:rPr>
              <w:t xml:space="preserve">Real-time intelligence distribution and community building. The highest-frequency platform and the primary driver of organic follower growth in the sports analytics space.</w:t>
            </w:r>
          </w:p>
        </w:tc>
      </w:tr>
    </w:tbl>
    <w:p>
      <w:pPr>
        <w:spacing w:before="60" w:after="60"/>
      </w:pPr>
      <w:r>
        <w:t xml:space="preserve"/>
      </w:r>
    </w:p>
    <w:p>
      <w:pPr>
        <w:pStyle w:val="Heading3"/>
        <w:spacing w:before="80" w:after="80"/>
        <w:jc w:val="left"/>
      </w:pPr>
      <w:r>
        <w:rPr>
          <w:rFonts w:ascii="Arial" w:cs="Arial" w:eastAsia="Arial" w:hAnsi="Arial"/>
          <w:b w:val="false"/>
          <w:bCs w:val="false"/>
          <w:color w:val="000000"/>
          <w:sz w:val="22"/>
          <w:szCs w:val="22"/>
        </w:rPr>
        <w:t xml:space="preserve">Content</w:t>
      </w:r>
    </w:p>
    <w:p>
      <w:pPr>
        <w:pStyle w:val="ListParagraph"/>
        <w:numPr>
          <w:ilvl w:val="0"/>
          <w:numId w:val="2"/>
        </w:numPr>
        <w:spacing w:before="60" w:after="60"/>
      </w:pPr>
      <w:r>
        <w:rPr>
          <w:rFonts w:ascii="Arial" w:cs="Arial" w:eastAsia="Arial" w:hAnsi="Arial"/>
          <w:sz w:val="22"/>
          <w:szCs w:val="22"/>
        </w:rPr>
        <w:t xml:space="preserve">Signal cards published before every covered fixture — model edge, confidence score, and key factors in the teal/amber visual system.</w:t>
      </w:r>
    </w:p>
    <w:p>
      <w:pPr>
        <w:pStyle w:val="ListParagraph"/>
        <w:numPr>
          <w:ilvl w:val="0"/>
          <w:numId w:val="2"/>
        </w:numPr>
        <w:spacing w:before="60" w:after="60"/>
      </w:pPr>
      <w:r>
        <w:rPr>
          <w:rFonts w:ascii="Arial" w:cs="Arial" w:eastAsia="Arial" w:hAnsi="Arial"/>
          <w:sz w:val="22"/>
          <w:szCs w:val="22"/>
        </w:rPr>
        <w:t xml:space="preserve">Odds movement alerts when Pinnacle or sharp books move significantly (2+ point spread, 3+ total).</w:t>
      </w:r>
    </w:p>
    <w:p>
      <w:pPr>
        <w:pStyle w:val="ListParagraph"/>
        <w:numPr>
          <w:ilvl w:val="0"/>
          <w:numId w:val="2"/>
        </w:numPr>
        <w:spacing w:before="60" w:after="60"/>
      </w:pPr>
      <w:r>
        <w:rPr>
          <w:rFonts w:ascii="Arial" w:cs="Arial" w:eastAsia="Arial" w:hAnsi="Arial"/>
          <w:sz w:val="22"/>
          <w:szCs w:val="22"/>
        </w:rPr>
        <w:t xml:space="preserve">Reactive match commentary anchored in data, not emotion — during live games, model probabilities update as events unfold.</w:t>
      </w:r>
    </w:p>
    <w:p>
      <w:pPr>
        <w:pStyle w:val="ListParagraph"/>
        <w:numPr>
          <w:ilvl w:val="0"/>
          <w:numId w:val="2"/>
        </w:numPr>
        <w:spacing w:before="60" w:after="60"/>
      </w:pPr>
      <w:r>
        <w:rPr>
          <w:rFonts w:ascii="Arial" w:cs="Arial" w:eastAsia="Arial" w:hAnsi="Arial"/>
          <w:sz w:val="22"/>
          <w:szCs w:val="22"/>
        </w:rPr>
        <w:t xml:space="preserve">Thread-format explainers on methodology and market dynamics (part of the 20% education split).</w:t>
      </w:r>
    </w:p>
    <w:p>
      <w:pPr>
        <w:spacing w:before="60" w:after="60"/>
      </w:pPr>
      <w:r>
        <w:t xml:space="preserve"/>
      </w:r>
    </w:p>
    <w:p>
      <w:pPr>
        <w:pStyle w:val="Heading3"/>
        <w:spacing w:before="80" w:after="80"/>
        <w:jc w:val="left"/>
      </w:pPr>
      <w:r>
        <w:rPr>
          <w:rFonts w:ascii="Arial" w:cs="Arial" w:eastAsia="Arial" w:hAnsi="Arial"/>
          <w:b w:val="false"/>
          <w:bCs w:val="false"/>
          <w:color w:val="000000"/>
          <w:sz w:val="22"/>
          <w:szCs w:val="22"/>
        </w:rPr>
        <w:t xml:space="preserve">Target &amp;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Timeframe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Followers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months post-launch</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Average engagements per signal card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Ongoing</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Weekly impressions (match weeks)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From September 2026</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Instagram — Visual Signal Cards &amp; Explainers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5" w:val="clear"/>
            <w:tcMar>
              <w:top w:type="dxa" w:w="120"/>
              <w:left w:type="dxa" w:w="160"/>
              <w:bottom w:type="dxa" w:w="120"/>
              <w:right w:type="dxa" w:w="160"/>
            </w:tcMar>
          </w:tcPr>
          <w:p>
            <w:r>
              <w:rPr>
                <w:rFonts w:ascii="Arial" w:cs="Arial" w:eastAsia="Arial" w:hAnsi="Arial"/>
                <w:b/>
                <w:bCs/>
                <w:color w:val="1A1A2E"/>
                <w:sz w:val="20"/>
                <w:szCs w:val="20"/>
              </w:rPr>
              <w:t xml:space="preserve">Channel Role  </w:t>
            </w:r>
            <w:r>
              <w:rPr>
                <w:rFonts w:ascii="Arial" w:cs="Arial" w:eastAsia="Arial" w:hAnsi="Arial"/>
                <w:color w:val="1A1A2E"/>
                <w:sz w:val="20"/>
                <w:szCs w:val="20"/>
              </w:rPr>
              <w:t xml:space="preserve">Design-led signal distribution and brand building. Instagram’s format rewards visual quality; the teal/amber signal card system is purpose-built for this environment.</w:t>
            </w:r>
          </w:p>
        </w:tc>
      </w:tr>
    </w:tbl>
    <w:p>
      <w:pPr>
        <w:spacing w:before="60" w:after="60"/>
      </w:pPr>
      <w:r>
        <w:t xml:space="preserve"/>
      </w:r>
    </w:p>
    <w:p>
      <w:pPr>
        <w:pStyle w:val="Heading3"/>
        <w:spacing w:before="80" w:after="80"/>
        <w:jc w:val="left"/>
      </w:pPr>
      <w:r>
        <w:rPr>
          <w:rFonts w:ascii="Arial" w:cs="Arial" w:eastAsia="Arial" w:hAnsi="Arial"/>
          <w:b w:val="false"/>
          <w:bCs w:val="false"/>
          <w:color w:val="000000"/>
          <w:sz w:val="22"/>
          <w:szCs w:val="22"/>
        </w:rPr>
        <w:t xml:space="preserve">Content</w:t>
      </w:r>
    </w:p>
    <w:p>
      <w:pPr>
        <w:pStyle w:val="ListParagraph"/>
        <w:numPr>
          <w:ilvl w:val="0"/>
          <w:numId w:val="2"/>
        </w:numPr>
        <w:spacing w:before="60" w:after="60"/>
      </w:pPr>
      <w:r>
        <w:rPr>
          <w:rFonts w:ascii="Arial" w:cs="Arial" w:eastAsia="Arial" w:hAnsi="Arial"/>
          <w:sz w:val="22"/>
          <w:szCs w:val="22"/>
        </w:rPr>
        <w:t xml:space="preserve">Designed pre-match signal cards for high-profile fixtures. Visual quality is higher here than X — these are polished assets, not quick text posts.</w:t>
      </w:r>
    </w:p>
    <w:p>
      <w:pPr>
        <w:pStyle w:val="ListParagraph"/>
        <w:numPr>
          <w:ilvl w:val="0"/>
          <w:numId w:val="2"/>
        </w:numPr>
        <w:spacing w:before="60" w:after="60"/>
      </w:pPr>
      <w:r>
        <w:rPr>
          <w:rFonts w:ascii="Arial" w:cs="Arial" w:eastAsia="Arial" w:hAnsi="Arial"/>
          <w:sz w:val="22"/>
          <w:szCs w:val="22"/>
        </w:rPr>
        <w:t xml:space="preserve">Model explainer carousels: “how xG works,” “what CLV tells you,” “why Pinnacle is the sharpest closing-line book.” 4–8 slide carousel format.</w:t>
      </w:r>
    </w:p>
    <w:p>
      <w:pPr>
        <w:pStyle w:val="ListParagraph"/>
        <w:numPr>
          <w:ilvl w:val="0"/>
          <w:numId w:val="2"/>
        </w:numPr>
        <w:spacing w:before="60" w:after="60"/>
      </w:pPr>
      <w:r>
        <w:rPr>
          <w:rFonts w:ascii="Arial" w:cs="Arial" w:eastAsia="Arial" w:hAnsi="Arial"/>
          <w:sz w:val="22"/>
          <w:szCs w:val="22"/>
        </w:rPr>
        <w:t xml:space="preserve">World Cup visual content during the tournament — team preview cards, bracket predictions, fixture breakdowns.</w:t>
      </w:r>
    </w:p>
    <w:p>
      <w:pPr>
        <w:pStyle w:val="ListParagraph"/>
        <w:numPr>
          <w:ilvl w:val="0"/>
          <w:numId w:val="2"/>
        </w:numPr>
        <w:spacing w:before="60" w:after="60"/>
      </w:pPr>
      <w:r>
        <w:rPr>
          <w:rFonts w:ascii="Arial" w:cs="Arial" w:eastAsia="Arial" w:hAnsi="Arial"/>
          <w:sz w:val="22"/>
          <w:szCs w:val="22"/>
        </w:rPr>
        <w:t xml:space="preserve">Behind-the-signal posts: showing how the model reaches its output, not just the output itself.</w:t>
      </w:r>
    </w:p>
    <w:p>
      <w:pPr>
        <w:spacing w:before="60" w:after="60"/>
      </w:pPr>
      <w:r>
        <w:t xml:space="preserve"/>
      </w:r>
    </w:p>
    <w:p>
      <w:pPr>
        <w:pStyle w:val="Heading3"/>
        <w:spacing w:before="80" w:after="80"/>
        <w:jc w:val="left"/>
      </w:pPr>
      <w:r>
        <w:rPr>
          <w:rFonts w:ascii="Arial" w:cs="Arial" w:eastAsia="Arial" w:hAnsi="Arial"/>
          <w:b w:val="false"/>
          <w:bCs w:val="false"/>
          <w:color w:val="000000"/>
          <w:sz w:val="22"/>
          <w:szCs w:val="22"/>
        </w:rPr>
        <w:t xml:space="preserve">Target &amp;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Timeframe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Followers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months post-launch</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Average saves per explainer carousel</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of reach</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Ongoing</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Story click-through to waitlist/platform</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Pre-launch &amp; launch</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YouTube Shorts — Short-Form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5" w:val="clear"/>
            <w:tcMar>
              <w:top w:type="dxa" w:w="120"/>
              <w:left w:type="dxa" w:w="160"/>
              <w:bottom w:type="dxa" w:w="120"/>
              <w:right w:type="dxa" w:w="160"/>
            </w:tcMar>
          </w:tcPr>
          <w:p>
            <w:r>
              <w:rPr>
                <w:rFonts w:ascii="Arial" w:cs="Arial" w:eastAsia="Arial" w:hAnsi="Arial"/>
                <w:b/>
                <w:bCs/>
                <w:color w:val="1A1A2E"/>
                <w:sz w:val="20"/>
                <w:szCs w:val="20"/>
              </w:rPr>
              <w:t xml:space="preserve">Channel Role  </w:t>
            </w:r>
            <w:r>
              <w:rPr>
                <w:rFonts w:ascii="Arial" w:cs="Arial" w:eastAsia="Arial" w:hAnsi="Arial"/>
                <w:color w:val="1A1A2E"/>
                <w:sz w:val="20"/>
                <w:szCs w:val="20"/>
              </w:rPr>
              <w:t xml:space="preserve">Discovery and education. YouTube Shorts’ algorithmic distribution reaches sports and analytics audiences who are not yet following ParallaxEdge on other platforms.</w:t>
            </w:r>
          </w:p>
        </w:tc>
      </w:tr>
    </w:tbl>
    <w:p>
      <w:pPr>
        <w:spacing w:before="60" w:after="60"/>
      </w:pPr>
      <w:r>
        <w:t xml:space="preserve"/>
      </w:r>
    </w:p>
    <w:p>
      <w:pPr>
        <w:pStyle w:val="Heading3"/>
        <w:spacing w:before="80" w:after="80"/>
        <w:jc w:val="left"/>
      </w:pPr>
      <w:r>
        <w:rPr>
          <w:rFonts w:ascii="Arial" w:cs="Arial" w:eastAsia="Arial" w:hAnsi="Arial"/>
          <w:b w:val="false"/>
          <w:bCs w:val="false"/>
          <w:color w:val="000000"/>
          <w:sz w:val="22"/>
          <w:szCs w:val="22"/>
        </w:rPr>
        <w:t xml:space="preserve">Target &amp;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Timeframe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Subscribers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months post-launch</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Average views per Short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From month 3</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Click-through to platform from description links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Ongoing</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TikTok — Discovery &amp; Viral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5" w:val="clear"/>
            <w:tcMar>
              <w:top w:type="dxa" w:w="120"/>
              <w:left w:type="dxa" w:w="160"/>
              <w:bottom w:type="dxa" w:w="120"/>
              <w:right w:type="dxa" w:w="160"/>
            </w:tcMar>
          </w:tcPr>
          <w:p>
            <w:r>
              <w:rPr>
                <w:rFonts w:ascii="Arial" w:cs="Arial" w:eastAsia="Arial" w:hAnsi="Arial"/>
                <w:b/>
                <w:bCs/>
                <w:color w:val="1A1A2E"/>
                <w:sz w:val="20"/>
                <w:szCs w:val="20"/>
              </w:rPr>
              <w:t xml:space="preserve">Channel Role  </w:t>
            </w:r>
            <w:r>
              <w:rPr>
                <w:rFonts w:ascii="Arial" w:cs="Arial" w:eastAsia="Arial" w:hAnsi="Arial"/>
                <w:color w:val="1A1A2E"/>
                <w:sz w:val="20"/>
                <w:szCs w:val="20"/>
              </w:rPr>
              <w:t xml:space="preserve">Broadest-reach discovery channel. TikTok’s algorithm surfaces content to users with no prior brand exposure — the lowest-friction path to reaching the casual fan segment.</w:t>
            </w:r>
          </w:p>
        </w:tc>
      </w:tr>
    </w:tbl>
    <w:p>
      <w:pPr>
        <w:spacing w:before="60" w:after="60"/>
      </w:pPr>
      <w:r>
        <w:t xml:space="preserve"/>
      </w:r>
    </w:p>
    <w:p>
      <w:pPr>
        <w:pStyle w:val="Heading3"/>
        <w:spacing w:before="80" w:after="80"/>
        <w:jc w:val="left"/>
      </w:pPr>
      <w:r>
        <w:rPr>
          <w:rFonts w:ascii="Arial" w:cs="Arial" w:eastAsia="Arial" w:hAnsi="Arial"/>
          <w:b w:val="false"/>
          <w:bCs w:val="false"/>
          <w:color w:val="000000"/>
          <w:sz w:val="22"/>
          <w:szCs w:val="22"/>
        </w:rPr>
        <w:t xml:space="preserve">Target &amp;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Timeframe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Followers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months post-launch</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Average video views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From month 2</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Profile link clicks to platform</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of reach</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Ongoing</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Discord — Community Platform</w:t>
      </w:r>
    </w:p>
    <w:p>
      <w:pPr>
        <w:spacing w:before="80" w:after="80"/>
        <w:jc w:val="left"/>
      </w:pPr>
      <w:r>
        <w:rPr>
          <w:rFonts w:ascii="Arial" w:cs="Arial" w:eastAsia="Arial" w:hAnsi="Arial"/>
          <w:b w:val="false"/>
          <w:bCs w:val="false"/>
          <w:color w:val="000000"/>
          <w:sz w:val="22"/>
          <w:szCs w:val="22"/>
        </w:rPr>
        <w:t xml:space="preserve">Discord is both a brand asset and a product feature. Priority Discord access is a Sharp tier feature. The server should be architected with this dual function from day one: a public channel accessible to free users, and private Sharp-tier channels from Day 1. Used as a model transparency forum — post-match model reviews, methodology Q&amp;As, and signal performance discussions.</w:t>
      </w:r>
    </w:p>
    <w:p>
      <w:pPr>
        <w:pStyle w:val="Heading1"/>
        <w:spacing w:before="80" w:after="80"/>
        <w:jc w:val="left"/>
      </w:pPr>
      <w:r>
        <w:rPr>
          <w:rFonts w:ascii="Arial" w:cs="Arial" w:eastAsia="Arial" w:hAnsi="Arial"/>
          <w:b w:val="false"/>
          <w:bCs w:val="false"/>
          <w:color w:val="000000"/>
          <w:sz w:val="22"/>
          <w:szCs w:val="22"/>
        </w:rPr>
        <w:t xml:space="preserve">7. Influencer &amp; Creator Seeding</w:t>
      </w:r>
    </w:p>
    <w:p>
      <w:pPr>
        <w:spacing w:before="80" w:after="80"/>
        <w:jc w:val="left"/>
      </w:pPr>
      <w:r>
        <w:rPr>
          <w:rFonts w:ascii="Arial" w:cs="Arial" w:eastAsia="Arial" w:hAnsi="Arial"/>
          <w:b w:val="false"/>
          <w:bCs w:val="false"/>
          <w:color w:val="000000"/>
          <w:sz w:val="22"/>
          <w:szCs w:val="22"/>
        </w:rPr>
        <w:t xml:space="preserve">Influencer seeding is a deliberate positioning choice, not a paid media line item. The strategy is to seed to sports data creators, football analytics accounts, and quantitative sports journalism — not traditional tipster or picks channels. This distinction is central to how ParallaxEdge is perceived in the market.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5" w:val="clear"/>
            <w:tcMar>
              <w:top w:type="dxa" w:w="120"/>
              <w:left w:type="dxa" w:w="160"/>
              <w:bottom w:type="dxa" w:w="120"/>
              <w:right w:type="dxa" w:w="160"/>
            </w:tcMar>
          </w:tcPr>
          <w:p>
            <w:r>
              <w:rPr>
                <w:rFonts w:ascii="Arial" w:cs="Arial" w:eastAsia="Arial" w:hAnsi="Arial"/>
                <w:b/>
                <w:bCs/>
                <w:color w:val="1A1A2E"/>
                <w:sz w:val="20"/>
                <w:szCs w:val="20"/>
              </w:rPr>
              <w:t xml:space="preserve">Positioning Principle  </w:t>
            </w:r>
            <w:r>
              <w:rPr>
                <w:rFonts w:ascii="Arial" w:cs="Arial" w:eastAsia="Arial" w:hAnsi="Arial"/>
                <w:color w:val="1A1A2E"/>
                <w:sz w:val="20"/>
                <w:szCs w:val="20"/>
              </w:rPr>
              <w:t xml:space="preserve">Sports data and analytics creators have greater credibility with the target ParallaxEdge user, generate more durable engagement around methodology and edge rather than results, and carry significantly lower compliance and reputational risk than tipster-adjacent influencers.</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Creator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1300"/>
        <w:gridCol w:w="2340"/>
        <w:gridCol w:w="1560"/>
      </w:tblGrid>
      <w:tr>
        <w:tc>
          <w:tcPr>
            <w:tcW w:type="dxa" w:w="1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2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Profile</w:t>
            </w:r>
          </w:p>
        </w:tc>
        <w:tc>
          <w:tcPr>
            <w:tcW w:type="dxa" w:w="13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Audience Size</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Approach</w:t>
            </w:r>
          </w:p>
        </w:tc>
        <w:tc>
          <w:tcPr>
            <w:tcW w:type="dxa" w:w="1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Timing</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Tier 1 — Seed Partners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Sports analytics journalists, football data scientists, quantitative modellers with public social presence.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5,000–50,000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Early platform access before public waitlist opens. No scripted content. Genuine reactions only.</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Day 5 of launch week</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Tier 2 — Engaged Niche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Sports Twitter/X accounts with strong engagement in the betting analytics, expected goals, or sports data space.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1,000–10,000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Early access seeding with a short product brief. Encourage organic posts if they find genuine value.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Weeks 2–1 pre-launch</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Tier 3 — World Cup Amplifiers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Soccer-focused accounts with strong World Cup engagement.</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10,000–100,000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Selective outreach only. One-month Sharp access offered. Brand approval required for any explicit claim.</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Launch week</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What to Provide Creators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Asset</w:t>
            </w:r>
          </w:p>
        </w:tc>
        <w:tc>
          <w:tcPr>
            <w:tcW w:type="dxa" w:w="62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Early Platform Access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Sharp tier access before public launch. No time limit during the seed period.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Methodology One-Pager</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Plain-language explanation of how the model works, what CLV means, and what the platform’s track record transparency looks like.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Signal Card Templates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Blank-version signal card templates so creators can reference the format accurately in any posts.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Public Track Record Link</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link to the public predictions and results page — the most powerful proof asset available.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Responsible Gambling Copy</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Pre-written responsible gambling disclosure line for use in any posts.</w:t>
            </w:r>
          </w:p>
        </w:tc>
      </w:tr>
    </w:tbl>
    <w:p>
      <w:pPr>
        <w:pStyle w:val="Heading1"/>
        <w:spacing w:before="80" w:after="80"/>
        <w:jc w:val="left"/>
      </w:pPr>
      <w:r>
        <w:rPr>
          <w:rFonts w:ascii="Arial" w:cs="Arial" w:eastAsia="Arial" w:hAnsi="Arial"/>
          <w:b w:val="false"/>
          <w:bCs w:val="false"/>
          <w:color w:val="000000"/>
          <w:sz w:val="22"/>
          <w:szCs w:val="22"/>
        </w:rPr>
        <w:t xml:space="preserve">8. Affiliate &amp; Sportsbook Partnerships</w:t>
      </w:r>
    </w:p>
    <w:p>
      <w:pPr>
        <w:spacing w:before="80" w:after="80"/>
        <w:jc w:val="left"/>
      </w:pPr>
      <w:r>
        <w:rPr>
          <w:rFonts w:ascii="Arial" w:cs="Arial" w:eastAsia="Arial" w:hAnsi="Arial"/>
          <w:b w:val="false"/>
          <w:bCs w:val="false"/>
          <w:color w:val="000000"/>
          <w:sz w:val="22"/>
          <w:szCs w:val="22"/>
        </w:rPr>
        <w:t xml:space="preserve">Affiliate revenue is ParallaxEdge’s second revenue stream, beginning with the NFL launch in September 2026. The model is straightforward: affiliate links to licensed sportsbooks are surfaced within the platform wherever odds are displayed, labelled transparently, and generate commissions when users place bets through those links.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5" w:val="clear"/>
            <w:tcMar>
              <w:top w:type="dxa" w:w="120"/>
              <w:left w:type="dxa" w:w="160"/>
              <w:bottom w:type="dxa" w:w="120"/>
              <w:right w:type="dxa" w:w="160"/>
            </w:tcMar>
          </w:tcPr>
          <w:p>
            <w:r>
              <w:rPr>
                <w:rFonts w:ascii="Arial" w:cs="Arial" w:eastAsia="Arial" w:hAnsi="Arial"/>
                <w:b/>
                <w:bCs/>
                <w:color w:val="1A1A2E"/>
                <w:sz w:val="20"/>
                <w:szCs w:val="20"/>
              </w:rPr>
              <w:t xml:space="preserve">Revenue Model  </w:t>
            </w:r>
            <w:r>
              <w:rPr>
                <w:rFonts w:ascii="Arial" w:cs="Arial" w:eastAsia="Arial" w:hAnsi="Arial"/>
                <w:color w:val="1A1A2E"/>
                <w:sz w:val="20"/>
                <w:szCs w:val="20"/>
              </w:rPr>
              <w:t xml:space="preserve">Affiliate revenue is projected to begin at $500/month in September 2026, ramping to a conservative steady state of $1,500/month by February 2027. Full Year 1 affiliate total: $10,104.</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Affiliate Revenue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W w:type="dxa" w:w="1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1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Affiliate Revenue</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Paid Sharp Subs (EOP)</w:t>
            </w:r>
          </w:p>
        </w:tc>
        <w:tc>
          <w:tcPr>
            <w:tcW w:type="dxa" w:w="39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Driver</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Jun–Aug 2026</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50–602</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Soccer-only launch; NFL affiliate not yet live</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Sep 2026</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844</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NFL launch; first sportsbook affiliate links active</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Oct 2026</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$625</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1,080</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NBA launch; second affiliate partner adds</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Nov 2026</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$781</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1,306</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Growing user base driving more click-through</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 2026</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$977</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1,514</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Holiday betting season (NFL playoffs preview)</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Jan 2027</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$1,221</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1,727</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NFL playoffs, NBA midseason</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Feb 2027+</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1,942+</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Conservative steady state; held flat through May</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FY Total</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$10,104</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3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Partner Criteria</w:t>
      </w:r>
    </w:p>
    <w:p>
      <w:pPr>
        <w:spacing w:before="80" w:after="80"/>
        <w:jc w:val="left"/>
      </w:pPr>
      <w:r>
        <w:rPr>
          <w:rFonts w:ascii="Arial" w:cs="Arial" w:eastAsia="Arial" w:hAnsi="Arial"/>
          <w:b w:val="false"/>
          <w:bCs w:val="false"/>
          <w:color w:val="000000"/>
          <w:sz w:val="22"/>
          <w:szCs w:val="22"/>
        </w:rPr>
        <w:t xml:space="preserve">A minimum of three sportsbook affiliate agreements must be executed before launch. Partner selection criteria:</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Licensed in at least 10 US states with sports betting legislation, prioritising high-handle states (NJ, NY, PA, IL, OH, MI).</w:t>
      </w:r>
    </w:p>
    <w:p>
      <w:pPr>
        <w:pStyle w:val="ListParagraph"/>
        <w:numPr>
          <w:ilvl w:val="0"/>
          <w:numId w:val="2"/>
        </w:numPr>
        <w:spacing w:before="60" w:after="60"/>
      </w:pPr>
      <w:r>
        <w:rPr>
          <w:rFonts w:ascii="Arial" w:cs="Arial" w:eastAsia="Arial" w:hAnsi="Arial"/>
          <w:sz w:val="22"/>
          <w:szCs w:val="22"/>
        </w:rPr>
        <w:t xml:space="preserve">Established affiliate programme with transparent CPA or revenue share structure and reliable reporting infrastructure.</w:t>
      </w:r>
    </w:p>
    <w:p>
      <w:pPr>
        <w:pStyle w:val="ListParagraph"/>
        <w:numPr>
          <w:ilvl w:val="0"/>
          <w:numId w:val="2"/>
        </w:numPr>
        <w:spacing w:before="60" w:after="60"/>
      </w:pPr>
      <w:r>
        <w:rPr>
          <w:rFonts w:ascii="Arial" w:cs="Arial" w:eastAsia="Arial" w:hAnsi="Arial"/>
          <w:sz w:val="22"/>
          <w:szCs w:val="22"/>
        </w:rPr>
        <w:t xml:space="preserve">Brand alignment — no partner whose advertising practices conflict with responsible gambling standards.</w:t>
      </w:r>
    </w:p>
    <w:p>
      <w:pPr>
        <w:pStyle w:val="ListParagraph"/>
        <w:numPr>
          <w:ilvl w:val="0"/>
          <w:numId w:val="2"/>
        </w:numPr>
        <w:spacing w:before="60" w:after="60"/>
      </w:pPr>
      <w:r>
        <w:rPr>
          <w:rFonts w:ascii="Arial" w:cs="Arial" w:eastAsia="Arial" w:hAnsi="Arial"/>
          <w:sz w:val="22"/>
          <w:szCs w:val="22"/>
        </w:rPr>
        <w:t xml:space="preserve">Competitive commission rates: target $100–$200 CPA per first-time depositor, or 20–30% revenue share.</w:t>
      </w:r>
    </w:p>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Target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120"/>
        <w:gridCol w:w="2340"/>
      </w:tblGrid>
      <w:tr>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Operator</w:t>
            </w:r>
          </w:p>
        </w:tc>
        <w:tc>
          <w:tcPr>
            <w:tcW w:type="dxa" w:w="1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 States (approx.)</w:t>
            </w:r>
          </w:p>
        </w:tc>
        <w:tc>
          <w:tcPr>
            <w:tcW w:type="dxa" w:w="312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Affiliate Programme</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FanDuel</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FanDuel Affiliates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Tier 1</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DraftKings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DraftKings Affiliates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Tier 1</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BetMGM</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BetMGM Affiliates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Tier 1</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Caesars Sportsbook</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Caesars Affiliates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Tier 2</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ESPN Bet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ESPN Bet Affiliates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Tier 2</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bet365</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bet365 Affiliates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Tier 2</w:t>
            </w:r>
          </w:p>
        </w:tc>
      </w:tr>
    </w:tbl>
    <w:p>
      <w:pPr>
        <w:pStyle w:val="Heading1"/>
        <w:spacing w:before="80" w:after="80"/>
        <w:jc w:val="left"/>
      </w:pPr>
      <w:r>
        <w:rPr>
          <w:rFonts w:ascii="Arial" w:cs="Arial" w:eastAsia="Arial" w:hAnsi="Arial"/>
          <w:b w:val="false"/>
          <w:bCs w:val="false"/>
          <w:color w:val="000000"/>
          <w:sz w:val="22"/>
          <w:szCs w:val="22"/>
        </w:rPr>
        <w:t xml:space="preserve">9. Content &amp; SEO</w:t>
      </w:r>
    </w:p>
    <w:p>
      <w:pPr>
        <w:spacing w:before="80" w:after="80"/>
        <w:jc w:val="left"/>
      </w:pPr>
      <w:r>
        <w:rPr>
          <w:rFonts w:ascii="Arial" w:cs="Arial" w:eastAsia="Arial" w:hAnsi="Arial"/>
          <w:b w:val="false"/>
          <w:bCs w:val="false"/>
          <w:color w:val="000000"/>
          <w:sz w:val="22"/>
          <w:szCs w:val="22"/>
        </w:rPr>
        <w:t xml:space="preserve">ParallaxEdge’s content strategy is built around one primary SEO asset that requires no dedicated content team to produce: the public track record.</w:t>
      </w:r>
    </w:p>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The Public Track Record</w:t>
      </w:r>
    </w:p>
    <w:p>
      <w:pPr>
        <w:spacing w:before="80" w:after="80"/>
        <w:jc w:val="left"/>
      </w:pPr>
      <w:r>
        <w:rPr>
          <w:rFonts w:ascii="Arial" w:cs="Arial" w:eastAsia="Arial" w:hAnsi="Arial"/>
          <w:b w:val="false"/>
          <w:bCs w:val="false"/>
          <w:color w:val="000000"/>
          <w:sz w:val="22"/>
          <w:szCs w:val="22"/>
        </w:rPr>
        <w:t xml:space="preserve">Every model prediction is published before game time and permanently logged with: model probability, market odds at publication, closing odds, closing line value (CLV), and result. This page requires no authentication to view, is machine-updated after every game, and generates long-tail organic search traffic for terms such as “NFL model predictions,” “World Cup 2026 predictions,” and fixture-specific long-tail queries. This is a differentiated SEO asset relative to tipster-model competitors whose historical record is either obscured or entirely absent.</w:t>
      </w:r>
    </w:p>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Content Calendar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1820"/>
        <w:gridCol w:w="2860"/>
      </w:tblGrid>
      <w:tr>
        <w:tc>
          <w:tcPr>
            <w:tcW w:type="dxa" w:w="2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Type</w:t>
            </w:r>
          </w:p>
        </w:tc>
        <w:tc>
          <w:tcPr>
            <w:tcW w:type="dxa" w:w="208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182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28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Channel</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Pre-match signal cards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Designed static graphic</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covered fixture</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 Instagram</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 explainer threads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Long-form X thread (8–12 posts)</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2x per week</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Educational Shorts/Reels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60–90 second video</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2–3x per week</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YouTube, TikTok, Instagram</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Post-match model review</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 thread or Discord post</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After major fixtures</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 Discord</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Methodology deep dives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Blog post (SEO-indexed)</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1–2x per month</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Website, X amplification</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Reactive match commentary</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post with data context</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During live games</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 TikTok</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CLV performance updates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summary post/graphic</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 Instagram, Discord</w:t>
            </w:r>
          </w:p>
        </w:tc>
      </w:tr>
    </w:tbl>
    <w:p>
      <w:pPr>
        <w:pStyle w:val="Heading1"/>
        <w:spacing w:before="80" w:after="80"/>
        <w:jc w:val="left"/>
      </w:pPr>
      <w:r>
        <w:rPr>
          <w:rFonts w:ascii="Arial" w:cs="Arial" w:eastAsia="Arial" w:hAnsi="Arial"/>
          <w:b w:val="false"/>
          <w:bCs w:val="false"/>
          <w:color w:val="000000"/>
          <w:sz w:val="22"/>
          <w:szCs w:val="22"/>
        </w:rPr>
        <w:t xml:space="preserve">10. Responsible Gambling Commitment</w:t>
      </w:r>
    </w:p>
    <w:p>
      <w:pPr>
        <w:spacing w:before="80" w:after="80"/>
        <w:jc w:val="left"/>
      </w:pPr>
      <w:r>
        <w:rPr>
          <w:rFonts w:ascii="Arial" w:cs="Arial" w:eastAsia="Arial" w:hAnsi="Arial"/>
          <w:b w:val="false"/>
          <w:bCs w:val="false"/>
          <w:color w:val="000000"/>
          <w:sz w:val="22"/>
          <w:szCs w:val="22"/>
        </w:rPr>
        <w:t xml:space="preserve">Responsible gambling messaging is a non-negotiable requirement across all ParallaxEdge communications. This is not merely a regulatory box to tick — it is consistent with the platform’s core positioning as a decision tool, not a tipster, and with the brand’s commitment to treating users as intelligent adults making their own informed choices.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5" w:val="clear"/>
            <w:tcMar>
              <w:top w:type="dxa" w:w="120"/>
              <w:left w:type="dxa" w:w="160"/>
              <w:bottom w:type="dxa" w:w="120"/>
              <w:right w:type="dxa" w:w="160"/>
            </w:tcMar>
          </w:tcPr>
          <w:p>
            <w:r>
              <w:rPr>
                <w:rFonts w:ascii="Arial" w:cs="Arial" w:eastAsia="Arial" w:hAnsi="Arial"/>
                <w:b/>
                <w:bCs/>
                <w:color w:val="1A1A2E"/>
                <w:sz w:val="20"/>
                <w:szCs w:val="20"/>
              </w:rPr>
              <w:t xml:space="preserve">Core Framing  </w:t>
            </w:r>
            <w:r>
              <w:rPr>
                <w:rFonts w:ascii="Arial" w:cs="Arial" w:eastAsia="Arial" w:hAnsi="Arial"/>
                <w:color w:val="1A1A2E"/>
                <w:sz w:val="20"/>
                <w:szCs w:val="20"/>
              </w:rPr>
              <w:t xml:space="preserve">ParallaxEdge is a tool, not a tipster. The platform surfaces opportunities and quantifies edge. It does not guarantee outcomes. Every decision belongs to the user.</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Mandatory Inclusions by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 / Touchpoint</w:t>
            </w:r>
          </w:p>
        </w:tc>
        <w:tc>
          <w:tcPr>
            <w:tcW w:type="dxa" w:w="62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 Element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Website footer (all pages)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"Gambling involves risk. ParallaxEdge provides analytics tools only. Please gamble responsibly. 21+ only. If you or someone you know has a gambling problem, call 1-800-522-4700."</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Social media bios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"Betting analytics platform. 21+ only. Gamble responsibly." in profile description.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Onboarding flow</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Explicit framing slide: ParallaxEdge is a decision tool, not a winning system. Age verification (21+).</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Influencer / creator content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Disclosure copy provided in creator brief. Must appear in caption or on-screen.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Affiliate link pages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Operator-specific responsible gambling links and NCPG helpline displayed adjacent to partner links.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Any performance claim</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Must include total sample, timeframe, and confidence threshold. No cherry-picked results.</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What ParallaxEdge Never Says</w:t>
      </w:r>
    </w:p>
    <w:p>
      <w:pPr>
        <w:pStyle w:val="ListParagraph"/>
        <w:numPr>
          <w:ilvl w:val="0"/>
          <w:numId w:val="2"/>
        </w:numPr>
        <w:spacing w:before="60" w:after="60"/>
      </w:pPr>
      <w:r>
        <w:rPr>
          <w:rFonts w:ascii="Arial" w:cs="Arial" w:eastAsia="Arial" w:hAnsi="Arial"/>
          <w:sz w:val="22"/>
          <w:szCs w:val="22"/>
        </w:rPr>
        <w:t xml:space="preserve">Guaranteed wins, guaranteed returns, or any language implying certainty of outcome.</w:t>
      </w:r>
    </w:p>
    <w:p>
      <w:pPr>
        <w:pStyle w:val="ListParagraph"/>
        <w:numPr>
          <w:ilvl w:val="0"/>
          <w:numId w:val="2"/>
        </w:numPr>
        <w:spacing w:before="60" w:after="60"/>
      </w:pPr>
      <w:r>
        <w:rPr>
          <w:rFonts w:ascii="Arial" w:cs="Arial" w:eastAsia="Arial" w:hAnsi="Arial"/>
          <w:sz w:val="22"/>
          <w:szCs w:val="22"/>
        </w:rPr>
        <w:t xml:space="preserve">“We predict” — ParallaxEdge surfaces opportunities; users make decisions.</w:t>
      </w:r>
    </w:p>
    <w:p>
      <w:pPr>
        <w:pStyle w:val="ListParagraph"/>
        <w:numPr>
          <w:ilvl w:val="0"/>
          <w:numId w:val="2"/>
        </w:numPr>
        <w:spacing w:before="60" w:after="60"/>
      </w:pPr>
      <w:r>
        <w:rPr>
          <w:rFonts w:ascii="Arial" w:cs="Arial" w:eastAsia="Arial" w:hAnsi="Arial"/>
          <w:sz w:val="22"/>
          <w:szCs w:val="22"/>
        </w:rPr>
        <w:t xml:space="preserve">“Beat the bookies” or similar adversarial, aggressive framing.</w:t>
      </w:r>
    </w:p>
    <w:p>
      <w:pPr>
        <w:pStyle w:val="ListParagraph"/>
        <w:numPr>
          <w:ilvl w:val="0"/>
          <w:numId w:val="2"/>
        </w:numPr>
        <w:spacing w:before="60" w:after="60"/>
      </w:pPr>
      <w:r>
        <w:rPr>
          <w:rFonts w:ascii="Arial" w:cs="Arial" w:eastAsia="Arial" w:hAnsi="Arial"/>
          <w:sz w:val="22"/>
          <w:szCs w:val="22"/>
        </w:rPr>
        <w:t xml:space="preserve">Any language that implies the platform replaces judgment rather than informing it.</w:t>
      </w:r>
    </w:p>
    <w:p>
      <w:pPr>
        <w:pStyle w:val="ListParagraph"/>
        <w:numPr>
          <w:ilvl w:val="0"/>
          <w:numId w:val="2"/>
        </w:numPr>
        <w:spacing w:before="60" w:after="60"/>
      </w:pPr>
      <w:r>
        <w:rPr>
          <w:rFonts w:ascii="Arial" w:cs="Arial" w:eastAsia="Arial" w:hAnsi="Arial"/>
          <w:sz w:val="22"/>
          <w:szCs w:val="22"/>
        </w:rPr>
        <w:t xml:space="preserve">ROI claims that lack full statistical context.</w:t>
      </w:r>
    </w:p>
    <w:p>
      <w:pPr>
        <w:pStyle w:val="Heading1"/>
        <w:spacing w:before="80" w:after="80"/>
        <w:jc w:val="left"/>
      </w:pPr>
      <w:r>
        <w:rPr>
          <w:rFonts w:ascii="Arial" w:cs="Arial" w:eastAsia="Arial" w:hAnsi="Arial"/>
          <w:b w:val="false"/>
          <w:bCs w:val="false"/>
          <w:color w:val="000000"/>
          <w:sz w:val="22"/>
          <w:szCs w:val="22"/>
        </w:rPr>
        <w:t xml:space="preserve">11. Marketing Calendar</w:t>
      </w:r>
    </w:p>
    <w:p>
      <w:pPr>
        <w:spacing w:before="80" w:after="80"/>
        <w:jc w:val="left"/>
      </w:pPr>
      <w:r>
        <w:rPr>
          <w:rFonts w:ascii="Arial" w:cs="Arial" w:eastAsia="Arial" w:hAnsi="Arial"/>
          <w:b w:val="false"/>
          <w:bCs w:val="false"/>
          <w:color w:val="000000"/>
          <w:sz w:val="22"/>
          <w:szCs w:val="22"/>
        </w:rPr>
        <w:t xml:space="preserve">The Year 1 marketing calendar is organized around five distinct phases, each anchored to a sports calendar demand event.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4680"/>
        <w:gridCol w:w="1560"/>
      </w:tblGrid>
      <w:tr>
        <w:tc>
          <w:tcPr>
            <w:tcW w:type="dxa" w:w="1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Period</w:t>
            </w:r>
          </w:p>
        </w:tc>
        <w:tc>
          <w:tcPr>
            <w:tcW w:type="dxa" w:w="468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Activities</w:t>
            </w:r>
          </w:p>
        </w:tc>
        <w:tc>
          <w:tcPr>
            <w:tcW w:type="dxa" w:w="1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KPI</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Pre-Launch Build</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 – May 2026 (6 weeks)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Social handle securing, signal card content seeding (no brand), waitlist landing page live, influencer brief and early access distribution, brand film production (AI agents), affiliate outreach begins.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1,500+ waitlist sign-ups</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 World Cup Launch</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Jun – Jul 2026</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Brand film release (Day 1), platform opens to waitlist (Day 7), daily signal cards for 48 group stage fixtures, promo cohort onboarding, influencer amplification, first email nurture sequence to paying users.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350+ promo conversions, 500 paid subs</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 NFL Launch</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Aug – Sep 2026</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NFL model launch announcement (2 weeks pre-season), weekly NFL signal cards, affiliate link activation, first sportsbook partner links live, X engagement ramp for NFL audience.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 new paid subs in Sep, affiliate live</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 NBA Launch</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Oct – Nov 2026</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NBA model launch, tri-sport signal card cadence established, Discord Sharp channels active, CLV performance update published (first post-World Cup track record summary).</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160 new paid subs in Oct</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 Steady State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 2026 – May 2027</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content calendar maintained, 100 new paid subs/month target, affiliate ramp to $1,500/month (conservative steady state), Year 2 Pro/Elite prep begins in Q1 2027, annual brand review post-season.</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2,604 paid subs by May 2027</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Key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26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c>
          <w:tcPr>
            <w:tcW w:type="dxa" w:w="52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Marketing Action</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 25, 2026</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 6 pre-launch</w:t>
            </w:r>
          </w:p>
        </w:tc>
        <w:tc>
          <w:tcPr>
            <w:tcW w:type="dxa" w:w="5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social handles secured. Signal content cadence begins.</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~May 30, 2026</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 1 pre-launch</w:t>
            </w:r>
          </w:p>
        </w:tc>
        <w:tc>
          <w:tcPr>
            <w:tcW w:type="dxa" w:w="5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Brand film teaser drops. Final waitlist push. Affiliate agreements signed.</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Jun 11, 2026</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FIFA World Cup 2026 opens</w:t>
            </w:r>
          </w:p>
        </w:tc>
        <w:tc>
          <w:tcPr>
            <w:tcW w:type="dxa" w:w="5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goes live. First signal card. Launch campaign active.</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~Jul 3, 2026</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Group stage concludes</w:t>
            </w:r>
          </w:p>
        </w:tc>
        <w:tc>
          <w:tcPr>
            <w:tcW w:type="dxa" w:w="5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Promo period ends. Conversion emails sent to promo cohort.</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Sep 4, 2026</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NFL regular season opens</w:t>
            </w:r>
          </w:p>
        </w:tc>
        <w:tc>
          <w:tcPr>
            <w:tcW w:type="dxa" w:w="5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NFL signal cards begin. Affiliate links go live.</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Oct 2026</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NBA season tip-off</w:t>
            </w:r>
          </w:p>
        </w:tc>
        <w:tc>
          <w:tcPr>
            <w:tcW w:type="dxa" w:w="5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NBA signal cards begin. Discord Sharp channels launch.</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Jan 2027</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NFL playoffs</w:t>
            </w:r>
          </w:p>
        </w:tc>
        <w:tc>
          <w:tcPr>
            <w:tcW w:type="dxa" w:w="5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Peak affiliate revenue period. Increased signal card volume.</w:t>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May 2027</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Year 1 closes</w:t>
            </w:r>
          </w:p>
        </w:tc>
        <w:tc>
          <w:tcPr>
            <w:tcW w:type="dxa" w:w="5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brand review. Year 2 Pro/Elite launch prep.</w:t>
            </w:r>
          </w:p>
        </w:tc>
      </w:tr>
    </w:tbl>
    <w:p>
      <w:pPr>
        <w:pStyle w:val="Heading1"/>
        <w:spacing w:before="80" w:after="80"/>
        <w:jc w:val="left"/>
      </w:pPr>
      <w:r>
        <w:rPr>
          <w:rFonts w:ascii="Arial" w:cs="Arial" w:eastAsia="Arial" w:hAnsi="Arial"/>
          <w:b w:val="false"/>
          <w:bCs w:val="false"/>
          <w:color w:val="000000"/>
          <w:sz w:val="22"/>
          <w:szCs w:val="22"/>
        </w:rPr>
        <w:t xml:space="preserve">12. Budget &amp; Resource Summary</w:t>
      </w:r>
    </w:p>
    <w:p>
      <w:pPr>
        <w:spacing w:before="80" w:after="80"/>
        <w:jc w:val="left"/>
      </w:pPr>
      <w:r>
        <w:rPr>
          <w:rFonts w:ascii="Arial" w:cs="Arial" w:eastAsia="Arial" w:hAnsi="Arial"/>
          <w:b w:val="false"/>
          <w:bCs w:val="false"/>
          <w:color w:val="000000"/>
          <w:sz w:val="22"/>
          <w:szCs w:val="22"/>
        </w:rPr>
        <w:t xml:space="preserve">ParallaxEdge’s marketing program in Year 1 is executed without paid acquisition spend. All subscriber growth is driven through organic social, earned media (influencer seeding), affiliate partnerships, and SEO. Brand film, signal card design, and all visual content assets are produced using AI agent workflows at effectively zero marginal cost. Third-party platform costs (email marketing, social scheduling) are carried in operating expenses.</w:t>
      </w:r>
    </w:p>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Year 1 Marketing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820"/>
        <w:gridCol w:w="1300"/>
        <w:gridCol w:w="3380"/>
      </w:tblGrid>
      <w:tr>
        <w:tc>
          <w:tcPr>
            <w:tcW w:type="dxa" w:w="286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82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30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w:t>
            </w:r>
          </w:p>
        </w:tc>
        <w:tc>
          <w:tcPr>
            <w:tcW w:type="dxa" w:w="338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Brand film production</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One-time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Produced with AI agent workflows at zero marginal cost</w:t>
            </w:r>
          </w:p>
        </w:tc>
      </w:tr>
      <w:tr>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Signal card design templates</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One-time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agent production; Figma templates auto-generated</w:t>
            </w:r>
          </w:p>
        </w:tc>
      </w:tr>
      <w:tr>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Influencer / creator seeding</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cost (Sharp access)</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cash</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Early access provided at zero marginal cost</w:t>
            </w:r>
          </w:p>
        </w:tc>
      </w:tr>
      <w:tr>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marketing platform (Mailchimp)</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OpEx</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$50/mo</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Mailchimp or equivalent; budgeted in operating expenses</w:t>
            </w:r>
          </w:p>
        </w:tc>
      </w:tr>
      <w:tr>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Social scheduling &amp; analytics (Buffer)</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OpEx</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$75/mo</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Buffer or Later equivalent; budgeted in operating expenses</w:t>
            </w:r>
          </w:p>
        </w:tc>
      </w:tr>
      <w:tr>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Paid acquisition</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modelled in Year 1</w:t>
            </w:r>
          </w:p>
        </w:tc>
      </w:tr>
      <w:tr>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SEO tooling</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Free-tier tools sufficient in Year 1; Ahrefs optional Year 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5" w:val="clear"/>
            <w:tcMar>
              <w:top w:type="dxa" w:w="120"/>
              <w:left w:type="dxa" w:w="160"/>
              <w:bottom w:type="dxa" w:w="120"/>
              <w:right w:type="dxa" w:w="160"/>
            </w:tcMar>
          </w:tcPr>
          <w:p>
            <w:r>
              <w:rPr>
                <w:rFonts w:ascii="Arial" w:cs="Arial" w:eastAsia="Arial" w:hAnsi="Arial"/>
                <w:b/>
                <w:bCs/>
                <w:color w:val="1A1A2E"/>
                <w:sz w:val="20"/>
                <w:szCs w:val="20"/>
              </w:rPr>
              <w:t xml:space="preserve">Zero Paid Acquisition  </w:t>
            </w:r>
            <w:r>
              <w:rPr>
                <w:rFonts w:ascii="Arial" w:cs="Arial" w:eastAsia="Arial" w:hAnsi="Arial"/>
                <w:color w:val="1A1A2E"/>
                <w:sz w:val="20"/>
                <w:szCs w:val="20"/>
              </w:rPr>
              <w:t xml:space="preserve">The Year 1 subscriber model — 2,604 paid Sharp subscribers by May 2027 — is built entirely on organic acquisition. The World Cup promo cohort (1,000 free users → 350 paid) is the primary acquisition event; NFL and NBA launches provide secondary spikes. Brand and visual content production costs are zero thanks to AI agent workflows. If organic growth exceeds the model, the case for introducing paid acquisition in Year 2 becomes stronger.</w:t>
            </w:r>
          </w:p>
        </w:tc>
      </w:tr>
    </w:tbl>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Resource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3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Weekly Time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Signal card creation &amp; publishing</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Founder + AI agents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 hours (match weeks)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Social media engagement &amp; community</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Founder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 hours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marketing</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Founder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hours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Influencer outreach &amp; relationship management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Founder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hours (peak periods)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Affiliate partner management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Founder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hour</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 asset production (cards, video)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agents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1 hour direction time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Content calendar planning</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Founder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hour</w:t>
            </w:r>
          </w:p>
        </w:tc>
      </w:tr>
    </w:tbl>
    <w:p>
      <w:pPr>
        <w:pStyle w:val="Heading1"/>
        <w:spacing w:before="80" w:after="80"/>
        <w:jc w:val="left"/>
      </w:pPr>
      <w:r>
        <w:rPr>
          <w:rFonts w:ascii="Arial" w:cs="Arial" w:eastAsia="Arial" w:hAnsi="Arial"/>
          <w:b w:val="false"/>
          <w:bCs w:val="false"/>
          <w:color w:val="000000"/>
          <w:sz w:val="22"/>
          <w:szCs w:val="22"/>
        </w:rPr>
        <w:t xml:space="preserve">13. Brand Governance</w:t>
      </w:r>
    </w:p>
    <w:p>
      <w:pPr>
        <w:spacing w:before="80" w:after="80"/>
        <w:jc w:val="left"/>
      </w:pPr>
      <w:r>
        <w:rPr>
          <w:rFonts w:ascii="Arial" w:cs="Arial" w:eastAsia="Arial" w:hAnsi="Arial"/>
          <w:b w:val="false"/>
          <w:bCs w:val="false"/>
          <w:color w:val="000000"/>
          <w:sz w:val="22"/>
          <w:szCs w:val="22"/>
        </w:rPr>
        <w:t xml:space="preserve">Brand governance ensures that ParallaxEdge’s visual identity, voice, and messaging remain consistent across all channels, all content creators, and all phases of growth. The rules below supplement the ParallaxEdge Brand Identity Guide v1.1.</w:t>
      </w:r>
    </w:p>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What Requires Brand Approval</w:t>
      </w:r>
    </w:p>
    <w:p>
      <w:pPr>
        <w:pStyle w:val="ListParagraph"/>
        <w:numPr>
          <w:ilvl w:val="0"/>
          <w:numId w:val="2"/>
        </w:numPr>
        <w:spacing w:before="60" w:after="60"/>
      </w:pPr>
      <w:r>
        <w:rPr>
          <w:rFonts w:ascii="Arial" w:cs="Arial" w:eastAsia="Arial" w:hAnsi="Arial"/>
          <w:sz w:val="22"/>
          <w:szCs w:val="22"/>
        </w:rPr>
        <w:t xml:space="preserve">Any modification to the primary tagline: “Discover opportunities most of the market misses.”</w:t>
      </w:r>
    </w:p>
    <w:p>
      <w:pPr>
        <w:pStyle w:val="ListParagraph"/>
        <w:numPr>
          <w:ilvl w:val="0"/>
          <w:numId w:val="2"/>
        </w:numPr>
        <w:spacing w:before="60" w:after="60"/>
      </w:pPr>
      <w:r>
        <w:rPr>
          <w:rFonts w:ascii="Arial" w:cs="Arial" w:eastAsia="Arial" w:hAnsi="Arial"/>
          <w:sz w:val="22"/>
          <w:szCs w:val="22"/>
        </w:rPr>
        <w:t xml:space="preserve">New color introductions beyond the five defined brand colors.</w:t>
      </w:r>
    </w:p>
    <w:p>
      <w:pPr>
        <w:pStyle w:val="ListParagraph"/>
        <w:numPr>
          <w:ilvl w:val="0"/>
          <w:numId w:val="2"/>
        </w:numPr>
        <w:spacing w:before="60" w:after="60"/>
      </w:pPr>
      <w:r>
        <w:rPr>
          <w:rFonts w:ascii="Arial" w:cs="Arial" w:eastAsia="Arial" w:hAnsi="Arial"/>
          <w:sz w:val="22"/>
          <w:szCs w:val="22"/>
        </w:rPr>
        <w:t xml:space="preserve">Typeface changes or additions beyond DM Serif Display, IBM Plex Mono, and DM Sans.</w:t>
      </w:r>
    </w:p>
    <w:p>
      <w:pPr>
        <w:pStyle w:val="ListParagraph"/>
        <w:numPr>
          <w:ilvl w:val="0"/>
          <w:numId w:val="2"/>
        </w:numPr>
        <w:spacing w:before="60" w:after="60"/>
      </w:pPr>
      <w:r>
        <w:rPr>
          <w:rFonts w:ascii="Arial" w:cs="Arial" w:eastAsia="Arial" w:hAnsi="Arial"/>
          <w:sz w:val="22"/>
          <w:szCs w:val="22"/>
        </w:rPr>
        <w:t xml:space="preserve">Paid media campaigns and influencer briefs.</w:t>
      </w:r>
    </w:p>
    <w:p>
      <w:pPr>
        <w:pStyle w:val="ListParagraph"/>
        <w:numPr>
          <w:ilvl w:val="0"/>
          <w:numId w:val="2"/>
        </w:numPr>
        <w:spacing w:before="60" w:after="60"/>
      </w:pPr>
      <w:r>
        <w:rPr>
          <w:rFonts w:ascii="Arial" w:cs="Arial" w:eastAsia="Arial" w:hAnsi="Arial"/>
          <w:sz w:val="22"/>
          <w:szCs w:val="22"/>
        </w:rPr>
        <w:t xml:space="preserve">Any claim relating to model performance or prediction accuracy.</w:t>
      </w:r>
    </w:p>
    <w:p>
      <w:pPr>
        <w:pStyle w:val="ListParagraph"/>
        <w:numPr>
          <w:ilvl w:val="0"/>
          <w:numId w:val="2"/>
        </w:numPr>
        <w:spacing w:before="60" w:after="60"/>
      </w:pPr>
      <w:r>
        <w:rPr>
          <w:rFonts w:ascii="Arial" w:cs="Arial" w:eastAsia="Arial" w:hAnsi="Arial"/>
          <w:sz w:val="22"/>
          <w:szCs w:val="22"/>
        </w:rPr>
        <w:t xml:space="preserve">Responsible gambling messaging variations beyond the standard copy.</w:t>
      </w:r>
    </w:p>
    <w:p>
      <w:pPr>
        <w:spacing w:before="60" w:after="60"/>
      </w:pPr>
      <w:r>
        <w:t xml:space="preserve"/>
      </w:r>
    </w:p>
    <w:p>
      <w:pPr>
        <w:pStyle w:val="Heading2"/>
        <w:spacing w:before="80" w:after="80"/>
        <w:jc w:val="left"/>
      </w:pPr>
      <w:r>
        <w:rPr>
          <w:rFonts w:ascii="Arial" w:cs="Arial" w:eastAsia="Arial" w:hAnsi="Arial"/>
          <w:b w:val="false"/>
          <w:bCs w:val="false"/>
          <w:color w:val="000000"/>
          <w:sz w:val="22"/>
          <w:szCs w:val="22"/>
        </w:rPr>
        <w:t xml:space="preserve">Brand Review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6240"/>
            <w:gridSpan w:val="1"/>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Review Scope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World Cup Group Stage (~July 2026)</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Assess World Cup campaign performance. Update messaging if track record data supports stronger claims. Review signal card performance by format.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World Cup Final (~July 19, 2026)</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campaign review. Assess promo cohort conversion. Update social strategy for NFL launch.</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NFL Launch Review (~October 2026)</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affiliate performance, NFL signal card engagement vs soccer benchmarks. Adjust content cadence if needed.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Review (May 2027)</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brand and marketing plan refresh. Incorporate Year 1 performance data. Build Year 2 plan incorporating Pro/Elite launch.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5" w:val="clear"/>
            <w:tcMar>
              <w:top w:type="dxa" w:w="120"/>
              <w:left w:type="dxa" w:w="160"/>
              <w:bottom w:type="dxa" w:w="120"/>
              <w:right w:type="dxa" w:w="160"/>
            </w:tcMar>
          </w:tcPr>
          <w:p>
            <w:r>
              <w:rPr>
                <w:rFonts w:ascii="Arial" w:cs="Arial" w:eastAsia="Arial" w:hAnsi="Arial"/>
                <w:b/>
                <w:bCs/>
                <w:color w:val="1A1A2E"/>
                <w:sz w:val="20"/>
                <w:szCs w:val="20"/>
              </w:rPr>
              <w:t xml:space="preserve">Brand Document Reference  </w:t>
            </w:r>
            <w:r>
              <w:rPr>
                <w:rFonts w:ascii="Arial" w:cs="Arial" w:eastAsia="Arial" w:hAnsi="Arial"/>
                <w:color w:val="1A1A2E"/>
                <w:sz w:val="20"/>
                <w:szCs w:val="20"/>
              </w:rPr>
              <w:t xml:space="preserve">This marketing plan should be read alongside the ParallaxEdge Brand Identity Guide v1.1. In the event of any conflict between this document and the Brand Guide, the Brand Guide takes precedence on all matters of visual identity, voice, and tagline usage.</w:t>
            </w:r>
          </w:p>
        </w:tc>
      </w:tr>
    </w:tbl>
    <w:p>
      <w:pPr>
        <w:spacing w:before="60" w:after="120"/>
      </w:pPr>
      <w:r>
        <w:t xml:space="preserve"/>
      </w:r>
    </w:p>
    <w:p>
      <w:pPr>
        <w:spacing w:before="80" w:after="80"/>
        <w:jc w:val="center"/>
      </w:pPr>
      <w:r>
        <w:rPr>
          <w:rFonts w:ascii="Arial" w:cs="Arial" w:eastAsia="Arial" w:hAnsi="Arial"/>
          <w:b w:val="false"/>
          <w:bCs w:val="false"/>
          <w:color w:val="888888"/>
          <w:sz w:val="18"/>
          <w:szCs w:val="18"/>
        </w:rPr>
        <w:t xml:space="preserve">ParallaxEdge Marketing Plan v2.0  —  Confidential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7B83" w:sz="4" w:space="4"/>
      </w:pBdr>
      <w:spacing w:before="80" w:after="0"/>
    </w:pPr>
    <w:r>
      <w:rPr>
        <w:rFonts w:ascii="Arial" w:cs="Arial" w:eastAsia="Arial" w:hAnsi="Arial"/>
        <w:color w:val="888888"/>
        <w:sz w:val="16"/>
        <w:szCs w:val="16"/>
      </w:rPr>
      <w:t xml:space="preserve">Version 2.0  |  March 2026  |  © Protean Pursuits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B83" w:sz="4" w:space="4"/>
      </w:pBdr>
      <w:spacing w:before="0" w:after="80"/>
    </w:pPr>
    <w:r>
      <w:rPr>
        <w:rFonts w:ascii="Arial" w:cs="Arial" w:eastAsia="Arial" w:hAnsi="Arial"/>
        <w:b/>
        <w:bCs/>
        <w:color w:val="0A7B83"/>
        <w:sz w:val="20"/>
        <w:szCs w:val="20"/>
      </w:rPr>
      <w:t xml:space="preserve">PARALLAXEDGE</w:t>
    </w:r>
    <w:r>
      <w:rPr>
        <w:rFonts w:ascii="Arial" w:cs="Arial" w:eastAsia="Arial" w:hAnsi="Arial"/>
        <w:color w:val="888888"/>
        <w:sz w:val="18"/>
        <w:szCs w:val="18"/>
      </w:rPr>
      <w:t xml:space="preserve">  —  Marketing Plan  |  Year 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A7B83" w:sz="4" w:space="4"/>
      </w:pBdr>
      <w:spacing w:before="32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4057"/>
      <w:sz w:val="28"/>
      <w:szCs w:val="28"/>
    </w:rPr>
  </w:style>
  <w:style w:type="paragraph" w:styleId="Heading3">
    <w:name w:val="Heading 3"/>
    <w:basedOn w:val="Normal"/>
    <w:next w:val="Normal"/>
    <w:qFormat/>
    <w:pPr>
      <w:spacing w:before="160" w:after="80"/>
      <w:outlineLvl w:val="2"/>
    </w:pPr>
    <w:rPr>
      <w:rFonts w:ascii="Arial" w:cs="Arial" w:eastAsia="Arial" w:hAnsi="Arial"/>
      <w:b/>
      <w:bCs/>
      <w:color w:val="0A7B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2026-03-20T04:06:40.987Z</dcterms:created>
  <dcterms:modified xsi:type="dcterms:W3CDTF">2026-03-20T04:06:40.988Z</dcterms:modified>
</cp:coreProperties>
</file>

<file path=docProps/custom.xml><?xml version="1.0" encoding="utf-8"?>
<Properties xmlns="http://schemas.openxmlformats.org/officeDocument/2006/custom-properties" xmlns:vt="http://schemas.openxmlformats.org/officeDocument/2006/docPropsVTypes"/>
</file>