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</w:t>
        <w:br/>
        <w:t>Onboarding do Desenvolvedor</w:t>
        <w:br/>
        <w:t>Versão 1.0</w:t>
      </w:r>
    </w:p>
    <w:p>
      <w:r>
        <w:rPr>
          <w:b/>
        </w:rPr>
        <w:t>Objetivo</w:t>
        <w:br/>
      </w:r>
      <w:r>
        <w:t>Este documento apresenta a filosofia, arquitetura de alto nível, regras de desenvolvimento e o estado atual do Quality ERP para que qualquer desenvolvedor ou IA possa colaborar com segurança.</w:t>
        <w:br/>
      </w:r>
    </w:p>
    <w:p>
      <w:pPr>
        <w:pStyle w:val="Heading1"/>
      </w:pPr>
      <w:r>
        <w:t>1. Visão do Projeto</w:t>
      </w:r>
    </w:p>
    <w:p>
      <w:r>
        <w:rPr>
          <w:sz w:val="22"/>
        </w:rPr>
        <w:t>Quality ERP nasceu como painel de loja virtual e evoluiu para um ERP completo com foco em simplicidade, velocidade, estabilidade e produtividade. O objetivo é substituir integralmente o WM10.</w:t>
      </w:r>
    </w:p>
    <w:p>
      <w:pPr>
        <w:pStyle w:val="Heading1"/>
      </w:pPr>
      <w:r>
        <w:t>2. Filosofia</w:t>
      </w:r>
    </w:p>
    <w:p>
      <w:r>
        <w:rPr>
          <w:sz w:val="22"/>
        </w:rPr>
        <w:t>- Evolução incremental</w:t>
        <w:br/>
        <w:t>- Nunca reescrever módulos consolidados sem necessidade</w:t>
        <w:br/>
        <w:t>- Reutilizar serviços existentes</w:t>
        <w:br/>
        <w:t>- Preservar compatibilidade</w:t>
        <w:br/>
        <w:t>- Black OLED e tema Claro sempre funcionais</w:t>
        <w:br/>
        <w:t>- Documentar alterações em C:\Site\docs</w:t>
        <w:br/>
        <w:t>- Entregar apenas arquivos modificados em ZIP</w:t>
      </w:r>
    </w:p>
    <w:p>
      <w:pPr>
        <w:pStyle w:val="Heading1"/>
      </w:pPr>
      <w:r>
        <w:t>3. Estrutura conhecida</w:t>
      </w:r>
    </w:p>
    <w:p>
      <w:r>
        <w:rPr>
          <w:sz w:val="22"/>
        </w:rPr>
        <w:t>Raiz do projeto: C:\Site\painel</w:t>
        <w:br/>
        <w:t>Documentação: C:\Site\docs</w:t>
        <w:br/>
        <w:t>Views (.ejs): interface</w:t>
        <w:br/>
        <w:t>Routes: entrada das requisições</w:t>
        <w:br/>
        <w:t>Services: regras de negócio</w:t>
        <w:br/>
        <w:t>Data (JSON): persistência</w:t>
        <w:br/>
        <w:t>Public: CSS, JS e recursos estáticos.</w:t>
      </w:r>
    </w:p>
    <w:p>
      <w:pPr>
        <w:pStyle w:val="Heading1"/>
      </w:pPr>
      <w:r>
        <w:t>4. Fluxo da aplicação</w:t>
      </w:r>
    </w:p>
    <w:p>
      <w:r>
        <w:rPr>
          <w:sz w:val="22"/>
        </w:rPr>
        <w:t>Browser → Express → Routes → Services → Data(JSON) → Views(EJS). Evite lógica de negócio nas views.</w:t>
      </w:r>
    </w:p>
    <w:p>
      <w:pPr>
        <w:pStyle w:val="Heading1"/>
      </w:pPr>
      <w:r>
        <w:t>5. Estado atual</w:t>
      </w:r>
    </w:p>
    <w:p>
      <w:r>
        <w:rPr>
          <w:sz w:val="22"/>
        </w:rPr>
        <w:t>Concluídos ou maduros: Clientes, Produtos, Fornecedores, Compras, Estoque, Contas a Receber, Contas a Pagar, Centro de Operações, Caixa, Configurações PDV, Impressões, grande parte do PDV e O.S.</w:t>
      </w:r>
    </w:p>
    <w:p>
      <w:pPr>
        <w:pStyle w:val="Heading1"/>
      </w:pPr>
      <w:r>
        <w:t>6. Em desenvolvimento</w:t>
      </w:r>
    </w:p>
    <w:p>
      <w:r>
        <w:rPr>
          <w:sz w:val="22"/>
        </w:rPr>
        <w:t>Separação entre Categorias ERP e Categorias da Loja Virtual.</w:t>
        <w:br/>
        <w:t>Fluxo de Caixa Inteligente (v0.26.0).</w:t>
        <w:br/>
        <w:t>Depois: DRE, DFC e módulo fiscal.</w:t>
      </w:r>
    </w:p>
    <w:p>
      <w:pPr>
        <w:pStyle w:val="Heading1"/>
      </w:pPr>
      <w:r>
        <w:t>7. Módulos congelados</w:t>
      </w:r>
    </w:p>
    <w:p>
      <w:r>
        <w:rPr>
          <w:sz w:val="22"/>
        </w:rPr>
        <w:t>Clientes e migração WM10, Contas a Receber e boa parte do Contas a Pagar recebem apenas correções ou melhorias pontuais.</w:t>
      </w:r>
    </w:p>
    <w:p>
      <w:pPr>
        <w:pStyle w:val="Heading1"/>
      </w:pPr>
      <w:r>
        <w:t>8. O que nunca fazer</w:t>
      </w:r>
    </w:p>
    <w:p>
      <w:r>
        <w:rPr>
          <w:sz w:val="22"/>
        </w:rPr>
        <w:t>Não criar bases paralelas.</w:t>
        <w:br/>
        <w:t>Não duplicar serviços.</w:t>
        <w:br/>
        <w:t>Não alterar formato dos JSON sem necessidade.</w:t>
        <w:br/>
        <w:t>Não quebrar integrações.</w:t>
        <w:br/>
        <w:t>Não remover funcionalidades consolidadas.</w:t>
      </w:r>
    </w:p>
    <w:p>
      <w:pPr>
        <w:pStyle w:val="Heading1"/>
      </w:pPr>
      <w:r>
        <w:t>9. Dependências</w:t>
      </w:r>
    </w:p>
    <w:p>
      <w:r>
        <w:rPr>
          <w:sz w:val="22"/>
        </w:rPr>
        <w:t>Clientes alimentam PDV, O.S., Orçamentos e Receber.</w:t>
        <w:br/>
        <w:t>Produtos alimentam PDV, Compras, Estoque e Loja Virtual.</w:t>
        <w:br/>
        <w:t>Compras alimentam Estoque e Contas a Pagar.</w:t>
        <w:br/>
        <w:t>Fluxo de Caixa consolidará Caixa, Receber, Pagar, Compras, PDV, O.S. e estornos.</w:t>
      </w:r>
    </w:p>
    <w:p>
      <w:pPr>
        <w:pStyle w:val="Heading1"/>
      </w:pPr>
      <w:r>
        <w:t>10. Padrão de entrega</w:t>
      </w:r>
    </w:p>
    <w:p>
      <w:r>
        <w:rPr>
          <w:sz w:val="22"/>
        </w:rPr>
        <w:t>1. Entender o problema.</w:t>
        <w:br/>
        <w:t>2. Reutilizar serviços.</w:t>
        <w:br/>
        <w:t>3. Alterações pequenas.</w:t>
        <w:br/>
        <w:t>4. Testar fluxos afetados.</w:t>
        <w:br/>
        <w:t>5. Validar Black OLED e Claro.</w:t>
        <w:br/>
        <w:t>6. Atualizar documentação.</w:t>
        <w:br/>
        <w:t>7. Entregar ZIP apenas com arquivos modificados.</w:t>
        <w:br/>
        <w:t>8. Informar checklist de testes.</w:t>
      </w:r>
    </w:p>
    <w:p>
      <w:pPr>
        <w:pStyle w:val="Heading1"/>
      </w:pPr>
      <w:r>
        <w:t>11. Próximos passos</w:t>
      </w:r>
    </w:p>
    <w:p>
      <w:r>
        <w:rPr>
          <w:sz w:val="22"/>
        </w:rPr>
        <w:t>Construir um Mapa Técnico completo contendo a relação exata entre routes, services, views e arquivos JSON. Esse documento deverá ser extraído diretamente do código-fonte para refletir a arquitetura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