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ERP - Registro de Arquitetura (ADR)</w:t>
      </w:r>
    </w:p>
    <w:p>
      <w:pPr>
        <w:pStyle w:val="Heading1"/>
      </w:pPr>
      <w:r>
        <w:t>Objetivo</w:t>
      </w:r>
    </w:p>
    <w:p>
      <w:r>
        <w:rPr>
          <w:sz w:val="22"/>
        </w:rPr>
        <w:t>Registrar decisões arquiteturais permanentes do projeto.</w:t>
      </w:r>
    </w:p>
    <w:p>
      <w:pPr>
        <w:pStyle w:val="Heading1"/>
      </w:pPr>
      <w:r>
        <w:t>ADR-001</w:t>
      </w:r>
    </w:p>
    <w:p>
      <w:r>
        <w:rPr>
          <w:sz w:val="22"/>
        </w:rPr>
        <w:t>Fluxo de Caixa não terá base própria.</w:t>
      </w:r>
    </w:p>
    <w:p>
      <w:r>
        <w:rPr>
          <w:sz w:val="22"/>
        </w:rPr>
        <w:t>Motivo: evitar duplicação e divergência de dados. O módulo consolida informações existentes.</w:t>
      </w:r>
    </w:p>
    <w:p>
      <w:pPr>
        <w:pStyle w:val="Heading1"/>
      </w:pPr>
      <w:r>
        <w:t>ADR-002</w:t>
      </w:r>
    </w:p>
    <w:p>
      <w:r>
        <w:rPr>
          <w:sz w:val="22"/>
        </w:rPr>
        <w:t>Clientes estão congelados.</w:t>
      </w:r>
    </w:p>
    <w:p>
      <w:r>
        <w:rPr>
          <w:sz w:val="22"/>
        </w:rPr>
        <w:t>Motivo: migração concluída e estabilidade priorizada. Apenas correções importantes.</w:t>
      </w:r>
    </w:p>
    <w:p>
      <w:pPr>
        <w:pStyle w:val="Heading1"/>
      </w:pPr>
      <w:r>
        <w:t>ADR-003</w:t>
      </w:r>
    </w:p>
    <w:p>
      <w:r>
        <w:rPr>
          <w:sz w:val="22"/>
        </w:rPr>
        <w:t>Categorias ERP e Categorias da Loja Virtual foram separadas.</w:t>
      </w:r>
    </w:p>
    <w:p>
      <w:r>
        <w:rPr>
          <w:sz w:val="22"/>
        </w:rPr>
        <w:t>Motivo: o sistema evoluiu de loja virtual para ERP. As categorias possuem responsabilidades diferentes.</w:t>
      </w:r>
    </w:p>
    <w:p>
      <w:pPr>
        <w:pStyle w:val="Heading1"/>
      </w:pPr>
      <w:r>
        <w:t>ADR-004</w:t>
      </w:r>
    </w:p>
    <w:p>
      <w:r>
        <w:rPr>
          <w:sz w:val="22"/>
        </w:rPr>
        <w:t>Persistência em JSON.</w:t>
      </w:r>
    </w:p>
    <w:p>
      <w:r>
        <w:rPr>
          <w:sz w:val="22"/>
        </w:rPr>
        <w:t>Motivo: simplicidade, facilidade de backup e estabilidade durante a evolução inicial do ERP.</w:t>
      </w:r>
    </w:p>
    <w:p>
      <w:pPr>
        <w:pStyle w:val="Heading1"/>
      </w:pPr>
      <w:r>
        <w:t>ADR-005</w:t>
      </w:r>
    </w:p>
    <w:p>
      <w:r>
        <w:rPr>
          <w:sz w:val="22"/>
        </w:rPr>
        <w:t>Black OLED e tema Claro são requisitos obrigatórios.</w:t>
      </w:r>
    </w:p>
    <w:p>
      <w:r>
        <w:rPr>
          <w:sz w:val="22"/>
        </w:rPr>
        <w:t>Motivo: consistência visual e experiência do usuário.</w:t>
      </w:r>
    </w:p>
    <w:p>
      <w:pPr>
        <w:pStyle w:val="Heading1"/>
      </w:pPr>
      <w:r>
        <w:t>ADR-006</w:t>
      </w:r>
    </w:p>
    <w:p>
      <w:r>
        <w:rPr>
          <w:sz w:val="22"/>
        </w:rPr>
        <w:t>Evolução incremental.</w:t>
      </w:r>
    </w:p>
    <w:p>
      <w:r>
        <w:rPr>
          <w:sz w:val="22"/>
        </w:rPr>
        <w:t>Motivo: preservar módulos já consolidados e reduzir regressões.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