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ind w:left="0" w:hanging="0"/>
        <w:jc w:val="center"/>
        <w:rPr>
          <w:rFonts w:cs="Arial"/>
          <w:b/>
          <w:b/>
          <w:color w:val="2F5496" w:themeColor="accent5" w:themeShade="bf"/>
          <w:sz w:val="28"/>
          <w:szCs w:val="24"/>
        </w:rPr>
      </w:pPr>
      <w:r>
        <w:rPr>
          <w:rFonts w:cs="Arial"/>
          <w:b/>
          <w:color w:val="2F5496" w:themeColor="accent5" w:themeShade="bf"/>
          <w:sz w:val="28"/>
          <w:szCs w:val="24"/>
        </w:rPr>
        <w:t>Plano de Ensino</w:t>
      </w:r>
    </w:p>
    <w:tbl>
      <w:tblPr>
        <w:tblStyle w:val="Tabelacomgrade"/>
        <w:tblW w:w="10743" w:type="dxa"/>
        <w:jc w:val="left"/>
        <w:tblInd w:w="-8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3"/>
        <w:gridCol w:w="1808"/>
        <w:gridCol w:w="752"/>
        <w:gridCol w:w="1657"/>
        <w:gridCol w:w="468"/>
        <w:gridCol w:w="3695"/>
      </w:tblGrid>
      <w:tr>
        <w:trPr>
          <w:trHeight w:val="261" w:hRule="atLeast"/>
        </w:trPr>
        <w:tc>
          <w:tcPr>
            <w:tcW w:w="417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Disciplina: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 M</w:t>
            </w:r>
            <w:r>
              <w:rPr>
                <w:rFonts w:eastAsia="Calibri" w:cs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0"/>
                <w:u w:val="none"/>
                <w:em w:val="none"/>
                <w:lang w:val="pt-BR" w:eastAsia="en-US" w:bidi="ar-SA"/>
              </w:rPr>
              <w:t>etodologias Ágeis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2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287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Núcleo Específico</w:t>
            </w:r>
          </w:p>
        </w:tc>
        <w:tc>
          <w:tcPr>
            <w:tcW w:w="3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Semestre: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 2024/2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Docente:</w:t>
            </w:r>
          </w:p>
        </w:tc>
      </w:tr>
      <w:tr>
        <w:trPr>
          <w:trHeight w:val="360" w:hRule="atLeast"/>
        </w:trPr>
        <w:tc>
          <w:tcPr>
            <w:tcW w:w="23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Carga horária: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 40 horas</w:t>
            </w:r>
          </w:p>
        </w:tc>
        <w:tc>
          <w:tcPr>
            <w:tcW w:w="421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Quantidade de aulas semanais: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 2 aulas</w:t>
            </w:r>
          </w:p>
        </w:tc>
        <w:tc>
          <w:tcPr>
            <w:tcW w:w="416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Quantidade de aulas semestrais: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 40 aulas</w:t>
            </w:r>
          </w:p>
        </w:tc>
      </w:tr>
      <w:tr>
        <w:trPr>
          <w:trHeight w:val="246" w:hRule="atLeast"/>
        </w:trPr>
        <w:tc>
          <w:tcPr>
            <w:tcW w:w="492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Período:</w:t>
            </w:r>
          </w:p>
        </w:tc>
        <w:tc>
          <w:tcPr>
            <w:tcW w:w="58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kern w:val="0"/>
                <w:sz w:val="20"/>
                <w:szCs w:val="20"/>
                <w:lang w:val="pt-BR" w:eastAsia="en-US" w:bidi="ar-SA"/>
              </w:rPr>
              <w:t>Turno: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 xml:space="preserve"> Noite</w:t>
            </w:r>
          </w:p>
        </w:tc>
      </w:tr>
      <w:tr>
        <w:trPr>
          <w:trHeight w:val="261" w:hRule="atLeast"/>
        </w:trPr>
        <w:tc>
          <w:tcPr>
            <w:tcW w:w="10743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color w:val="1F4E79" w:themeColor="accent1" w:themeShade="80"/>
                <w:kern w:val="0"/>
                <w:sz w:val="20"/>
                <w:szCs w:val="20"/>
                <w:lang w:val="pt-BR" w:eastAsia="en-US" w:bidi="ar-SA"/>
              </w:rPr>
              <w:t>EMENTA (não precisa cadastrar)</w:t>
            </w:r>
          </w:p>
        </w:tc>
      </w:tr>
      <w:tr>
        <w:trPr>
          <w:trHeight w:val="947" w:hRule="atLeast"/>
        </w:trPr>
        <w:tc>
          <w:tcPr>
            <w:tcW w:w="10743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/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Métodos Ágeis de Desenvolvimento de Software. Manifesto Ágil. Técnicas Ágeis: Estórias dos Usuários; Casos de Uso; Test Driven Development (TDD); Integração Contínua; Kanban. Modelagem Ágil. Métodos Ágeis: Scrum, XP, FDD, Crystal, Lean, DSDM, Agile Unified Process (AUP), Framework de Práticas Ágeis. Métodos Ágeis e Usabilidade. Métodos Ágeis e Linhas de Produto. Métodos Ágeis e Modelos de Maturidade.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color w:val="1F4E79" w:themeColor="accent1" w:themeShade="80"/>
                <w:kern w:val="0"/>
                <w:sz w:val="20"/>
                <w:szCs w:val="20"/>
                <w:lang w:val="pt-BR" w:eastAsia="en-US" w:bidi="ar-SA"/>
              </w:rPr>
              <w:t>OBJETIVO DA DISCIPLINA</w:t>
            </w:r>
          </w:p>
        </w:tc>
      </w:tr>
      <w:tr>
        <w:trPr>
          <w:trHeight w:val="524" w:hRule="atLeast"/>
        </w:trPr>
        <w:tc>
          <w:tcPr>
            <w:tcW w:w="10743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color w:val="auto"/>
                <w:kern w:val="0"/>
                <w:sz w:val="20"/>
                <w:szCs w:val="20"/>
                <w:lang w:val="pt-BR" w:eastAsia="en-US" w:bidi="ar-SA"/>
              </w:rPr>
              <w:t>Ambientar o discente no uso de tecnologias ágeis;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color w:val="auto"/>
                <w:kern w:val="0"/>
                <w:sz w:val="20"/>
                <w:szCs w:val="20"/>
                <w:lang w:val="pt-BR" w:eastAsia="en-US" w:bidi="ar-SA"/>
              </w:rPr>
              <w:t>Fazer com que o discente experimente diferentes práticas ágeis;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color w:val="auto"/>
                <w:kern w:val="0"/>
                <w:sz w:val="20"/>
                <w:szCs w:val="20"/>
                <w:lang w:val="pt-BR" w:eastAsia="en-US" w:bidi="ar-SA"/>
              </w:rPr>
              <w:t>Entender alguns detalhes sobre história, documentação ágil tendo uma visão holística sobre seu uso.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color w:val="1F4E79" w:themeColor="accent1" w:themeShade="80"/>
                <w:kern w:val="0"/>
                <w:sz w:val="20"/>
                <w:szCs w:val="20"/>
                <w:lang w:val="pt-BR" w:eastAsia="en-US" w:bidi="ar-SA"/>
              </w:rPr>
              <w:t>COMPETÊNCIA(S)  RELACIONADA(S)</w:t>
            </w:r>
          </w:p>
        </w:tc>
      </w:tr>
      <w:tr>
        <w:trPr>
          <w:trHeight w:val="786" w:hRule="atLeast"/>
        </w:trPr>
        <w:tc>
          <w:tcPr>
            <w:tcW w:w="10743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1. Analisar o cenário, identificar necessidades e definir os requisitos de software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2. Definir o framework de trabalho e a arquitetura de software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3. Projetar soluções de sistemas adequadas às demandas e ao contexto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7. Implantar e validar soluções de sistemas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8. Liderar e gerir projetos de desenvolvimento de sistemas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color w:val="1F4E79" w:themeColor="accent1" w:themeShade="80"/>
                <w:kern w:val="0"/>
                <w:sz w:val="20"/>
                <w:szCs w:val="20"/>
                <w:lang w:val="pt-BR" w:eastAsia="en-US" w:bidi="ar-SA"/>
              </w:rPr>
              <w:t>CONTEÚDOS PROGRAMÁTICOS</w:t>
            </w:r>
          </w:p>
        </w:tc>
      </w:tr>
      <w:tr>
        <w:trPr>
          <w:trHeight w:val="2390" w:hRule="atLeast"/>
        </w:trPr>
        <w:tc>
          <w:tcPr>
            <w:tcW w:w="10743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eastAsia="Calibri" w:cs="" w:ascii="Arial" w:hAnsi="Arial" w:cstheme="minorBidi" w:eastAsiaTheme="minorHAnsi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0 → Aulas estruturantes da disciplina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eastAsia="Calibri" w:cs="" w:ascii="Arial" w:hAnsi="Arial" w:cstheme="minorBidi" w:eastAsiaTheme="minorHAnsi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en-US" w:bidi="ar-SA"/>
              </w:rPr>
              <w:t>Aula inaugural. Aula de explanação sobre a disciplina. PPC e inserção da disciplina no mesmo. Devolutivas.  Segunda Chamada. Final.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eastAsia="Calibri" w:cs="" w:ascii="Arial" w:hAnsi="Arial" w:cstheme="minorBidi" w:eastAsiaTheme="minorHAnsi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1 → Métodos Ágeis de Desenvolvimento de Software e Manifesto Ágil.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Introdução aos Métodos Ágeis de Desenvolvimento de Software. Manifesto Ágil. Revisão dos Métodos Ágeis mais Populares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eastAsia="Calibri" w:cs="" w:ascii="Arial" w:hAnsi="Arial" w:cstheme="minorBidi" w:eastAsiaTheme="minorHAnsi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2 → Métodos Ágeis e Usabilidade, Métodos Ágeis e Linhas de Produto,Métodos Ágeis e Modelos de Maturidade: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Comparação de Metodologias ágeis com clássicas, PMI. CMM. Convívio. Vantagens e desvantagens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pt-BR" w:eastAsia="en-US" w:bidi="ar-SA"/>
              </w:rPr>
              <w:t>. DevOps. Ciclo de vida no modelo ágil.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2"/>
              </w:rPr>
              <w:t>3 → Scrum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Papéis e Responsabilidades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Artefatos do Scrum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Cerimônias do Scrum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ScrumGuide (https://scrumguides.org/docs/scrumguide/v2020/2020-Scrum-Guide-US.pdf)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Avaliação da aplicabilidade do Scrum em projetos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rFonts w:eastAsia="Calibri" w:cs="" w:ascii="Arial" w:hAnsi="Arial" w:cstheme="minorBidi" w:eastAsiaTheme="minorHAnsi"/>
                <w:b/>
                <w:bCs/>
                <w:color w:val="000000"/>
                <w:kern w:val="0"/>
                <w:sz w:val="22"/>
                <w:szCs w:val="22"/>
                <w:lang w:val="pt-BR" w:eastAsia="en-US" w:bidi="ar-SA"/>
              </w:rPr>
              <w:t>4 → Técnicas Ágeis, Estórias dos Usuários, Casos de Uso,  Test Driven Development (TDD), Integração Contínua, Kanban, Modelagem Ágil, XP, FDD, Crystal, Lean, DSDM, Agile Unified Process (AUP), Framework de Práticas Ágeis.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Uso de Diagramas na Modelagem Ágil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Práticas de Modelagem Ágil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Estórias de Usuário vs Casos de Uso – Trabalho para entrega, criar e aplicar Estória e Caso de Uso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Lean - MVP– Teórico e prático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Kanban– Teórico e prático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sz w:val="22"/>
              </w:rPr>
            </w:pPr>
            <w:r>
              <w:rPr>
                <w:sz w:val="22"/>
              </w:rPr>
              <w:t>Planning Poker – Teórico e prático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2"/>
              </w:rPr>
            </w:pPr>
            <w:r>
              <w:rPr>
                <w:sz w:val="22"/>
              </w:rPr>
              <w:t>Outros Diagramas e práticas – Apresentação do trabalho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0"/>
                <w:lang w:val="pt-BR" w:eastAsia="en-US" w:bidi="ar-SA"/>
              </w:rPr>
              <w:t>5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0"/>
                <w:lang w:val="pt-BR" w:eastAsia="en-US" w:bidi="ar-SA"/>
              </w:rPr>
              <w:t xml:space="preserve"> → A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0"/>
                <w:lang w:val="pt-BR" w:eastAsia="en-US" w:bidi="ar-SA"/>
              </w:rPr>
              <w:t>tividade Docente Orientada (ADO)</w:t>
            </w:r>
          </w:p>
        </w:tc>
      </w:tr>
      <w:tr>
        <w:trPr>
          <w:trHeight w:val="236" w:hRule="atLeast"/>
        </w:trPr>
        <w:tc>
          <w:tcPr>
            <w:tcW w:w="10743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color w:val="1F4E79" w:themeColor="accent1" w:themeShade="80"/>
                <w:kern w:val="0"/>
                <w:sz w:val="20"/>
                <w:szCs w:val="20"/>
                <w:lang w:val="pt-BR" w:eastAsia="en-US" w:bidi="ar-SA"/>
              </w:rPr>
              <w:t>METODOLOGIA</w:t>
            </w:r>
          </w:p>
        </w:tc>
      </w:tr>
      <w:tr>
        <w:trPr>
          <w:trHeight w:val="491" w:hRule="atLeast"/>
        </w:trPr>
        <w:tc>
          <w:tcPr>
            <w:tcW w:w="10743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i/>
                <w:kern w:val="0"/>
                <w:sz w:val="20"/>
                <w:szCs w:val="20"/>
                <w:lang w:val="pt-BR" w:eastAsia="en-US" w:bidi="ar-SA"/>
              </w:rPr>
              <w:t xml:space="preserve">Aulas Teóricas: </w:t>
            </w: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Aulas expositivas sobre conceitos e teorias, com exemplos pr</w:t>
            </w:r>
            <w:r>
              <w:rPr>
                <w:rFonts w:eastAsia="Calibri" w:cs="Calibri" w:cstheme="minorHAnsi"/>
                <w:b w:val="false"/>
                <w:bCs w:val="false"/>
                <w:i/>
                <w:color w:val="auto"/>
                <w:kern w:val="0"/>
                <w:sz w:val="20"/>
                <w:szCs w:val="20"/>
                <w:lang w:val="pt-BR" w:eastAsia="en-US" w:bidi="ar-SA"/>
              </w:rPr>
              <w:t>áticos</w:t>
            </w: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, com auxílio de quadro branco (e/ou quadro virtual) e projetor multimídia.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sz w:val="22"/>
                <w:szCs w:val="20"/>
              </w:rPr>
            </w:pPr>
            <w:r>
              <w:rPr>
                <w:rFonts w:cs="Calibri" w:cstheme="minorHAnsi"/>
                <w:b/>
                <w:i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i/>
                <w:kern w:val="0"/>
                <w:sz w:val="20"/>
                <w:szCs w:val="20"/>
                <w:lang w:val="pt-BR" w:eastAsia="en-US" w:bidi="ar-SA"/>
              </w:rPr>
              <w:t xml:space="preserve">Aulas Práticas: </w:t>
            </w: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Aulas em laboratório</w:t>
            </w:r>
            <w:r>
              <w:rPr>
                <w:rFonts w:eastAsia="Calibri" w:cs="Calibri" w:cstheme="minorHAnsi"/>
                <w:b w:val="false"/>
                <w:bCs w:val="false"/>
                <w:i/>
                <w:color w:val="auto"/>
                <w:kern w:val="0"/>
                <w:sz w:val="20"/>
                <w:szCs w:val="20"/>
                <w:lang w:val="pt-BR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sz w:val="22"/>
                <w:szCs w:val="20"/>
              </w:rPr>
            </w:pPr>
            <w:r>
              <w:rPr>
                <w:rFonts w:cs="Calibri" w:cstheme="minorHAnsi"/>
                <w:b/>
                <w:i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 w:val="false"/>
                <w:i/>
                <w:color w:val="auto"/>
                <w:kern w:val="0"/>
                <w:sz w:val="20"/>
                <w:szCs w:val="20"/>
                <w:lang w:val="pt-BR" w:eastAsia="en-US" w:bidi="ar-SA"/>
              </w:rPr>
              <w:t xml:space="preserve">Pesquisa e Aula Invertida: </w:t>
            </w:r>
            <w:r>
              <w:rPr>
                <w:rFonts w:eastAsia="Calibri" w:cs="Calibri" w:cstheme="minorHAnsi"/>
                <w:b w:val="false"/>
                <w:bCs w:val="false"/>
                <w:i/>
                <w:color w:val="auto"/>
                <w:kern w:val="0"/>
                <w:sz w:val="20"/>
                <w:szCs w:val="20"/>
                <w:lang w:val="pt-BR" w:eastAsia="en-US" w:bidi="ar-SA"/>
              </w:rPr>
              <w:t>Biblioteca e acesso à internet.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2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96" w:hRule="atLeast"/>
        </w:trPr>
        <w:tc>
          <w:tcPr>
            <w:tcW w:w="10743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iCs/>
                <w:color w:val="1F4E79" w:themeColor="accent1" w:themeShade="80"/>
                <w:kern w:val="0"/>
                <w:sz w:val="20"/>
                <w:szCs w:val="20"/>
                <w:lang w:val="pt-BR" w:eastAsia="en-US" w:bidi="ar-SA"/>
              </w:rPr>
              <w:t>RECURSOS</w:t>
            </w:r>
            <w:r>
              <w:rPr>
                <w:rFonts w:eastAsia="Calibri" w:cs="Calibri" w:cstheme="minorHAnsi"/>
                <w:b w:val="false"/>
                <w:bCs w:val="false"/>
                <w:i/>
                <w:iCs/>
                <w:color w:val="1F4E79"/>
                <w:kern w:val="0"/>
                <w:sz w:val="20"/>
                <w:szCs w:val="20"/>
                <w:lang w:val="pt-BR" w:eastAsia="en-US" w:bidi="ar-SA"/>
              </w:rPr>
              <w:t>Laborat</w:t>
            </w:r>
            <w:r>
              <w:rPr>
                <w:rFonts w:eastAsia="Calibri" w:cs="Calibri" w:cstheme="minorHAnsi"/>
                <w:b w:val="false"/>
                <w:bCs w:val="false"/>
                <w:i/>
                <w:iCs/>
                <w:color w:val="auto"/>
                <w:kern w:val="0"/>
                <w:sz w:val="20"/>
                <w:szCs w:val="20"/>
                <w:lang w:val="pt-BR" w:eastAsia="en-US" w:bidi="ar-SA"/>
              </w:rPr>
              <w:t>ório com acesso à internet para pesquisa e elaboração de diagramas e textos.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iCs/>
                <w:color w:val="auto"/>
                <w:kern w:val="0"/>
                <w:sz w:val="20"/>
                <w:szCs w:val="20"/>
                <w:lang w:val="pt-BR" w:eastAsia="en-US" w:bidi="ar-SA"/>
              </w:rPr>
              <w:t>Biblioteca.</w:t>
            </w:r>
          </w:p>
        </w:tc>
      </w:tr>
      <w:tr>
        <w:trPr>
          <w:trHeight w:val="461" w:hRule="atLeast"/>
        </w:trPr>
        <w:tc>
          <w:tcPr>
            <w:tcW w:w="10743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iCs/>
                <w:kern w:val="0"/>
                <w:sz w:val="20"/>
                <w:szCs w:val="20"/>
                <w:lang w:val="pt-BR" w:eastAsia="en-US" w:bidi="ar-SA"/>
              </w:rPr>
              <w:t>Laborat</w:t>
            </w:r>
            <w:r>
              <w:rPr>
                <w:rFonts w:eastAsia="Calibri" w:cs="Calibri" w:cstheme="minorHAnsi"/>
                <w:b w:val="false"/>
                <w:bCs w:val="false"/>
                <w:i/>
                <w:iCs/>
                <w:color w:val="auto"/>
                <w:kern w:val="0"/>
                <w:sz w:val="20"/>
                <w:szCs w:val="20"/>
                <w:lang w:val="pt-BR" w:eastAsia="en-US" w:bidi="ar-SA"/>
              </w:rPr>
              <w:t>ório com acesso à internet para pesquisa e elaboração de diagramas e textos.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iCs/>
                <w:color w:val="auto"/>
                <w:kern w:val="0"/>
                <w:sz w:val="20"/>
                <w:szCs w:val="20"/>
                <w:lang w:val="pt-BR" w:eastAsia="en-US" w:bidi="ar-SA"/>
              </w:rPr>
              <w:t>Biblioteca.</w:t>
            </w:r>
          </w:p>
        </w:tc>
      </w:tr>
      <w:tr>
        <w:trPr>
          <w:trHeight w:val="261" w:hRule="atLeast"/>
        </w:trPr>
        <w:tc>
          <w:tcPr>
            <w:tcW w:w="10743" w:type="dxa"/>
            <w:gridSpan w:val="6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/>
                <w:bCs/>
                <w:color w:val="1F4E79" w:themeColor="accent1" w:themeShade="80"/>
                <w:kern w:val="0"/>
                <w:sz w:val="20"/>
                <w:szCs w:val="20"/>
                <w:lang w:val="pt-BR" w:eastAsia="en-US" w:bidi="ar-SA"/>
              </w:rPr>
              <w:t>AVALIAÇÃO</w:t>
            </w:r>
          </w:p>
        </w:tc>
      </w:tr>
      <w:tr>
        <w:trPr>
          <w:trHeight w:val="640" w:hRule="atLeast"/>
        </w:trPr>
        <w:tc>
          <w:tcPr>
            <w:tcW w:w="10743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AV1 -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Avaliação 1 (0 a 10 * 0,7) → te</w:t>
            </w:r>
            <w:r>
              <w:rPr>
                <w:rFonts w:eastAsia="Calibri" w:cs="Calibri" w:cstheme="minorHAnsi"/>
                <w:b w:val="false"/>
                <w:bCs w:val="false"/>
                <w:i/>
                <w:color w:val="auto"/>
                <w:kern w:val="0"/>
                <w:sz w:val="20"/>
                <w:szCs w:val="20"/>
                <w:lang w:val="pt-BR" w:eastAsia="en-US" w:bidi="ar-SA"/>
              </w:rPr>
              <w:t>órica Scrum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 xml:space="preserve">Projeto Prático (0 a 10 * 0,3) → </w:t>
            </w:r>
            <w:r>
              <w:rPr>
                <w:rFonts w:eastAsia="Calibri" w:cs="Calibri" w:cstheme="minorHAnsi"/>
                <w:b w:val="false"/>
                <w:bCs w:val="false"/>
                <w:i/>
                <w:color w:val="FF8000"/>
                <w:kern w:val="0"/>
                <w:sz w:val="20"/>
                <w:szCs w:val="20"/>
                <w:lang w:val="pt-BR" w:eastAsia="en-US" w:bidi="ar-SA"/>
              </w:rPr>
              <w:t>Seminário sobre acompanhamento de projeto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 xml:space="preserve">AV2 - Avaliação 2 (0 a 10 * 1,0) → 3 </w:t>
            </w:r>
            <w:r>
              <w:rPr>
                <w:rFonts w:eastAsia="Calibri" w:cs="Calibri" w:cstheme="minorHAnsi"/>
                <w:b w:val="false"/>
                <w:bCs w:val="false"/>
                <w:i/>
                <w:color w:val="auto"/>
                <w:kern w:val="0"/>
                <w:sz w:val="20"/>
                <w:szCs w:val="20"/>
                <w:lang w:val="pt-BR" w:eastAsia="en-US" w:bidi="ar-SA"/>
              </w:rPr>
              <w:t>Trabalhos práticos sobre técnicas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i/>
                <w:i/>
                <w:sz w:val="22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i/>
                <w:sz w:val="22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Média Semestral = (AV1 * 0,4) + (AV2 * 0,6)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</w:rPr>
            </w:pPr>
            <w:r>
              <w:rPr>
                <w:b w:val="false"/>
                <w:bCs w:val="false"/>
                <w:sz w:val="22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i/>
                <w:kern w:val="0"/>
                <w:sz w:val="20"/>
                <w:szCs w:val="20"/>
                <w:lang w:val="pt-BR" w:eastAsia="en-US" w:bidi="ar-SA"/>
              </w:rPr>
              <w:t>Aprovação com média igual ou superior a 7 (sete)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3" w:type="dxa"/>
        <w:jc w:val="left"/>
        <w:tblInd w:w="-8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1417"/>
        <w:gridCol w:w="3485"/>
        <w:gridCol w:w="4707"/>
      </w:tblGrid>
      <w:tr>
        <w:trPr>
          <w:trHeight w:val="772" w:hRule="atLeast"/>
        </w:trPr>
        <w:tc>
          <w:tcPr>
            <w:tcW w:w="1074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1F4E79" w:themeColor="accent1" w:themeShade="80"/>
                <w:kern w:val="0"/>
                <w:sz w:val="20"/>
                <w:szCs w:val="20"/>
                <w:lang w:val="pt-BR" w:eastAsia="en-US" w:bidi="ar-SA"/>
              </w:rPr>
              <w:t>CONTEÚDO MINISTRADO DO DIÁRIO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i/>
                <w:kern w:val="0"/>
                <w:sz w:val="20"/>
                <w:szCs w:val="20"/>
                <w:lang w:val="pt-BR" w:eastAsia="en-US" w:bidi="ar-SA"/>
              </w:rPr>
              <w:t>Orientação: No cronograma as datas das aulas deverão seguir conforme o horário (exemplo, toda terça-feira) até fechar a quantidade de aulas previstas em calendário, cumprindo a carga horária total da disciplina.</w:t>
            </w:r>
          </w:p>
        </w:tc>
      </w:tr>
      <w:tr>
        <w:trPr>
          <w:trHeight w:val="261" w:hRule="atLeast"/>
        </w:trPr>
        <w:tc>
          <w:tcPr>
            <w:tcW w:w="11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0"/>
                <w:szCs w:val="20"/>
                <w:lang w:val="pt-BR" w:eastAsia="en-US" w:bidi="ar-SA"/>
              </w:rPr>
              <w:t>Aula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0"/>
                <w:szCs w:val="20"/>
                <w:lang w:val="pt-BR" w:eastAsia="en-US" w:bidi="ar-SA"/>
              </w:rPr>
              <w:t>Data</w:t>
            </w:r>
          </w:p>
        </w:tc>
        <w:tc>
          <w:tcPr>
            <w:tcW w:w="819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0"/>
                <w:szCs w:val="20"/>
                <w:lang w:val="pt-BR" w:eastAsia="en-US" w:bidi="ar-SA"/>
              </w:rPr>
              <w:t>Conteúdo</w:t>
            </w:r>
          </w:p>
        </w:tc>
      </w:tr>
      <w:tr>
        <w:trPr>
          <w:trHeight w:val="261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1</w:t>
            </w:r>
          </w:p>
        </w:tc>
        <w:tc>
          <w:tcPr>
            <w:tcW w:w="1417" w:type="dxa"/>
            <w:vMerge w:val="restart"/>
            <w:tcBorders/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22/07/24</w:t>
            </w:r>
          </w:p>
        </w:tc>
        <w:tc>
          <w:tcPr>
            <w:tcW w:w="81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Aula inaugural</w:t>
            </w:r>
          </w:p>
        </w:tc>
      </w:tr>
      <w:tr>
        <w:trPr>
          <w:trHeight w:val="246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2</w:t>
            </w:r>
          </w:p>
        </w:tc>
        <w:tc>
          <w:tcPr>
            <w:tcW w:w="141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61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3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29/07/24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Explanação sobre a disciplina. PPC e inserção da disciplina no mesmo.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Introdução aos Métodos Ágeis de Desenvolvimento de Software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 xml:space="preserve">Manifesto </w:t>
            </w: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Ágil</w:t>
            </w:r>
          </w:p>
        </w:tc>
      </w:tr>
      <w:tr>
        <w:trPr>
          <w:trHeight w:val="261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4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61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5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05/08/24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Revisão dos Métodos Ágeis mais Populares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Comparação de Abordagens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Kanban– Te</w:t>
            </w: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órico e prático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 xml:space="preserve"> – </w:t>
            </w:r>
            <w:r>
              <w:rPr>
                <w:rFonts w:cs="Calibri" w:cstheme="minorHAnsi"/>
                <w:color w:val="FF4000"/>
                <w:sz w:val="22"/>
                <w:szCs w:val="20"/>
              </w:rPr>
              <w:t>Pesquisa em Biblioteca para semin</w:t>
            </w:r>
            <w:r>
              <w:rPr>
                <w:rFonts w:eastAsia="Calibri" w:cs="Calibri" w:cstheme="minorHAnsi"/>
                <w:color w:val="FF4000"/>
                <w:kern w:val="0"/>
                <w:sz w:val="22"/>
                <w:szCs w:val="20"/>
                <w:lang w:val="pt-BR" w:eastAsia="en-US" w:bidi="ar-SA"/>
              </w:rPr>
              <w:t>ário</w:t>
            </w:r>
          </w:p>
        </w:tc>
      </w:tr>
      <w:tr>
        <w:trPr>
          <w:trHeight w:val="261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6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61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7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12/08/24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Comparaç</w:t>
            </w: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ão de Metodologias ágeis com clássicas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PMI. CMM. Convívio. Vantagens e desvantagens.</w:t>
            </w:r>
          </w:p>
        </w:tc>
      </w:tr>
      <w:tr>
        <w:trPr>
          <w:trHeight w:val="261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8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C9211E"/>
                <w:sz w:val="22"/>
                <w:szCs w:val="20"/>
              </w:rPr>
            </w:pPr>
            <w:r>
              <w:rPr>
                <w:rFonts w:cs="Calibri" w:cstheme="minorHAnsi"/>
                <w:color w:val="C9211E"/>
                <w:sz w:val="22"/>
                <w:szCs w:val="20"/>
              </w:rPr>
            </w:r>
          </w:p>
        </w:tc>
      </w:tr>
      <w:tr>
        <w:trPr>
          <w:trHeight w:val="261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9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19/08/24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Avaliação da aplicabilidade do Scrum em projetos específicos do ou dos alunos – à definir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Estimar com Planning Poker – Teórico e prático</w:t>
            </w:r>
          </w:p>
        </w:tc>
      </w:tr>
      <w:tr>
        <w:trPr>
          <w:trHeight w:val="261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10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61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11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26/08/24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4000"/>
                <w:sz w:val="22"/>
                <w:szCs w:val="20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Scrum</w:t>
            </w:r>
          </w:p>
        </w:tc>
      </w:tr>
      <w:tr>
        <w:trPr>
          <w:trHeight w:val="261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12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4000"/>
                <w:sz w:val="22"/>
                <w:szCs w:val="20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Scrum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13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02/09/24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Reforço, ScrumGuide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Style w:val="LinkdaInternet"/>
                <w:rFonts w:cs="Calibri" w:cstheme="minorHAnsi"/>
                <w:sz w:val="22"/>
                <w:szCs w:val="20"/>
              </w:rPr>
              <w:t>https://scrumguides.org/docs/scrumguide/v2020/2020-Scrum-Guide-US.pdf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4000"/>
                <w:sz w:val="22"/>
                <w:szCs w:val="20"/>
              </w:rPr>
            </w:pPr>
            <w:r>
              <w:rPr>
                <w:rFonts w:cs="Calibri" w:cstheme="minorHAnsi"/>
                <w:color w:val="FF4000"/>
                <w:sz w:val="22"/>
                <w:szCs w:val="20"/>
              </w:rPr>
              <w:t>Leitura em conjunto, an</w:t>
            </w:r>
            <w:r>
              <w:rPr>
                <w:rFonts w:eastAsia="Calibri" w:cs="Calibri" w:cstheme="minorHAnsi"/>
                <w:color w:val="FF4000"/>
                <w:kern w:val="0"/>
                <w:sz w:val="22"/>
                <w:szCs w:val="20"/>
                <w:lang w:val="pt-BR" w:eastAsia="en-US" w:bidi="ar-SA"/>
              </w:rPr>
              <w:t>álise em conjunto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14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15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09/09/24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Reforço, ScrumGuide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Style w:val="LinkdaInternet"/>
                <w:rFonts w:cs="Calibri" w:cstheme="minorHAnsi"/>
                <w:sz w:val="22"/>
                <w:szCs w:val="20"/>
              </w:rPr>
              <w:t>https://scrumguides.org/docs/scrumguide/v2020/2020-Scrum-Guide-US.pdf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4000"/>
                <w:sz w:val="22"/>
                <w:szCs w:val="20"/>
              </w:rPr>
            </w:pPr>
            <w:r>
              <w:rPr>
                <w:rFonts w:eastAsia="Calibri" w:cs="Calibri" w:cstheme="minorHAnsi"/>
                <w:color w:val="FF4000"/>
                <w:kern w:val="0"/>
                <w:sz w:val="20"/>
                <w:szCs w:val="20"/>
                <w:lang w:val="pt-BR" w:eastAsia="en-US" w:bidi="ar-SA"/>
              </w:rPr>
              <w:t>Leitura em conjunto, análise em conjunto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16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17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rFonts w:ascii="Calibri" w:hAnsi="Calibri"/>
                <w:color w:val="729FCF"/>
              </w:rPr>
            </w:pPr>
            <w:r>
              <w:rPr>
                <w:rFonts w:eastAsia="Calibri" w:cs=""/>
                <w:color w:val="729FCF"/>
                <w:kern w:val="0"/>
                <w:sz w:val="22"/>
                <w:szCs w:val="22"/>
                <w:lang w:val="pt-BR" w:eastAsia="en-US" w:bidi="ar-SA"/>
              </w:rPr>
              <w:t>16/09/24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729FCF"/>
                <w:sz w:val="22"/>
                <w:szCs w:val="20"/>
              </w:rPr>
            </w:pPr>
            <w:r>
              <w:rPr>
                <w:rFonts w:cs="Calibri" w:cstheme="minorHAnsi"/>
                <w:color w:val="729FCF"/>
                <w:sz w:val="22"/>
                <w:szCs w:val="20"/>
              </w:rPr>
              <w:t>Avaliação – Scrum – quest</w:t>
            </w:r>
            <w:r>
              <w:rPr>
                <w:rFonts w:eastAsia="Calibri" w:cs="Calibri" w:cstheme="minorHAnsi"/>
                <w:color w:val="729FCF"/>
                <w:kern w:val="0"/>
                <w:sz w:val="22"/>
                <w:szCs w:val="20"/>
                <w:lang w:val="pt-BR" w:eastAsia="en-US" w:bidi="ar-SA"/>
              </w:rPr>
              <w:t>ões formais Scrum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18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729FCF"/>
                <w:sz w:val="22"/>
                <w:szCs w:val="20"/>
              </w:rPr>
            </w:pPr>
            <w:r>
              <w:rPr>
                <w:rFonts w:cs="Calibri" w:cstheme="minorHAnsi"/>
                <w:color w:val="729FCF"/>
                <w:sz w:val="22"/>
                <w:szCs w:val="20"/>
              </w:rPr>
              <w:t>Avaliação – Scrum – quest</w:t>
            </w:r>
            <w:r>
              <w:rPr>
                <w:rFonts w:eastAsia="Calibri" w:cs="Calibri" w:cstheme="minorHAnsi"/>
                <w:color w:val="729FCF"/>
                <w:kern w:val="0"/>
                <w:sz w:val="22"/>
                <w:szCs w:val="20"/>
                <w:lang w:val="pt-BR" w:eastAsia="en-US" w:bidi="ar-SA"/>
              </w:rPr>
              <w:t>ões formais Scrum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19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23/09/24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Devolutiva e exercício Scrum em conjunto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20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729FCF"/>
                <w:sz w:val="22"/>
                <w:szCs w:val="20"/>
              </w:rPr>
            </w:pPr>
            <w:r>
              <w:rPr>
                <w:rFonts w:cs="Calibri" w:cstheme="minorHAnsi"/>
                <w:color w:val="729FCF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Aula 21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rFonts w:ascii="Calibri" w:hAnsi="Calibri"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30/09/24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DevOps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Aula 22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DevOps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23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07/10/24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Uso de Diagramas na Modelagem Ágil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Práticas de Modelagem Ágil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24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C9211E"/>
                <w:sz w:val="22"/>
                <w:szCs w:val="20"/>
              </w:rPr>
            </w:pPr>
            <w:r>
              <w:rPr>
                <w:rFonts w:cs="Calibri" w:cstheme="minorHAnsi"/>
                <w:color w:val="C9211E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25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14/10/24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Est</w:t>
            </w: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órias de Usuário vs Casos de Uso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26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27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21/10/24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Lean - MVP– Te</w:t>
            </w: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órico e prático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28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29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28/10/24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XP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30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31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04/11/24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>Testes e TDD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32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33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11/11/24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  <w:t>Outros Diagramas e pr</w:t>
            </w:r>
            <w:r>
              <w:rPr>
                <w:rFonts w:eastAsia="Calibri" w:cs="Calibri" w:cstheme="minorHAnsi"/>
                <w:color w:val="auto"/>
                <w:kern w:val="0"/>
                <w:sz w:val="22"/>
                <w:szCs w:val="20"/>
                <w:lang w:val="pt-BR" w:eastAsia="en-US" w:bidi="ar-SA"/>
              </w:rPr>
              <w:t xml:space="preserve">áticas – </w:t>
            </w:r>
            <w:r>
              <w:rPr>
                <w:rFonts w:eastAsia="Calibri" w:cs="Calibri" w:cstheme="minorHAnsi"/>
                <w:color w:val="FF4000"/>
                <w:kern w:val="0"/>
                <w:sz w:val="22"/>
                <w:szCs w:val="20"/>
                <w:lang w:val="pt-BR" w:eastAsia="en-US" w:bidi="ar-SA"/>
              </w:rPr>
              <w:t>Apresentação do trabalho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34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4000"/>
                <w:sz w:val="22"/>
                <w:szCs w:val="20"/>
              </w:rPr>
            </w:pPr>
            <w:r>
              <w:rPr>
                <w:rFonts w:cs="Calibri" w:cstheme="minorHAnsi"/>
                <w:color w:val="FF4000"/>
                <w:sz w:val="22"/>
                <w:szCs w:val="20"/>
              </w:rPr>
              <w:t>Revis</w:t>
            </w:r>
            <w:r>
              <w:rPr>
                <w:rFonts w:eastAsia="Calibri" w:cs="Calibri" w:cstheme="minorHAnsi"/>
                <w:color w:val="FF4000"/>
                <w:kern w:val="0"/>
                <w:sz w:val="22"/>
                <w:szCs w:val="20"/>
                <w:lang w:val="pt-BR" w:eastAsia="en-US" w:bidi="ar-SA"/>
              </w:rPr>
              <w:t>ão – Trabalho em grupo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4000"/>
                <w:sz w:val="22"/>
                <w:szCs w:val="20"/>
              </w:rPr>
            </w:pPr>
            <w:r>
              <w:rPr>
                <w:rFonts w:eastAsia="Calibri" w:cs="Calibri" w:cstheme="minorHAnsi"/>
                <w:color w:val="FF4000"/>
                <w:kern w:val="0"/>
                <w:sz w:val="22"/>
                <w:szCs w:val="20"/>
                <w:lang w:val="pt-BR" w:eastAsia="en-US" w:bidi="ar-SA"/>
              </w:rPr>
              <w:t>Revisão dos Métodos Ágeis mais Populares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4000"/>
                <w:sz w:val="22"/>
                <w:szCs w:val="20"/>
              </w:rPr>
            </w:pPr>
            <w:r>
              <w:rPr>
                <w:rFonts w:eastAsia="Calibri" w:cs="Calibri" w:cstheme="minorHAnsi"/>
                <w:color w:val="FF4000"/>
                <w:kern w:val="0"/>
                <w:sz w:val="22"/>
                <w:szCs w:val="20"/>
                <w:lang w:val="pt-BR" w:eastAsia="en-US" w:bidi="ar-SA"/>
              </w:rPr>
              <w:t>Comparação de Abordagens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FF4000"/>
                <w:sz w:val="22"/>
                <w:szCs w:val="20"/>
              </w:rPr>
            </w:pPr>
            <w:r>
              <w:rPr>
                <w:rFonts w:eastAsia="Calibri" w:cs="Calibri" w:cstheme="minorHAnsi"/>
                <w:color w:val="FF4000"/>
                <w:kern w:val="0"/>
                <w:sz w:val="22"/>
                <w:szCs w:val="20"/>
                <w:lang w:val="pt-BR" w:eastAsia="en-US" w:bidi="ar-SA"/>
              </w:rPr>
              <w:t>Escolha de Métodos para Contextos Específicos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35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18/11/24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22"/>
                <w:szCs w:val="20"/>
              </w:rPr>
              <w:t>Revis</w:t>
            </w:r>
            <w:r>
              <w:rPr>
                <w:rFonts w:eastAsia="Calibri" w:cs="Calibri" w:cstheme="minorHAnsi"/>
                <w:color w:val="000000"/>
                <w:kern w:val="0"/>
                <w:sz w:val="22"/>
                <w:szCs w:val="20"/>
                <w:lang w:val="pt-BR" w:eastAsia="en-US" w:bidi="ar-SA"/>
              </w:rPr>
              <w:t>ão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36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22"/>
                <w:szCs w:val="20"/>
              </w:rPr>
              <w:t>Revis</w:t>
            </w:r>
            <w:r>
              <w:rPr>
                <w:rFonts w:eastAsia="Calibri" w:cs="Calibri" w:cstheme="minorHAnsi"/>
                <w:color w:val="000000"/>
                <w:kern w:val="0"/>
                <w:sz w:val="22"/>
                <w:szCs w:val="20"/>
                <w:lang w:val="pt-BR" w:eastAsia="en-US" w:bidi="ar-SA"/>
              </w:rPr>
              <w:t>ão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37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t-BR" w:eastAsia="en-US" w:bidi="ar-SA"/>
              </w:rPr>
              <w:t>25/11/24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729FCF"/>
                <w:sz w:val="22"/>
                <w:szCs w:val="20"/>
              </w:rPr>
            </w:pPr>
            <w:r>
              <w:rPr>
                <w:rFonts w:cs="Calibri" w:cstheme="minorHAnsi"/>
                <w:color w:val="729FCF"/>
                <w:sz w:val="22"/>
                <w:szCs w:val="20"/>
              </w:rPr>
              <w:t>Avaliação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38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729FCF"/>
                <w:sz w:val="22"/>
                <w:szCs w:val="20"/>
              </w:rPr>
            </w:pPr>
            <w:r>
              <w:rPr>
                <w:rFonts w:cs="Calibri" w:cstheme="minorHAnsi"/>
                <w:color w:val="729FCF"/>
                <w:sz w:val="22"/>
                <w:szCs w:val="20"/>
              </w:rPr>
              <w:t>Avaliação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39</w:t>
            </w:r>
          </w:p>
        </w:tc>
        <w:tc>
          <w:tcPr>
            <w:tcW w:w="1417" w:type="dxa"/>
            <w:vMerge w:val="restart"/>
            <w:tcBorders>
              <w:top w:val="nil"/>
            </w:tcBorders>
          </w:tcPr>
          <w:p>
            <w:pPr>
              <w:pStyle w:val="Contedodatabela"/>
              <w:widowControl w:val="false"/>
              <w:suppressAutoHyphens w:val="true"/>
              <w:spacing w:lineRule="auto" w:line="240" w:before="0" w:after="160"/>
              <w:jc w:val="right"/>
              <w:rPr>
                <w:rFonts w:ascii="Calibri" w:hAnsi="Calibri"/>
                <w:color w:val="729FCF"/>
              </w:rPr>
            </w:pPr>
            <w:r>
              <w:rPr>
                <w:rFonts w:eastAsia="Calibri" w:cs=""/>
                <w:color w:val="729FCF"/>
                <w:kern w:val="0"/>
                <w:sz w:val="22"/>
                <w:szCs w:val="22"/>
                <w:lang w:val="pt-BR" w:eastAsia="en-US" w:bidi="ar-SA"/>
              </w:rPr>
              <w:t>02/12/24</w:t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color w:val="729FCF"/>
                <w:sz w:val="20"/>
                <w:szCs w:val="20"/>
              </w:rPr>
              <w:t>Finais</w:t>
            </w:r>
          </w:p>
        </w:tc>
      </w:tr>
      <w:tr>
        <w:trPr>
          <w:trHeight w:val="246" w:hRule="atLeast"/>
        </w:trPr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Aula 40</w:t>
            </w:r>
          </w:p>
        </w:tc>
        <w:tc>
          <w:tcPr>
            <w:tcW w:w="1417" w:type="dxa"/>
            <w:vMerge w:val="continue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819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color w:val="729FCF"/>
                <w:sz w:val="20"/>
                <w:szCs w:val="20"/>
              </w:rPr>
            </w:pPr>
            <w:r>
              <w:rPr>
                <w:rFonts w:cs="Calibri" w:cstheme="minorHAnsi"/>
                <w:color w:val="729FCF"/>
                <w:sz w:val="20"/>
                <w:szCs w:val="20"/>
              </w:rPr>
              <w:t>Finais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4"/>
            <w:tcBorders>
              <w:top w:val="nil"/>
            </w:tcBorders>
            <w:shd w:fill="DDDDDD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/>
                <w:b/>
                <w:bCs/>
                <w:color w:val="1F4E79" w:themeColor="accent1" w:themeShade="80"/>
                <w:kern w:val="0"/>
                <w:sz w:val="20"/>
                <w:szCs w:val="20"/>
                <w:highlight w:val="none"/>
                <w:shd w:fill="DDDDDD" w:val="clear"/>
                <w:lang w:val="pt-BR" w:eastAsia="en-US" w:bidi="ar-SA"/>
              </w:rPr>
            </w:pPr>
            <w:r>
              <w:rPr>
                <w:rFonts w:eastAsia="Calibri" w:cs="Calibri" w:cstheme="minorHAnsi"/>
                <w:b/>
                <w:bCs/>
                <w:color w:val="1F4E79" w:themeColor="accent1" w:themeShade="80"/>
                <w:kern w:val="0"/>
                <w:sz w:val="20"/>
                <w:szCs w:val="20"/>
                <w:shd w:fill="DDDDDD" w:val="clear"/>
                <w:lang w:val="pt-BR" w:eastAsia="en-US" w:bidi="ar-SA"/>
              </w:rPr>
              <w:t>BIBLIOGRAFIAS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4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B</w:t>
            </w:r>
            <w:r>
              <w:rPr>
                <w:rFonts w:eastAsia="Calibri" w:cs="Calibri" w:cstheme="minorHAnsi"/>
                <w:color w:val="auto"/>
                <w:kern w:val="0"/>
                <w:sz w:val="20"/>
                <w:szCs w:val="20"/>
                <w:lang w:val="pt-BR" w:eastAsia="en-US" w:bidi="ar-SA"/>
              </w:rPr>
              <w:t>ásica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4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PRESSMAN, Roger S.; MAXIM, Bruce R.; ARAKAKI, Julio. Engenharia 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software: uma abordagem profissional. 8. ed. Porto Alegre: MacGraw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Hill, 2016.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SOMMERVILLE, Ian. Engenharia de software. 9. ed. São Paulo: Pearson,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2011.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MARTINS, J. C. C. Gerenciamento de projetos de desenvolvimento 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cstheme="minorHAnsi"/>
                <w:b w:val="false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auto"/>
                <w:kern w:val="0"/>
                <w:sz w:val="20"/>
                <w:szCs w:val="20"/>
                <w:lang w:val="pt-BR" w:eastAsia="en-US" w:bidi="ar-SA"/>
              </w:rPr>
              <w:t>software com PMI, RUP E UML. Rio de Janeiro: Brasport, 2010.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4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Complementares</w:t>
            </w:r>
          </w:p>
        </w:tc>
      </w:tr>
      <w:tr>
        <w:trPr>
          <w:trHeight w:val="246" w:hRule="atLeast"/>
        </w:trPr>
        <w:tc>
          <w:tcPr>
            <w:tcW w:w="10743" w:type="dxa"/>
            <w:gridSpan w:val="4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  <w:t>DEBASTIANI, CARLOS ALBERTO. Definindo escopo em projetos de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  <w:t>software. São Paulo: Novatec, 2016.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  <w:t>ANICHE, MAURÍCIO. Testes automatizados de software: um guia prático.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  <w:t>São Paulo: Casa do Código, 2015.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SCHULTZ, CHARLES P.; BRYANT, ROBERT; RIOS, EMERSON. MOREIRA,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TRAYAHÚ. Teste de software. 3. ed. Rio de Janeiro: Alta Books. 2013.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SBROCCO, JOSÉ HENRIQUE T. C.; MACEDO, PAULO CESAR DE.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Metodologias ágeis – engenharia de software sob medida. São Paulo: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Érica, 2012.</w:t>
            </w:r>
          </w:p>
        </w:tc>
      </w:tr>
      <w:tr>
        <w:trPr>
          <w:trHeight w:val="261" w:hRule="atLeast"/>
        </w:trPr>
        <w:tc>
          <w:tcPr>
            <w:tcW w:w="10743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color w:val="1F4E79" w:themeColor="accent1" w:themeShade="80"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bCs/>
                <w:color w:val="1F4E79" w:themeColor="accent1" w:themeShade="80"/>
                <w:kern w:val="0"/>
                <w:sz w:val="20"/>
                <w:szCs w:val="20"/>
                <w:lang w:val="pt-BR" w:eastAsia="en-US" w:bidi="ar-SA"/>
              </w:rPr>
              <w:t>CONTEÚDO COMPLEMENTAR DO DIÁRIO</w:t>
            </w:r>
          </w:p>
        </w:tc>
      </w:tr>
      <w:tr>
        <w:trPr>
          <w:trHeight w:val="509" w:hRule="atLeast"/>
        </w:trPr>
        <w:tc>
          <w:tcPr>
            <w:tcW w:w="10743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i/>
                <w:iCs/>
                <w:kern w:val="0"/>
                <w:sz w:val="20"/>
                <w:szCs w:val="20"/>
                <w:lang w:val="pt-BR" w:eastAsia="en-US" w:bidi="ar-SA"/>
              </w:rPr>
              <w:t>Registrar outras referências e bibliografias utilizadas por aula, bem como, outros recursos didáticos além dos já estabelecidos para a disciplina no PPC.</w:t>
            </w:r>
          </w:p>
        </w:tc>
      </w:tr>
      <w:tr>
        <w:trPr>
          <w:trHeight w:val="1034" w:hRule="atLeast"/>
        </w:trPr>
        <w:tc>
          <w:tcPr>
            <w:tcW w:w="603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Professor: 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Coordenador:_________________________________________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Aprovado em:_________/_________/________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  <w:tc>
          <w:tcPr>
            <w:tcW w:w="47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t-BR" w:eastAsia="en-US" w:bidi="ar-SA"/>
              </w:rPr>
              <w:t>Data do plano cadastrado no sistema acadêmico:</w:t>
              <w:br/>
              <w:t>________/ ________/________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2"/>
                <w:szCs w:val="20"/>
              </w:rPr>
            </w:r>
          </w:p>
        </w:tc>
      </w:tr>
    </w:tbl>
    <w:p>
      <w:pPr>
        <w:pStyle w:val="ListParagraph"/>
        <w:ind w:lef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ind w:left="0" w:hanging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701" w:right="1274" w:gutter="0" w:header="708" w:top="1971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5" wp14:anchorId="22CF84BE">
              <wp:simplePos x="0" y="0"/>
              <wp:positionH relativeFrom="column">
                <wp:posOffset>-1122680</wp:posOffset>
              </wp:positionH>
              <wp:positionV relativeFrom="paragraph">
                <wp:posOffset>-438785</wp:posOffset>
              </wp:positionV>
              <wp:extent cx="2068195" cy="2920365"/>
              <wp:effectExtent l="0" t="0" r="0" b="0"/>
              <wp:wrapNone/>
              <wp:docPr id="1" name="Agrupar 1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68200" cy="2920320"/>
                        <a:chOff x="0" y="0"/>
                        <a:chExt cx="2068200" cy="2920320"/>
                      </a:xfrm>
                    </wpg:grpSpPr>
                    <pic:pic xmlns:pic="http://schemas.openxmlformats.org/drawingml/2006/picture">
                      <pic:nvPicPr>
                        <pic:cNvPr id="0" name="Picture 42110" descr=""/>
                        <pic:cNvPicPr/>
                      </pic:nvPicPr>
                      <pic:blipFill>
                        <a:blip r:embed="rId1"/>
                        <a:srcRect l="0" t="0" r="43040" b="35899"/>
                        <a:stretch/>
                      </pic:blipFill>
                      <pic:spPr>
                        <a:xfrm>
                          <a:off x="0" y="0"/>
                          <a:ext cx="1545480" cy="2833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SpPr/>
                      <wps:spPr>
                        <a:xfrm rot="10800000">
                          <a:off x="925200" y="9000"/>
                          <a:ext cx="1113120" cy="137844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36"/>
                                <w:spacing w:val="0"/>
                                <w:vertAlign w:val="baseline"/>
                                <w:position w:val="0"/>
                                <w:sz w:val="3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36"/>
                                <w:rFonts w:asciiTheme="minorHAnsi" w:cstheme="minorBidi" w:eastAsiaTheme="minorHAnsi" w:hAnsiTheme="minorHAnsi" w:eastAsia="Calibri" w:ascii="Calibri" w:hAnsi="Calibri"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 rot="10800000">
                          <a:off x="505440" y="2116440"/>
                          <a:ext cx="1113120" cy="80388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36"/>
                                <w:spacing w:val="0"/>
                                <w:vertAlign w:val="baseline"/>
                                <w:position w:val="0"/>
                                <w:sz w:val="3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36"/>
                                <w:rFonts w:asciiTheme="minorHAnsi" w:cstheme="minorBidi" w:eastAsiaTheme="minorHAnsi" w:hAnsiTheme="minorHAnsi" w:eastAsia="Calibri" w:ascii="Calibri" w:hAnsi="Calibri"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 rot="10800000">
                          <a:off x="475560" y="1800360"/>
                          <a:ext cx="1113120" cy="80388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36"/>
                                <w:spacing w:val="0"/>
                                <w:vertAlign w:val="baseline"/>
                                <w:position w:val="0"/>
                                <w:sz w:val="3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36"/>
                                <w:rFonts w:asciiTheme="minorHAnsi" w:cstheme="minorBidi" w:eastAsiaTheme="minorHAnsi" w:hAnsiTheme="minorHAnsi" w:eastAsia="Calibri" w:ascii="Calibri" w:hAnsi="Calibri"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 rot="10800000">
                          <a:off x="955080" y="1257480"/>
                          <a:ext cx="1113120" cy="803880"/>
                        </a:xfrm>
                        <a:prstGeom prst="homePlat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36"/>
                                <w:spacing w:val="0"/>
                                <w:vertAlign w:val="baseline"/>
                                <w:position w:val="0"/>
                                <w:sz w:val="3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36"/>
                                <w:rFonts w:asciiTheme="minorHAnsi" w:cstheme="minorBidi" w:eastAsiaTheme="minorHAnsi" w:hAnsiTheme="minorHAnsi" w:eastAsia="Calibri" w:ascii="Calibri" w:hAnsi="Calibri"/>
                                <w:color w:val="FFFFFF"/>
                              </w:rPr>
                              <w:t>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wps:wsp>
                      <wps:cNvSpPr/>
                      <wps:spPr>
                        <a:xfrm rot="10800000">
                          <a:off x="705600" y="1195560"/>
                          <a:ext cx="749160" cy="417960"/>
                        </a:xfrm>
                        <a:prstGeom prst="triangle">
                          <a:avLst>
                            <a:gd name="adj" fmla="val 5052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10800000">
                          <a:off x="883440" y="1586160"/>
                          <a:ext cx="165240" cy="88920"/>
                        </a:xfrm>
                        <a:prstGeom prst="triangle">
                          <a:avLst>
                            <a:gd name="adj" fmla="val 5052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Agrupar 12" style="position:absolute;margin-left:-88.4pt;margin-top:-34.55pt;width:162.8pt;height:229.9pt" coordorigin="-1768,-691" coordsize="3256,45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2110" stroked="f" o:allowincell="f" style="position:absolute;left:-1768;top:-691;width:2433;height:4462;mso-wrap-style:none;v-text-anchor:middle" type="_x0000_t75">
                <v:imagedata r:id="rId1" o:detectmouseclick="t"/>
                <v:stroke color="#3465a4" joinstyle="round" endcap="flat"/>
                <w10:wrap type="none"/>
              </v:shape>
              <v:shapetype id="_x0000_t15" coordsize="21600,21600" o:spt="15" adj="10800" path="m,l@2,l21600,10800l@2,21600l,21600xe">
                <v:stroke joinstyle="miter"/>
                <v:formulas>
                  <v:f eqn="val 21600"/>
                  <v:f eqn="val #0"/>
                  <v:f eqn="sum width 0 @1"/>
                  <v:f eqn="sum @2 width 0"/>
                  <v:f eqn="prod 1 @3 2"/>
                  <v:f eqn="prod @2 1 2"/>
                </v:formulas>
                <v:path gradientshapeok="t" o:connecttype="rect" textboxrect="0,0,@4,21600"/>
                <v:handles>
                  <v:h position="@2,0"/>
                </v:handles>
              </v:shapetype>
              <v:shape id="shape_0" path="m0,0l-2147483639,0l-2147483633,-2147483635l-2147483639,-2147483634l0,-2147483634xe" fillcolor="white" stroked="f" o:allowincell="f" style="position:absolute;left:-311;top:-677;width:1752;height:2170;mso-wrap-style:square;v-text-anchor:middle;rotation:180" type="_x0000_t15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36"/>
                          <w:spacing w:val="0"/>
                          <w:vertAlign w:val="baseline"/>
                          <w:position w:val="0"/>
                          <w:sz w:val="3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36"/>
                          <w:rFonts w:asciiTheme="minorHAnsi" w:cstheme="minorBidi" w:eastAsiaTheme="minorHAnsi" w:hAnsiTheme="minorHAnsi" w:eastAsia="Calibri" w:ascii="Calibri" w:hAnsi="Calibri"/>
                          <w:color w:val="FFFFFF"/>
                        </w:rPr>
                        <w:t>0</w:t>
                      </w:r>
                    </w:p>
                  </w:txbxContent>
                </v:textbox>
                <v:fill o:detectmouseclick="t" type="solid" color2="black"/>
                <v:stroke color="#3465a4" weight="12600" joinstyle="miter" endcap="flat"/>
                <w10:wrap type="none"/>
              </v:shape>
              <v:shape id="shape_0" path="m0,0l-2147483639,0l-2147483633,-2147483635l-2147483639,-2147483634l0,-2147483634xe" fillcolor="white" stroked="f" o:allowincell="f" style="position:absolute;left:-972;top:2642;width:1752;height:1265;mso-wrap-style:square;v-text-anchor:middle;rotation:180" type="_x0000_t15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36"/>
                          <w:spacing w:val="0"/>
                          <w:vertAlign w:val="baseline"/>
                          <w:position w:val="0"/>
                          <w:sz w:val="3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36"/>
                          <w:rFonts w:asciiTheme="minorHAnsi" w:cstheme="minorBidi" w:eastAsiaTheme="minorHAnsi" w:hAnsiTheme="minorHAnsi" w:eastAsia="Calibri" w:ascii="Calibri" w:hAnsi="Calibri"/>
                          <w:color w:val="FFFFFF"/>
                        </w:rPr>
                        <w:t>0</w:t>
                      </w:r>
                    </w:p>
                  </w:txbxContent>
                </v:textbox>
                <v:fill o:detectmouseclick="t" type="solid" color2="black"/>
                <v:stroke color="#3465a4" weight="12600" joinstyle="miter" endcap="flat"/>
                <w10:wrap type="none"/>
              </v:shape>
              <v:shape id="shape_0" path="m0,0l-2147483639,0l-2147483633,-2147483635l-2147483639,-2147483634l0,-2147483634xe" fillcolor="white" stroked="f" o:allowincell="f" style="position:absolute;left:-1019;top:2144;width:1752;height:1265;mso-wrap-style:square;v-text-anchor:middle;rotation:180" type="_x0000_t15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36"/>
                          <w:spacing w:val="0"/>
                          <w:vertAlign w:val="baseline"/>
                          <w:position w:val="0"/>
                          <w:sz w:val="3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36"/>
                          <w:rFonts w:asciiTheme="minorHAnsi" w:cstheme="minorBidi" w:eastAsiaTheme="minorHAnsi" w:hAnsiTheme="minorHAnsi" w:eastAsia="Calibri" w:ascii="Calibri" w:hAnsi="Calibri"/>
                          <w:color w:val="FFFFFF"/>
                        </w:rPr>
                        <w:t>0</w:t>
                      </w:r>
                    </w:p>
                  </w:txbxContent>
                </v:textbox>
                <v:fill o:detectmouseclick="t" type="solid" color2="black"/>
                <v:stroke color="#3465a4" weight="12600" joinstyle="miter" endcap="flat"/>
                <w10:wrap type="none"/>
              </v:shape>
              <v:shape id="shape_0" path="m0,0l-2147483639,0l-2147483633,-2147483635l-2147483639,-2147483634l0,-2147483634xe" fillcolor="white" stroked="f" o:allowincell="f" style="position:absolute;left:-264;top:1289;width:1752;height:1265;mso-wrap-style:square;v-text-anchor:middle;rotation:180" type="_x0000_t15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36"/>
                          <w:spacing w:val="0"/>
                          <w:vertAlign w:val="baseline"/>
                          <w:position w:val="0"/>
                          <w:sz w:val="3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36"/>
                          <w:rFonts w:asciiTheme="minorHAnsi" w:cstheme="minorBidi" w:eastAsiaTheme="minorHAnsi" w:hAnsiTheme="minorHAnsi" w:eastAsia="Calibri" w:ascii="Calibri" w:hAnsi="Calibri"/>
                          <w:color w:val="FFFFFF"/>
                        </w:rPr>
                        <w:t>0</w:t>
                      </w:r>
                    </w:p>
                  </w:txbxContent>
                </v:textbox>
                <v:fill o:detectmouseclick="t" type="solid" color2="black"/>
                <v:stroke color="#3465a4" weight="12600" joinstyle="miter" endcap="flat"/>
                <w10:wrap type="none"/>
              </v:shape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path="l-2147483641,0l-2147483635,-2147483636xe" fillcolor="white" stroked="f" o:allowincell="f" style="position:absolute;left:-657;top:1192;width:1179;height:657;mso-wrap-style:none;v-text-anchor:middle;rotation:180" type="_x0000_t5">
                <v:fill o:detectmouseclick="t" type="solid" color2="black"/>
                <v:stroke color="#3465a4" weight="12600" joinstyle="miter" endcap="flat"/>
                <w10:wrap type="none"/>
              </v:shape>
              <v:shape id="shape_0" path="l-2147483641,0l-2147483635,-2147483636xe" fillcolor="white" stroked="f" o:allowincell="f" style="position:absolute;left:-377;top:1807;width:259;height:139;mso-wrap-style:none;v-text-anchor:middle;rotation:180" type="_x0000_t5">
                <v:fill o:detectmouseclick="t" type="solid" color2="black"/>
                <v:stroke color="#3465a4" weight="12600" joinstyle="miter" endcap="flat"/>
                <w10:wrap type="none"/>
              </v:shape>
            </v:group>
          </w:pict>
        </mc:Fallback>
      </mc:AlternateContent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11430</wp:posOffset>
          </wp:positionH>
          <wp:positionV relativeFrom="paragraph">
            <wp:posOffset>-73025</wp:posOffset>
          </wp:positionV>
          <wp:extent cx="2218690" cy="556260"/>
          <wp:effectExtent l="0" t="0" r="0" b="0"/>
          <wp:wrapNone/>
          <wp:docPr id="2" name="Imagem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1869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204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f0f8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0f8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f5e70"/>
    <w:rPr/>
  </w:style>
  <w:style w:type="character" w:styleId="RodapChar" w:customStyle="1">
    <w:name w:val="Rodapé Char"/>
    <w:basedOn w:val="DefaultParagraphFont"/>
    <w:uiPriority w:val="99"/>
    <w:qFormat/>
    <w:rsid w:val="005f5e70"/>
    <w:rPr/>
  </w:style>
  <w:style w:type="character" w:styleId="Ttulo1Char" w:customStyle="1">
    <w:name w:val="Título 1 Char"/>
    <w:basedOn w:val="DefaultParagraphFont"/>
    <w:qFormat/>
    <w:rsid w:val="007f0f8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7f0f8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b2ed2"/>
    <w:rPr>
      <w:rFonts w:ascii="Segoe UI" w:hAnsi="Segoe UI" w:cs="Segoe UI"/>
      <w:sz w:val="18"/>
      <w:szCs w:val="1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c76b4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f5e7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f5e7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b2ed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372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654C4-6D0D-44F0-9E11-056B1725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5131</TotalTime>
  <Application>LibreOffice/7.3.7.2$Linux_X86_64 LibreOffice_project/30$Build-2</Application>
  <AppVersion>15.0000</AppVersion>
  <Pages>4</Pages>
  <Words>975</Words>
  <Characters>5741</Characters>
  <CharactersWithSpaces>6543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2020-02-12T20:31:00Z</dcterms:created>
  <dc:creator>Ana Carolina Greef</dc:creator>
  <dc:description/>
  <dc:language>pt-BR</dc:language>
  <cp:lastModifiedBy/>
  <cp:lastPrinted>2020-02-12T20:05:00Z</cp:lastPrinted>
  <dcterms:modified xsi:type="dcterms:W3CDTF">2024-07-20T09:34:37Z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