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gif" ContentType="image/gi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400040" cy="1293495"/>
            <wp:effectExtent l="0" t="0" r="0" b="0"/>
            <wp:docPr id="1" name="Imagem 1" descr="E-fólio B: Folha de resolução para E-fólio. Universidade Ab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-fólio B: Folha de resolução para E-fólio. Universidade Abert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Strong"/>
        </w:rPr>
        <w:t>UNIDADE CURRICULAR:</w:t>
      </w:r>
      <w:r>
        <w:rPr/>
        <w:t xml:space="preserve"> Compilação</w:t>
      </w:r>
    </w:p>
    <w:p>
      <w:pPr>
        <w:pStyle w:val="Normal"/>
        <w:rPr/>
      </w:pPr>
      <w:r>
        <w:rPr>
          <w:rStyle w:val="Strong"/>
        </w:rPr>
        <w:t>CÓDIGO:</w:t>
      </w:r>
      <w:r>
        <w:rPr/>
        <w:t xml:space="preserve"> </w:t>
      </w:r>
      <w:r>
        <w:rPr>
          <w:rFonts w:cs="Arial"/>
        </w:rPr>
        <w:t>21018</w:t>
      </w:r>
    </w:p>
    <w:p>
      <w:pPr>
        <w:pStyle w:val="Normal"/>
        <w:rPr/>
      </w:pPr>
      <w:r>
        <w:rPr>
          <w:rStyle w:val="Strong"/>
        </w:rPr>
        <w:t>DOCENTE:</w:t>
      </w:r>
      <w:r>
        <w:rPr/>
        <w:t xml:space="preserve"> Constantino e Rudi</w:t>
      </w:r>
    </w:p>
    <w:p>
      <w:pPr>
        <w:pStyle w:val="Normal"/>
        <w:rPr>
          <w:b/>
          <w:bCs/>
        </w:rPr>
      </w:pPr>
      <w:r>
        <w:rPr>
          <w:b/>
          <w:bCs/>
        </w:rPr>
        <w:t>Grupo: QUADCORE</w:t>
      </w:r>
    </w:p>
    <w:p>
      <w:pPr>
        <w:pStyle w:val="Normal"/>
        <w:rPr>
          <w:b/>
          <w:bCs/>
        </w:rPr>
      </w:pPr>
      <w:r>
        <w:rPr>
          <w:b/>
          <w:bCs/>
        </w:rPr>
        <w:t>João Rodrigues (2203474)</w:t>
      </w:r>
    </w:p>
    <w:p>
      <w:pPr>
        <w:pStyle w:val="Normal"/>
        <w:rPr>
          <w:b/>
          <w:bCs/>
        </w:rPr>
      </w:pPr>
      <w:r>
        <w:rPr>
          <w:b/>
          <w:bCs/>
        </w:rPr>
        <w:t>Maria Costa (2304361)</w:t>
      </w:r>
    </w:p>
    <w:p>
      <w:pPr>
        <w:pStyle w:val="Normal"/>
        <w:rPr>
          <w:b/>
          <w:bCs/>
        </w:rPr>
      </w:pPr>
      <w:r>
        <w:rPr>
          <w:b/>
          <w:bCs/>
        </w:rPr>
        <w:t>Nuno Rolo (1900405)</w:t>
      </w:r>
    </w:p>
    <w:p>
      <w:pPr>
        <w:pStyle w:val="Normal"/>
        <w:rPr>
          <w:rStyle w:val="Strong"/>
        </w:rPr>
      </w:pPr>
      <w:r>
        <w:rPr>
          <w:rStyle w:val="Strong"/>
        </w:rPr>
        <w:t>Fábio Oliveira (1800960)</w:t>
      </w:r>
    </w:p>
    <w:p>
      <w:pPr>
        <w:pStyle w:val="Normal"/>
        <w:rPr/>
      </w:pPr>
      <w:r>
        <w:rPr>
          <w:rStyle w:val="Strong"/>
        </w:rPr>
        <w:t>CURSO:</w:t>
      </w:r>
      <w:r>
        <w:rPr/>
        <w:t xml:space="preserve"> Licenciatura em Engenharia Informática</w:t>
      </w:r>
    </w:p>
    <w:p>
      <w:pPr>
        <w:pStyle w:val="Normal"/>
        <w:rPr/>
      </w:pPr>
      <w:r>
        <w:rPr>
          <w:rStyle w:val="Strong"/>
        </w:rPr>
        <w:t>DATA DE ENTREGA:</w:t>
      </w:r>
      <w:r>
        <w:rPr/>
        <w:t xml:space="preserve"> 05/2026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shd w:val="clear" w:color="auto" w:fill="FFFFFF"/>
        <w:spacing w:before="150" w:after="480"/>
        <w:jc w:val="center"/>
        <w:rPr>
          <w:rFonts w:ascii="Segoe UI" w:hAnsi="Segoe UI" w:cs="Segoe UI"/>
          <w:color w:val="1D2125"/>
          <w:sz w:val="48"/>
          <w:szCs w:val="48"/>
          <w:lang w:eastAsia="pt-PT"/>
        </w:rPr>
      </w:pPr>
      <w:r>
        <w:rPr>
          <w:rFonts w:cs="Segoe UI" w:ascii="Segoe UI" w:hAnsi="Segoe UI"/>
          <w:color w:val="1D2125"/>
          <w:sz w:val="48"/>
          <w:szCs w:val="48"/>
          <w:lang w:eastAsia="pt-PT"/>
        </w:rPr>
        <w:t>RELATÓRIO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Heading1"/>
        <w:spacing w:before="0" w:after="480"/>
        <w:rPr>
          <w:sz w:val="20"/>
          <w:szCs w:val="20"/>
        </w:rPr>
      </w:pPr>
      <w:bookmarkStart w:id="0" w:name="introdução"/>
      <w:bookmarkEnd w:id="0"/>
      <w:r>
        <w:rPr>
          <w:color w:themeColor="text1" w:val="000000"/>
          <w:sz w:val="20"/>
          <w:szCs w:val="20"/>
        </w:rPr>
        <w:t>1. Introdução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presente relatório descreve o desenvolvimento do compilador para a linguagem MOCP, realizado no âmbito do E-Fólio B da unidade curricular 21018 - Compilação.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projeto teve como principal objetivo implementar um compilador modular e progressivamente estruturado, capaz de realizar as diferentes fases clássicas de compilação, nomeadamente: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léxica;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sintática;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construção da árvore sintática abstrata (AST);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semântica;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geração de código intermédio TAC (Three Address Code);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otimização do código intermédio.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solução foi desenvolvida em Python, recorrendo ao ANTLR4 para geração automática do lexer e parser, sendo posteriormente construída uma arquitetura modular composta por múltiplos componentes especializados.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Ao longo do desenvolvimento procurou-se garantir: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robustez da análise;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modularidade do código;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clareza estrutural;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facilidade de manutenção;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conformidade com os requisitos da linguagem MOCP;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deteção controlada de erros;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separação clara das diferentes fases do compilador.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Foi igualmente dada especial atenção à componente de otimização do código intermédio, incluindo técnicas clássicas como constant folding, propagação de constantes, simplificação algébrica e eliminação conservadora de código morto.</w:t>
      </w:r>
    </w:p>
    <w:p>
      <w:pPr>
        <w:pStyle w:val="Heading1"/>
        <w:rPr>
          <w:sz w:val="20"/>
          <w:szCs w:val="20"/>
        </w:rPr>
      </w:pPr>
      <w:bookmarkStart w:id="1" w:name="introdução_Copy_1"/>
      <w:bookmarkStart w:id="2" w:name="arquitetura-geral-do-compilador"/>
      <w:bookmarkEnd w:id="1"/>
      <w:bookmarkEnd w:id="2"/>
      <w:r>
        <w:rPr>
          <w:color w:themeColor="text1" w:val="000000"/>
          <w:sz w:val="20"/>
          <w:szCs w:val="20"/>
        </w:rPr>
        <w:t>2. Arquitetura Geral do Compilador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compilador desenvolvido segue uma arquitetura pipeline tradicional, composta pelas seguintes etapas:</w:t>
      </w:r>
    </w:p>
    <w:p>
      <w:pPr>
        <w:pStyle w:val="Compact"/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Leitura do ficheiro fonte;</w:t>
      </w:r>
    </w:p>
    <w:p>
      <w:pPr>
        <w:pStyle w:val="Compact"/>
        <w:numPr>
          <w:ilvl w:val="0"/>
          <w:numId w:val="14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léxica;</w:t>
      </w:r>
    </w:p>
    <w:p>
      <w:pPr>
        <w:pStyle w:val="Compact"/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sintática;</w:t>
      </w:r>
    </w:p>
    <w:p>
      <w:pPr>
        <w:pStyle w:val="Compact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Construção da AST;</w:t>
      </w:r>
    </w:p>
    <w:p>
      <w:pPr>
        <w:pStyle w:val="Compact"/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semântica;</w:t>
      </w:r>
    </w:p>
    <w:p>
      <w:pPr>
        <w:pStyle w:val="Compact"/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Geração de TAC;</w:t>
      </w:r>
    </w:p>
    <w:p>
      <w:pPr>
        <w:pStyle w:val="Compact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Otimização de TAC.</w:t>
      </w:r>
    </w:p>
    <w:p>
      <w:pPr>
        <w:pStyle w:val="FirstParagraph"/>
        <w:jc w:val="both"/>
        <w:rPr/>
      </w:pPr>
      <w:r>
        <w:rPr>
          <w:sz w:val="20"/>
          <w:szCs w:val="20"/>
          <w:lang w:val="pt-PT"/>
        </w:rPr>
        <w:t xml:space="preserve">A execução principal é coordenada através do ficheiro </w:t>
      </w:r>
      <w:r>
        <w:rPr>
          <w:rStyle w:val="VerbatimChar"/>
          <w:sz w:val="20"/>
          <w:szCs w:val="20"/>
          <w:lang w:val="pt-PT"/>
        </w:rPr>
        <w:t>main.py</w:t>
      </w:r>
      <w:r>
        <w:rPr>
          <w:sz w:val="20"/>
          <w:szCs w:val="20"/>
          <w:lang w:val="pt-PT"/>
        </w:rPr>
        <w:t>, responsável pela integração de todos os módulos do sistema.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estrutura modular do projeto encontra-se organizada da seguinte forma:</w:t>
      </w:r>
    </w:p>
    <w:p>
      <w:pPr>
        <w:pStyle w:val="SourceCode"/>
        <w:jc w:val="both"/>
        <w:rPr/>
      </w:pPr>
      <w:r>
        <w:rPr>
          <w:rStyle w:val="VerbatimChar"/>
          <w:sz w:val="20"/>
          <w:szCs w:val="20"/>
          <w:lang w:val="en-GB"/>
        </w:rPr>
        <w:t>main.py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MOCP.g4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ast_nodes.py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ast_builder.py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semantic.py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tac.py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tac_generator.py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optimizer.py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error_handler.py</w:t>
      </w:r>
      <w:r>
        <w:rPr>
          <w:sz w:val="20"/>
          <w:szCs w:val="20"/>
          <w:lang w:val="en-GB"/>
        </w:rPr>
        <w:br/>
      </w:r>
      <w:r>
        <w:rPr>
          <w:rStyle w:val="VerbatimChar"/>
          <w:sz w:val="20"/>
          <w:szCs w:val="20"/>
          <w:lang w:val="en-GB"/>
        </w:rPr>
        <w:t>run_tests.py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Cada módulo possui responsabilidades específicas e independentes, promovendo uma arquitetura limpa e facilmente extensível.</w:t>
      </w:r>
    </w:p>
    <w:p>
      <w:pPr>
        <w:pStyle w:val="Heading1"/>
        <w:rPr>
          <w:sz w:val="20"/>
          <w:szCs w:val="20"/>
        </w:rPr>
      </w:pPr>
      <w:bookmarkStart w:id="3" w:name="arquitetura-geral-do-compilador_Copy_1"/>
      <w:bookmarkStart w:id="4" w:name="análise-léxica-e-sintática"/>
      <w:bookmarkEnd w:id="3"/>
      <w:bookmarkEnd w:id="4"/>
      <w:r>
        <w:rPr>
          <w:color w:themeColor="text1" w:val="000000"/>
          <w:sz w:val="20"/>
          <w:szCs w:val="20"/>
        </w:rPr>
        <w:t>3. Análise Léxica e Sintática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análise léxica e sintática foi implementada com recurso ao ANTLR4.</w:t>
      </w:r>
    </w:p>
    <w:p>
      <w:pPr>
        <w:pStyle w:val="BodyText"/>
        <w:jc w:val="both"/>
        <w:rPr/>
      </w:pPr>
      <w:r>
        <w:rPr>
          <w:sz w:val="20"/>
          <w:szCs w:val="20"/>
          <w:lang w:val="pt-PT"/>
        </w:rPr>
        <w:t xml:space="preserve">A gramática da linguagem MOCP foi definida no ficheiro </w:t>
      </w:r>
      <w:r>
        <w:rPr>
          <w:rStyle w:val="VerbatimChar"/>
          <w:sz w:val="20"/>
          <w:szCs w:val="20"/>
          <w:lang w:val="pt-PT"/>
        </w:rPr>
        <w:t>MOCP.g4</w:t>
      </w:r>
      <w:r>
        <w:rPr>
          <w:sz w:val="20"/>
          <w:szCs w:val="20"/>
          <w:lang w:val="pt-PT"/>
        </w:rPr>
        <w:t>, contendo: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definição de tokens;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regras léxicas;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regras sintáticas;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precedência de operadores;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estruturas de controlo;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funções;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vetores;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expressões;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condições lógicas.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lexer foi configurado para: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detetar caracteres inválidos;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identificar strings não terminadas;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reconhecer tokens reservados;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impedir construções proibidas da linguagem C.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análise sintática foi implementada através do parser gerado automaticamente pelo ANTLR4.</w:t>
      </w:r>
    </w:p>
    <w:p>
      <w:pPr>
        <w:pStyle w:val="BodyText"/>
        <w:jc w:val="both"/>
        <w:rPr/>
      </w:pPr>
      <w:r>
        <w:rPr>
          <w:sz w:val="20"/>
          <w:szCs w:val="20"/>
          <w:lang w:val="pt-PT"/>
        </w:rPr>
        <w:t xml:space="preserve">Foi ainda desenvolvido um sistema de recolha de erros através da classe </w:t>
      </w:r>
      <w:r>
        <w:rPr>
          <w:rStyle w:val="VerbatimChar"/>
          <w:sz w:val="20"/>
          <w:szCs w:val="20"/>
          <w:lang w:val="pt-PT"/>
        </w:rPr>
        <w:t>CollectingErrorListener</w:t>
      </w:r>
      <w:r>
        <w:rPr>
          <w:sz w:val="20"/>
          <w:szCs w:val="20"/>
          <w:lang w:val="pt-PT"/>
        </w:rPr>
        <w:t>, permitindo apresentar mensagens de erro estruturadas e controladas.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Exemplo de erro léxico detetado: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jc w:val="both"/>
              <w:rPr/>
            </w:pPr>
            <w:r>
              <w:rPr>
                <w:rStyle w:val="VerbatimChar"/>
                <w:sz w:val="20"/>
                <w:szCs w:val="20"/>
              </w:rPr>
              <w:t>[LÉXICO] linha 18, coluna 8: carácter inesperado '@'.</w:t>
            </w:r>
          </w:p>
        </w:tc>
      </w:tr>
    </w:tbl>
    <w:p>
      <w:pPr>
        <w:pStyle w:val="SourceCode"/>
        <w:jc w:val="both"/>
        <w:rPr>
          <w:rStyle w:val="VerbatimChar"/>
          <w:sz w:val="20"/>
          <w:szCs w:val="20"/>
        </w:rPr>
      </w:pPr>
      <w:r>
        <w:rPr/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Exemplo de erro sintático: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jc w:val="both"/>
              <w:rPr/>
            </w:pPr>
            <w:r>
              <w:rPr>
                <w:rStyle w:val="VerbatimChar"/>
                <w:sz w:val="20"/>
                <w:szCs w:val="20"/>
              </w:rPr>
              <w:t>[SINTÁTICO] linha 10, coluna 4: missing ';'</w:t>
            </w:r>
          </w:p>
        </w:tc>
      </w:tr>
    </w:tbl>
    <w:p>
      <w:pPr>
        <w:pStyle w:val="SourceCode"/>
        <w:jc w:val="both"/>
        <w:rPr>
          <w:rStyle w:val="VerbatimChar"/>
          <w:sz w:val="20"/>
          <w:szCs w:val="20"/>
        </w:rPr>
      </w:pPr>
      <w:r>
        <w:rPr/>
      </w:r>
    </w:p>
    <w:p>
      <w:pPr>
        <w:pStyle w:val="Heading1"/>
        <w:rPr>
          <w:sz w:val="20"/>
          <w:szCs w:val="20"/>
        </w:rPr>
      </w:pPr>
      <w:bookmarkStart w:id="5" w:name="análise-léxica-e-sintática_Copy_1"/>
      <w:bookmarkStart w:id="6" w:name="construção-da-ast"/>
      <w:bookmarkEnd w:id="5"/>
      <w:bookmarkEnd w:id="6"/>
      <w:r>
        <w:rPr>
          <w:color w:themeColor="text1" w:val="000000"/>
          <w:sz w:val="20"/>
          <w:szCs w:val="20"/>
        </w:rPr>
        <w:t>4. Construção da AST</w:t>
      </w:r>
    </w:p>
    <w:p>
      <w:pPr>
        <w:pStyle w:val="FirstParagraph"/>
        <w:jc w:val="both"/>
        <w:rPr/>
      </w:pPr>
      <w:r>
        <w:rPr>
          <w:sz w:val="20"/>
          <w:szCs w:val="20"/>
          <w:lang w:val="pt-PT"/>
        </w:rPr>
        <w:t xml:space="preserve">Após a análise sintática, a árvore sintática abstrata (AST) é construída através do módulo </w:t>
      </w:r>
      <w:r>
        <w:rPr>
          <w:rStyle w:val="VerbatimChar"/>
          <w:sz w:val="20"/>
          <w:szCs w:val="20"/>
          <w:lang w:val="pt-PT"/>
        </w:rPr>
        <w:t>ast_builder.py</w:t>
      </w:r>
      <w:r>
        <w:rPr>
          <w:sz w:val="20"/>
          <w:szCs w:val="20"/>
          <w:lang w:val="pt-PT"/>
        </w:rPr>
        <w:t>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Foi implementado o padrão Visitor, permitindo converter a parse tree produzida pelo ANTLR numa representação abstrata mais limpa e semanticamente relevante.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Foram implementados múltiplos tipos de nós, incluindo: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ProgramNode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FunctionDefNode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PrototypeNode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BlockNode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IfStmtNode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WhileStmtNode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ForStmtNode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AssignStmtNode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FunctionCallNode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BinaryExprNode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RelationalCondNode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BinaryLogicalCondNode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ArrayAccessNode</w:t>
      </w:r>
      <w:r>
        <w:rPr>
          <w:sz w:val="20"/>
          <w:szCs w:val="20"/>
        </w:rPr>
        <w:t>;</w:t>
      </w:r>
    </w:p>
    <w:p>
      <w:pPr>
        <w:pStyle w:val="Compact"/>
        <w:numPr>
          <w:ilvl w:val="0"/>
          <w:numId w:val="5"/>
        </w:numPr>
        <w:jc w:val="both"/>
        <w:rPr/>
      </w:pPr>
      <w:r>
        <w:rPr>
          <w:rStyle w:val="VerbatimChar"/>
          <w:sz w:val="20"/>
          <w:szCs w:val="20"/>
        </w:rPr>
        <w:t>CastExprNode</w:t>
      </w:r>
      <w:r>
        <w:rPr>
          <w:sz w:val="20"/>
          <w:szCs w:val="20"/>
        </w:rPr>
        <w:t>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AST produzida é posteriormente utilizada: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pela análise semântica;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pela geração de código intermédio TAC.</w:t>
      </w:r>
    </w:p>
    <w:p>
      <w:pPr>
        <w:pStyle w:val="FirstParagraph"/>
        <w:jc w:val="both"/>
        <w:rPr/>
      </w:pPr>
      <w:r>
        <w:rPr>
          <w:sz w:val="20"/>
          <w:szCs w:val="20"/>
          <w:lang w:val="pt-PT"/>
        </w:rPr>
        <w:t xml:space="preserve">O compilador inclui ainda uma funcionalidade de impressão formatada da AST através do método </w:t>
      </w:r>
      <w:r>
        <w:rPr>
          <w:rStyle w:val="VerbatimChar"/>
          <w:sz w:val="20"/>
          <w:szCs w:val="20"/>
          <w:lang w:val="pt-PT"/>
        </w:rPr>
        <w:t>pretty()</w:t>
      </w:r>
      <w:r>
        <w:rPr>
          <w:sz w:val="20"/>
          <w:szCs w:val="20"/>
          <w:lang w:val="pt-PT"/>
        </w:rPr>
        <w:t>, facilitando significativamente o debugging e validação estrutural.</w:t>
      </w:r>
    </w:p>
    <w:p>
      <w:pPr>
        <w:pStyle w:val="Heading1"/>
        <w:rPr>
          <w:sz w:val="20"/>
          <w:szCs w:val="20"/>
        </w:rPr>
      </w:pPr>
      <w:bookmarkStart w:id="7" w:name="construção-da-ast_Copy_1"/>
      <w:bookmarkStart w:id="8" w:name="análise-semântica"/>
      <w:bookmarkEnd w:id="7"/>
      <w:bookmarkEnd w:id="8"/>
      <w:r>
        <w:rPr>
          <w:color w:themeColor="text1" w:val="000000"/>
          <w:sz w:val="20"/>
          <w:szCs w:val="20"/>
        </w:rPr>
        <w:t>5. Análise Semântica</w:t>
      </w:r>
    </w:p>
    <w:p>
      <w:pPr>
        <w:pStyle w:val="FirstParagraph"/>
        <w:rPr/>
      </w:pPr>
      <w:r>
        <w:rPr>
          <w:sz w:val="20"/>
          <w:szCs w:val="20"/>
          <w:lang w:val="pt-PT"/>
        </w:rPr>
        <w:t xml:space="preserve">A análise semântica foi implementada no módulo </w:t>
      </w:r>
      <w:r>
        <w:rPr>
          <w:rStyle w:val="VerbatimChar"/>
          <w:sz w:val="20"/>
          <w:szCs w:val="20"/>
          <w:lang w:val="pt-PT"/>
        </w:rPr>
        <w:t>semantic.py</w:t>
      </w:r>
      <w:r>
        <w:rPr>
          <w:sz w:val="20"/>
          <w:szCs w:val="20"/>
          <w:lang w:val="pt-PT"/>
        </w:rPr>
        <w:t>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  <w:lang w:val="pt-PT"/>
        </w:rPr>
        <w:t>Esta fase é responsável pela validação lógica e contextual do programa, garantindo que o código fonte respeita as regras semânticas da linguagem.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  <w:lang w:val="pt-PT"/>
        </w:rPr>
        <w:t>Foram implementadas diversas verificações, incluindo: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  <w:lang w:val="pt-PT"/>
        </w:rPr>
        <w:t>utilização de variáveis não declaradas;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redeclaração de identificadores;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validação de tipos;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compatibilidade de atribuições;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  <w:lang w:val="pt-PT"/>
        </w:rPr>
        <w:t>verificação de chamadas de funções;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  <w:lang w:val="pt-PT"/>
        </w:rPr>
        <w:t>validação do número de argumentos;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verificação de vetores;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controlo de escopos.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Foi igualmente desenvolvida uma tabela de símbolos hierárquica, permitindo suporte para múltiplos níveis de escopo.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  <w:lang w:val="pt-PT"/>
        </w:rPr>
        <w:t>Exemplo de erro semântico detetado:</w:t>
      </w:r>
    </w:p>
    <w:p>
      <w:pPr>
        <w:pStyle w:val="SourceCode"/>
        <w:rPr/>
      </w:pPr>
      <w:r>
        <w:rPr>
          <w:rStyle w:val="VerbatimChar"/>
          <w:sz w:val="20"/>
          <w:szCs w:val="20"/>
        </w:rPr>
        <w:t>[SEMÂNTICO] Variável 'y' usada sem declaração prévia.</w:t>
      </w:r>
    </w:p>
    <w:p>
      <w:pPr>
        <w:pStyle w:val="Heading1"/>
        <w:rPr>
          <w:sz w:val="20"/>
          <w:szCs w:val="20"/>
        </w:rPr>
      </w:pPr>
      <w:bookmarkStart w:id="9" w:name="análise-semântica_Copy_1"/>
      <w:bookmarkStart w:id="10" w:name="geração-de-código-intermédio-tac"/>
      <w:bookmarkEnd w:id="9"/>
      <w:bookmarkEnd w:id="10"/>
      <w:r>
        <w:rPr>
          <w:color w:themeColor="text1" w:val="000000"/>
          <w:sz w:val="20"/>
          <w:szCs w:val="20"/>
        </w:rPr>
        <w:t>6. Geração de Código Intermédio TAC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Após validação semântica, o compilador gera código intermédio no formato TAC (Three Address Code).</w:t>
      </w:r>
    </w:p>
    <w:p>
      <w:pPr>
        <w:pStyle w:val="BodyText"/>
        <w:jc w:val="both"/>
        <w:rPr/>
      </w:pPr>
      <w:r>
        <w:rPr>
          <w:sz w:val="20"/>
          <w:szCs w:val="20"/>
          <w:lang w:val="pt-PT"/>
        </w:rPr>
        <w:t xml:space="preserve">A geração TAC foi implementada no módulo </w:t>
      </w:r>
      <w:r>
        <w:rPr>
          <w:rStyle w:val="VerbatimChar"/>
          <w:sz w:val="20"/>
          <w:szCs w:val="20"/>
          <w:lang w:val="pt-PT"/>
        </w:rPr>
        <w:t>tac_generator.py</w:t>
      </w:r>
      <w:r>
        <w:rPr>
          <w:sz w:val="20"/>
          <w:szCs w:val="20"/>
          <w:lang w:val="pt-PT"/>
        </w:rPr>
        <w:t>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código TAC produzido segue uma representação linear baseada em instruções simples, facilitando: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posterior;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otimização;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eventual geração futura de código alvo.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Foram implementadas instruções TAC para: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atribuições;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operações aritméticas;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operadores relacionais;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chamadas de funções;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passagem de parâmetros;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labels;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saltos condicionais;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ciclos;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acessos a vetores;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casts;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retornos.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</w:rPr>
        <w:t>Exemplo de TAC gerado: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  <w:lang w:val="en-GB"/>
              </w:rPr>
              <w:t>0113: t21 = 3 * 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0114: t22 = 2 + t21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0115: ot1 = t22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0116: t23 = ot1 + 0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0117: ot2 = t23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0118: t24 = ot2 * 1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0119: ot3 = t24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0120: t25 = ot3 * 0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0121: ot4 = t25</w:t>
            </w:r>
          </w:p>
        </w:tc>
      </w:tr>
    </w:tbl>
    <w:p>
      <w:pPr>
        <w:pStyle w:val="SourceCode"/>
        <w:rPr>
          <w:rStyle w:val="VerbatimChar"/>
          <w:sz w:val="20"/>
          <w:szCs w:val="20"/>
          <w:lang w:val="en-GB"/>
        </w:rPr>
      </w:pPr>
      <w:r>
        <w:rPr/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representação TAC implementada foi desenhada para ser simples, legível e facilmente extensível.</w:t>
      </w:r>
    </w:p>
    <w:p>
      <w:pPr>
        <w:pStyle w:val="Heading2"/>
        <w:jc w:val="both"/>
        <w:rPr>
          <w:sz w:val="20"/>
          <w:szCs w:val="20"/>
        </w:rPr>
      </w:pPr>
      <w:r>
        <w:rPr>
          <w:sz w:val="20"/>
          <w:szCs w:val="20"/>
        </w:rPr>
        <w:t>6.1 Inicialização a zero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A regra de inicialização por defeito a zero, definida na especificação da MOCP “Sem inicialização (valor por omissão = 0)”, foi aplicada tanto a escalares como a vetores. Nos escalares, esta garantia fica explícita no TAC. Nos vetores, optou-se por não a materializar instrução a instrução, uma vez que isso obrigaria a emitir n atribuições a zero (uma por elemento) poluindo o TAC. Em alternativa, inclui-se no TAC um comentário que documenta essa premissa, ficando a inicialização efetiva a cargo da fase de geração de código final.</w:t>
      </w:r>
    </w:p>
    <w:p>
      <w:pPr>
        <w:pStyle w:val="Heading1"/>
        <w:rPr>
          <w:sz w:val="20"/>
          <w:szCs w:val="20"/>
        </w:rPr>
      </w:pPr>
      <w:bookmarkStart w:id="11" w:name="geração-de-código-intermédio-tac_Copy_1"/>
      <w:bookmarkStart w:id="12" w:name="otimização-de-código-intermédio"/>
      <w:bookmarkEnd w:id="11"/>
      <w:bookmarkEnd w:id="12"/>
      <w:r>
        <w:rPr>
          <w:color w:themeColor="text1" w:val="000000"/>
          <w:sz w:val="20"/>
          <w:szCs w:val="20"/>
        </w:rPr>
        <w:t>7. Otimização de Código Intermédio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Uma das principais extensões implementadas neste E-Fólio foi a criação de um módulo de otimização de TAC.</w:t>
      </w:r>
    </w:p>
    <w:p>
      <w:pPr>
        <w:pStyle w:val="BodyText"/>
        <w:jc w:val="both"/>
        <w:rPr/>
      </w:pPr>
      <w:r>
        <w:rPr>
          <w:sz w:val="20"/>
          <w:szCs w:val="20"/>
          <w:lang w:val="pt-PT"/>
        </w:rPr>
        <w:t xml:space="preserve">O módulo </w:t>
      </w:r>
      <w:r>
        <w:rPr>
          <w:rStyle w:val="VerbatimChar"/>
          <w:sz w:val="20"/>
          <w:szCs w:val="20"/>
          <w:lang w:val="pt-PT"/>
        </w:rPr>
        <w:t>optimizer.py</w:t>
      </w:r>
      <w:r>
        <w:rPr>
          <w:sz w:val="20"/>
          <w:szCs w:val="20"/>
          <w:lang w:val="pt-PT"/>
        </w:rPr>
        <w:t xml:space="preserve"> implementa múltiplas técnicas clássicas de otimização conservadora.</w:t>
      </w:r>
    </w:p>
    <w:p>
      <w:pPr>
        <w:pStyle w:val="BodyText"/>
        <w:jc w:val="both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</w:r>
    </w:p>
    <w:p>
      <w:pPr>
        <w:pStyle w:val="Heading2"/>
        <w:rPr>
          <w:sz w:val="20"/>
          <w:szCs w:val="20"/>
        </w:rPr>
      </w:pPr>
      <w:bookmarkStart w:id="13" w:name="constant-folding"/>
      <w:bookmarkEnd w:id="13"/>
      <w:r>
        <w:rPr>
          <w:sz w:val="20"/>
          <w:szCs w:val="20"/>
        </w:rPr>
        <w:t>7.1 Constant Folding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Foram implementadas otimizações capazes de avaliar expressões constantes durante compilação.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  <w:lang w:val="pt-PT"/>
        </w:rPr>
        <w:t>Exemplo: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</w:rPr>
              <w:t>t21 = 3 * 4</w:t>
            </w:r>
          </w:p>
        </w:tc>
      </w:tr>
    </w:tbl>
    <w:p>
      <w:pPr>
        <w:pStyle w:val="SourceCode"/>
        <w:rPr>
          <w:rStyle w:val="VerbatimChar"/>
          <w:sz w:val="20"/>
          <w:szCs w:val="20"/>
        </w:rPr>
      </w:pPr>
      <w:r>
        <w:rPr/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é automaticamente transformado em: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</w:rPr>
              <w:t>14</w:t>
            </w:r>
          </w:p>
        </w:tc>
      </w:tr>
    </w:tbl>
    <w:p>
      <w:pPr>
        <w:pStyle w:val="SourceCode"/>
        <w:rPr>
          <w:rStyle w:val="VerbatimChar"/>
          <w:sz w:val="20"/>
          <w:szCs w:val="20"/>
        </w:rPr>
      </w:pPr>
      <w:r>
        <w:rPr/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Esta abordagem reduz operações desnecessárias em tempo de execução.</w:t>
      </w:r>
    </w:p>
    <w:p>
      <w:pPr>
        <w:pStyle w:val="Heading2"/>
        <w:rPr>
          <w:sz w:val="20"/>
          <w:szCs w:val="20"/>
        </w:rPr>
      </w:pPr>
      <w:bookmarkStart w:id="14" w:name="constant-folding_Copy_1"/>
      <w:bookmarkStart w:id="15" w:name="simplificação-algébrica"/>
      <w:bookmarkEnd w:id="14"/>
      <w:bookmarkEnd w:id="15"/>
      <w:r>
        <w:rPr>
          <w:sz w:val="20"/>
          <w:szCs w:val="20"/>
        </w:rPr>
        <w:t>7.2 Simplificação Algébrica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Foram implementadas regras clássicas de simplificação, incluindo: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</w:rPr>
              <w:t>x + 0 → x</w:t>
            </w:r>
            <w:r>
              <w:rPr>
                <w:sz w:val="20"/>
                <w:szCs w:val="20"/>
              </w:rPr>
              <w:br/>
            </w:r>
            <w:r>
              <w:rPr>
                <w:rStyle w:val="VerbatimChar"/>
                <w:sz w:val="20"/>
                <w:szCs w:val="20"/>
              </w:rPr>
              <w:t>x - 0 → x</w:t>
            </w:r>
            <w:r>
              <w:rPr>
                <w:sz w:val="20"/>
                <w:szCs w:val="20"/>
              </w:rPr>
              <w:br/>
            </w:r>
            <w:r>
              <w:rPr>
                <w:rStyle w:val="VerbatimChar"/>
                <w:sz w:val="20"/>
                <w:szCs w:val="20"/>
              </w:rPr>
              <w:t>x * 1 → x</w:t>
            </w:r>
            <w:r>
              <w:rPr>
                <w:sz w:val="20"/>
                <w:szCs w:val="20"/>
              </w:rPr>
              <w:br/>
            </w:r>
            <w:r>
              <w:rPr>
                <w:rStyle w:val="VerbatimChar"/>
                <w:sz w:val="20"/>
                <w:szCs w:val="20"/>
              </w:rPr>
              <w:t>x * 0 → 0</w:t>
            </w:r>
            <w:r>
              <w:rPr>
                <w:sz w:val="20"/>
                <w:szCs w:val="20"/>
              </w:rPr>
              <w:br/>
            </w:r>
            <w:r>
              <w:rPr>
                <w:rStyle w:val="VerbatimChar"/>
                <w:sz w:val="20"/>
                <w:szCs w:val="20"/>
              </w:rPr>
              <w:t>x / 1 → x</w:t>
            </w:r>
            <w:r>
              <w:rPr>
                <w:sz w:val="20"/>
                <w:szCs w:val="20"/>
              </w:rPr>
              <w:br/>
            </w:r>
            <w:r>
              <w:rPr>
                <w:rStyle w:val="VerbatimChar"/>
                <w:sz w:val="20"/>
                <w:szCs w:val="20"/>
              </w:rPr>
              <w:t>x % 1 → 0</w:t>
            </w:r>
          </w:p>
        </w:tc>
      </w:tr>
    </w:tbl>
    <w:p>
      <w:pPr>
        <w:pStyle w:val="SourceCode"/>
        <w:rPr>
          <w:rStyle w:val="VerbatimChar"/>
          <w:sz w:val="20"/>
          <w:szCs w:val="20"/>
        </w:rPr>
      </w:pPr>
      <w:r>
        <w:rPr/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Estas simplificações permitem reduzir significativamente o número de instruções intermédias.</w:t>
      </w:r>
    </w:p>
    <w:p>
      <w:pPr>
        <w:pStyle w:val="Heading2"/>
        <w:rPr>
          <w:sz w:val="20"/>
          <w:szCs w:val="20"/>
        </w:rPr>
      </w:pPr>
      <w:bookmarkStart w:id="16" w:name="simplificação-algébrica_Copy_1"/>
      <w:bookmarkStart w:id="17" w:name="constant-propagation"/>
      <w:bookmarkEnd w:id="16"/>
      <w:bookmarkEnd w:id="17"/>
      <w:r>
        <w:rPr>
          <w:sz w:val="20"/>
          <w:szCs w:val="20"/>
        </w:rPr>
        <w:t>7.3 Constant Propagation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Foi implementada propagação de constantes entre instruções sucessivas.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  <w:lang w:val="pt-PT"/>
        </w:rPr>
        <w:t>Exemplo: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</w:rPr>
              <w:t>ot1 = 14</w:t>
            </w:r>
            <w:r>
              <w:rPr>
                <w:sz w:val="20"/>
                <w:szCs w:val="20"/>
              </w:rPr>
              <w:br/>
            </w:r>
            <w:r>
              <w:rPr>
                <w:rStyle w:val="VerbatimChar"/>
                <w:sz w:val="20"/>
                <w:szCs w:val="20"/>
              </w:rPr>
              <w:t>ot2 = ot1</w:t>
            </w:r>
          </w:p>
        </w:tc>
      </w:tr>
    </w:tbl>
    <w:p>
      <w:pPr>
        <w:pStyle w:val="SourceCode"/>
        <w:rPr>
          <w:rStyle w:val="VerbatimChar"/>
          <w:sz w:val="20"/>
          <w:szCs w:val="20"/>
        </w:rPr>
      </w:pPr>
      <w:r>
        <w:rPr/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é propagado para: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</w:rPr>
              <w:t>ot2 = 14</w:t>
            </w:r>
          </w:p>
        </w:tc>
      </w:tr>
    </w:tbl>
    <w:p>
      <w:pPr>
        <w:pStyle w:val="SourceCode"/>
        <w:rPr>
          <w:rStyle w:val="VerbatimChar"/>
          <w:sz w:val="20"/>
          <w:szCs w:val="20"/>
        </w:rPr>
      </w:pPr>
      <w:r>
        <w:rPr/>
      </w:r>
    </w:p>
    <w:p>
      <w:pPr>
        <w:pStyle w:val="Heading2"/>
        <w:rPr>
          <w:sz w:val="20"/>
          <w:szCs w:val="20"/>
        </w:rPr>
      </w:pPr>
      <w:bookmarkStart w:id="18" w:name="constant-propagation_Copy_1"/>
      <w:bookmarkStart w:id="19" w:name="copy-propagation"/>
      <w:bookmarkEnd w:id="18"/>
      <w:bookmarkEnd w:id="19"/>
      <w:r>
        <w:rPr>
          <w:sz w:val="20"/>
          <w:szCs w:val="20"/>
        </w:rPr>
        <w:t>7.4 Copy Propagation</w:t>
      </w:r>
    </w:p>
    <w:p>
      <w:pPr>
        <w:pStyle w:val="FirstParagraph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Foi igualmente implementada propagação de cópias entre variáveis temporárias.</w:t>
      </w:r>
    </w:p>
    <w:p>
      <w:pPr>
        <w:pStyle w:val="BodyText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Esta técnica reduz o número de temporários desnecessários gerados durante a compilação.</w:t>
      </w:r>
    </w:p>
    <w:p>
      <w:pPr>
        <w:pStyle w:val="Heading2"/>
        <w:rPr>
          <w:sz w:val="20"/>
          <w:szCs w:val="20"/>
        </w:rPr>
      </w:pPr>
      <w:bookmarkStart w:id="20" w:name="copy-propagation_Copy_1"/>
      <w:bookmarkStart w:id="21" w:name="dead-code-elimination"/>
      <w:bookmarkEnd w:id="20"/>
      <w:bookmarkEnd w:id="21"/>
      <w:r>
        <w:rPr>
          <w:sz w:val="20"/>
          <w:szCs w:val="20"/>
        </w:rPr>
        <w:t>7.5 Dead Code Elimination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Foi implementada eliminação conservadora de código morto.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algoritmo remove temporários intermédios que: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não são utilizados posteriormente;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não possuem efeitos laterais.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implementação foi desenhada de forma conservadora, preservando: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chamadas de funções;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escrita/leitura;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labels;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saltos;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acessos a vetores;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retornos.</w:t>
      </w:r>
    </w:p>
    <w:p>
      <w:pPr>
        <w:pStyle w:val="Heading1"/>
        <w:rPr>
          <w:sz w:val="20"/>
          <w:szCs w:val="20"/>
        </w:rPr>
      </w:pPr>
      <w:bookmarkStart w:id="22" w:name="otimização-de-código-intermédio_Copy_1"/>
      <w:bookmarkStart w:id="23" w:name="dead-code-elimination_Copy_1"/>
      <w:bookmarkStart w:id="24" w:name="demonstração-da-otimização"/>
      <w:bookmarkEnd w:id="22"/>
      <w:bookmarkEnd w:id="23"/>
      <w:bookmarkEnd w:id="24"/>
      <w:r>
        <w:rPr>
          <w:color w:themeColor="text1" w:val="000000"/>
          <w:sz w:val="20"/>
          <w:szCs w:val="20"/>
        </w:rPr>
        <w:t>8. Demonstração da Otimização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Um dos principais exemplos de otimização obtidos foi o seguinte.</w:t>
      </w:r>
    </w:p>
    <w:p>
      <w:pPr>
        <w:pStyle w:val="Heading2"/>
        <w:rPr>
          <w:sz w:val="20"/>
          <w:szCs w:val="20"/>
        </w:rPr>
      </w:pPr>
      <w:bookmarkStart w:id="25" w:name="tac-original"/>
      <w:bookmarkEnd w:id="25"/>
      <w:r>
        <w:rPr>
          <w:sz w:val="20"/>
          <w:szCs w:val="20"/>
          <w:lang w:val="en-GB"/>
        </w:rPr>
        <w:t>TAC Original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  <w:lang w:val="en-GB"/>
              </w:rPr>
              <w:t>0113: t21 = 3 * 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0114: t22 = 2 + t21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0115: ot1 = t22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0116: t23 = ot1 + 0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0117: ot2 = t23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0118: t24 = ot2 * 1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0119: ot3 = t24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0120: t25 = ot3 * 0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0121: ot4 = t25</w:t>
            </w:r>
          </w:p>
        </w:tc>
      </w:tr>
    </w:tbl>
    <w:p>
      <w:pPr>
        <w:pStyle w:val="SourceCode"/>
        <w:rPr>
          <w:rStyle w:val="VerbatimChar"/>
          <w:sz w:val="20"/>
          <w:szCs w:val="20"/>
          <w:lang w:val="en-GB"/>
        </w:rPr>
      </w:pPr>
      <w:r>
        <w:rPr/>
      </w:r>
    </w:p>
    <w:p>
      <w:pPr>
        <w:pStyle w:val="Heading2"/>
        <w:rPr>
          <w:sz w:val="20"/>
          <w:szCs w:val="20"/>
        </w:rPr>
      </w:pPr>
      <w:bookmarkStart w:id="26" w:name="tac-original_Copy_1"/>
      <w:bookmarkStart w:id="27" w:name="tac-otimizado"/>
      <w:bookmarkEnd w:id="26"/>
      <w:bookmarkEnd w:id="27"/>
      <w:r>
        <w:rPr>
          <w:sz w:val="20"/>
          <w:szCs w:val="20"/>
          <w:lang w:val="en-GB"/>
        </w:rPr>
        <w:t>TAC Otimizado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ourceCode"/>
              <w:spacing w:before="0" w:after="200"/>
              <w:rPr/>
            </w:pPr>
            <w:r>
              <w:rPr>
                <w:rStyle w:val="VerbatimChar"/>
                <w:sz w:val="20"/>
                <w:szCs w:val="20"/>
                <w:lang w:val="en-GB"/>
              </w:rPr>
              <w:t>0113: ot1 = 14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0114: ot2 = 14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0115: ot3 = 14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rStyle w:val="VerbatimChar"/>
                <w:sz w:val="20"/>
                <w:szCs w:val="20"/>
                <w:lang w:val="en-GB"/>
              </w:rPr>
              <w:t>0116: ot4 = 0</w:t>
            </w:r>
          </w:p>
        </w:tc>
      </w:tr>
    </w:tbl>
    <w:p>
      <w:pPr>
        <w:pStyle w:val="SourceCode"/>
        <w:rPr>
          <w:rStyle w:val="VerbatimChar"/>
          <w:sz w:val="20"/>
          <w:szCs w:val="20"/>
          <w:lang w:val="en-GB"/>
        </w:rPr>
      </w:pPr>
      <w:r>
        <w:rPr/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>Pode observar-se claramente: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avaliação de expressões constantes;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simplificação algébrica;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propagação de constantes;</w:t>
      </w:r>
    </w:p>
    <w:p>
      <w:pPr>
        <w:pStyle w:val="Compac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eliminação de temporários intermédios.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A redução do número de instruções produz um código intermédio significativamente mais eficiente e legível.</w:t>
      </w:r>
    </w:p>
    <w:p>
      <w:pPr>
        <w:pStyle w:val="Heading1"/>
        <w:rPr>
          <w:sz w:val="20"/>
          <w:szCs w:val="20"/>
        </w:rPr>
      </w:pPr>
      <w:bookmarkStart w:id="28" w:name="demonstração-da-otimização_Copy_1"/>
      <w:bookmarkStart w:id="29" w:name="tac-otimizado_Copy_1"/>
      <w:bookmarkStart w:id="30" w:name="sistema-de-testes"/>
      <w:bookmarkEnd w:id="28"/>
      <w:bookmarkEnd w:id="29"/>
      <w:bookmarkEnd w:id="30"/>
      <w:r>
        <w:rPr>
          <w:color w:themeColor="text1" w:val="000000"/>
          <w:sz w:val="20"/>
          <w:szCs w:val="20"/>
        </w:rPr>
        <w:t>9. Sistema de Testes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Foi desenvolvido um conjunto de testes destinado à validação das diferentes componentes do compilador.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</w:rPr>
        <w:t>Os testes incluem: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programas válidos;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programas com erros léxicos;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programas com erros semânticos;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programas com ciclos;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vetores;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recursividade;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casts;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chamadas de funções;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expressões aritméticas;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otimizações.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ficheiro principal de demonstração é:</w:t>
      </w:r>
    </w:p>
    <w:p>
      <w:pPr>
        <w:pStyle w:val="SourceCode"/>
        <w:jc w:val="both"/>
        <w:rPr/>
      </w:pPr>
      <w:r>
        <w:rPr>
          <w:rStyle w:val="VerbatimChar"/>
          <w:sz w:val="20"/>
          <w:szCs w:val="20"/>
        </w:rPr>
        <w:t>teste_global.mocp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Foram igualmente criados testes específicos de erro:</w:t>
      </w:r>
    </w:p>
    <w:p>
      <w:pPr>
        <w:pStyle w:val="SourceCode"/>
        <w:jc w:val="both"/>
        <w:rPr/>
      </w:pPr>
      <w:r>
        <w:rPr>
          <w:rStyle w:val="VerbatimChar"/>
          <w:sz w:val="20"/>
          <w:szCs w:val="20"/>
        </w:rPr>
        <w:t>teste_erros_lexicos.mocp</w:t>
      </w:r>
      <w:r>
        <w:rPr>
          <w:sz w:val="20"/>
          <w:szCs w:val="20"/>
        </w:rPr>
        <w:br/>
      </w:r>
      <w:r>
        <w:rPr>
          <w:rStyle w:val="VerbatimChar"/>
          <w:sz w:val="20"/>
          <w:szCs w:val="20"/>
        </w:rPr>
        <w:t>teste_erros_semanticos.mocp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Adicionalmente, foi implementado o script:</w:t>
      </w:r>
    </w:p>
    <w:p>
      <w:pPr>
        <w:pStyle w:val="SourceCode"/>
        <w:jc w:val="both"/>
        <w:rPr/>
      </w:pPr>
      <w:r>
        <w:rPr>
          <w:rStyle w:val="VerbatimChar"/>
          <w:sz w:val="20"/>
          <w:szCs w:val="20"/>
        </w:rPr>
        <w:t>run_tests.py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  <w:lang w:val="pt-PT"/>
        </w:rPr>
        <w:t>que executa automaticamente todos os testes presentes na pasta de testes.</w:t>
      </w:r>
    </w:p>
    <w:p>
      <w:pPr>
        <w:pStyle w:val="Heading1"/>
        <w:rPr>
          <w:sz w:val="20"/>
          <w:szCs w:val="20"/>
        </w:rPr>
      </w:pPr>
      <w:bookmarkStart w:id="31" w:name="sistema-de-testes_Copy_1"/>
      <w:bookmarkStart w:id="32" w:name="dificuldades-encontradas"/>
      <w:bookmarkEnd w:id="31"/>
      <w:bookmarkEnd w:id="32"/>
      <w:r>
        <w:rPr>
          <w:color w:themeColor="text1" w:val="000000"/>
          <w:sz w:val="20"/>
          <w:szCs w:val="20"/>
        </w:rPr>
        <w:t>10. Dificuldades Encontradas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Durante o desenvolvimento do projeto surgiram diversas dificuldades técnicas.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Uma das principais dificuldades consistiu na integração entre as diferentes fases do compilador, especialmente: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coerência entre AST e TAC;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gestão de escopos;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tratamento de vetores;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propagação segura de otimizações;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preservação de efeitos laterais.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implementação da otimização revelou-se particularmente desafiante, sobretudo na eliminação conservadora de código morto e na propagação de constantes sem comprometer a correção semântica do programa.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Outro aspeto relevante foi a necessidade de garantir modularidade suficiente para permitir evolução futura do compilador.</w:t>
      </w:r>
    </w:p>
    <w:p>
      <w:pPr>
        <w:pStyle w:val="Heading1"/>
        <w:rPr>
          <w:sz w:val="20"/>
          <w:szCs w:val="20"/>
        </w:rPr>
      </w:pPr>
      <w:bookmarkStart w:id="33" w:name="dificuldades-encontradas_Copy_1"/>
      <w:bookmarkStart w:id="34" w:name="conclusão"/>
      <w:bookmarkEnd w:id="33"/>
      <w:bookmarkEnd w:id="34"/>
      <w:r>
        <w:rPr>
          <w:color w:themeColor="text1" w:val="000000"/>
          <w:sz w:val="20"/>
          <w:szCs w:val="20"/>
        </w:rPr>
        <w:t>11. Conclusão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O desenvolvimento do presente compilador permitiu consolidar conhecimentos fundamentais da área de compilação, incluindo: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léxica;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sintática;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construção de AST;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análise semântica;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geração de código intermédio;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otimização de código.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A solução final apresenta uma arquitetura modular, clara e extensível, sendo capaz de compilar programas MOCP relativamente complexos.</w:t>
      </w:r>
    </w:p>
    <w:p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</w:rPr>
        <w:t>O sistema implementado suporta: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funções;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recursividade;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vetores;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estruturas de controlo;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operadores aritméticos;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operadores relacionais;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operadores lógicos;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casts;</w:t>
      </w:r>
    </w:p>
    <w:p>
      <w:pPr>
        <w:pStyle w:val="Compac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otimização de TAC.</w:t>
      </w:r>
    </w:p>
    <w:p>
      <w:pPr>
        <w:pStyle w:val="FirstParagraph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Considera-se que os objetivos propostos para o E-Fólio B foram plenamente cumpridos.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rPr>
          <w:sz w:val="20"/>
          <w:szCs w:val="20"/>
        </w:rPr>
      </w:pPr>
      <w:bookmarkStart w:id="35" w:name="conclusão_Copy_1"/>
      <w:bookmarkEnd w:id="35"/>
      <w:r>
        <w:rPr>
          <w:color w:themeColor="text1" w:val="000000"/>
          <w:sz w:val="20"/>
          <w:szCs w:val="20"/>
        </w:rPr>
        <w:t>12. Bibliografia</w:t>
      </w:r>
    </w:p>
    <w:p>
      <w:pPr>
        <w:pStyle w:val="Normal"/>
        <w:numPr>
          <w:ilvl w:val="0"/>
          <w:numId w:val="5"/>
        </w:numPr>
        <w:spacing w:lineRule="auto" w:line="240" w:before="0" w:after="200"/>
        <w:rPr>
          <w:sz w:val="20"/>
          <w:szCs w:val="20"/>
        </w:rPr>
      </w:pPr>
      <w:r>
        <w:rPr>
          <w:sz w:val="20"/>
          <w:szCs w:val="20"/>
          <w:lang w:val="en-GB"/>
        </w:rPr>
        <w:t xml:space="preserve">Aho, A. V., Lam, M. S., Sethi, R., &amp; Ullman, J. D. (2007). </w:t>
      </w:r>
      <w:r>
        <w:rPr>
          <w:i/>
          <w:iCs/>
          <w:sz w:val="20"/>
          <w:szCs w:val="20"/>
          <w:lang w:val="en-GB"/>
        </w:rPr>
        <w:t>Compilers: Principles, Techniques, and Tools</w:t>
      </w:r>
      <w:r>
        <w:rPr>
          <w:sz w:val="20"/>
          <w:szCs w:val="20"/>
          <w:lang w:val="en-GB"/>
        </w:rPr>
        <w:t xml:space="preserve"> (2nd ed.). </w:t>
      </w:r>
      <w:r>
        <w:rPr>
          <w:sz w:val="20"/>
          <w:szCs w:val="20"/>
        </w:rPr>
        <w:t>Pearson.</w:t>
      </w:r>
    </w:p>
    <w:p>
      <w:pPr>
        <w:pStyle w:val="Normal"/>
        <w:numPr>
          <w:ilvl w:val="0"/>
          <w:numId w:val="5"/>
        </w:numPr>
        <w:spacing w:lineRule="auto" w:line="240" w:before="0" w:after="200"/>
        <w:rPr>
          <w:sz w:val="20"/>
          <w:szCs w:val="20"/>
        </w:rPr>
      </w:pPr>
      <w:r>
        <w:rPr>
          <w:sz w:val="20"/>
          <w:szCs w:val="20"/>
          <w:lang w:val="en-GB"/>
        </w:rPr>
        <w:t xml:space="preserve">Parr, T. (2013). </w:t>
      </w:r>
      <w:r>
        <w:rPr>
          <w:i/>
          <w:iCs/>
          <w:sz w:val="20"/>
          <w:szCs w:val="20"/>
          <w:lang w:val="en-GB"/>
        </w:rPr>
        <w:t>The Definitive ANTLR 4 Reference</w:t>
      </w:r>
      <w:r>
        <w:rPr>
          <w:sz w:val="20"/>
          <w:szCs w:val="20"/>
          <w:lang w:val="en-GB"/>
        </w:rPr>
        <w:t xml:space="preserve">. </w:t>
      </w:r>
      <w:r>
        <w:rPr>
          <w:sz w:val="20"/>
          <w:szCs w:val="20"/>
        </w:rPr>
        <w:t>Pragmatic Bookshelf.</w:t>
      </w:r>
    </w:p>
    <w:p>
      <w:pPr>
        <w:pStyle w:val="Normal"/>
        <w:numPr>
          <w:ilvl w:val="0"/>
          <w:numId w:val="5"/>
        </w:numPr>
        <w:spacing w:lineRule="auto" w:line="240" w:before="0" w:after="200"/>
        <w:rPr>
          <w:sz w:val="20"/>
          <w:szCs w:val="20"/>
        </w:rPr>
      </w:pPr>
      <w:bookmarkStart w:id="36" w:name="bibliografia"/>
      <w:r>
        <w:rPr>
          <w:sz w:val="20"/>
          <w:szCs w:val="20"/>
        </w:rPr>
        <w:t>Material pedagógico da UC 21018 - Compilação, Universidade Aberta.</w:t>
      </w:r>
      <w:bookmarkEnd w:id="36"/>
    </w:p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701" w:gutter="0" w:header="0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</w:rPr>
    </w:pPr>
    <w:r>
      <w:rPr>
        <w:sz w:val="20"/>
      </w:rPr>
      <w:t xml:space="preserve">Página </w:t>
    </w:r>
    <w:r>
      <w:rPr>
        <w:b/>
        <w:bCs/>
        <w:sz w:val="20"/>
        <w:szCs w:val="24"/>
      </w:rPr>
      <w:fldChar w:fldCharType="begin"/>
    </w:r>
    <w:r>
      <w:rPr>
        <w:sz w:val="20"/>
        <w:b/>
        <w:szCs w:val="24"/>
        <w:bCs/>
      </w:rPr>
      <w:instrText xml:space="preserve"> PAGE </w:instrText>
    </w:r>
    <w:r>
      <w:rPr>
        <w:sz w:val="20"/>
        <w:b/>
        <w:szCs w:val="24"/>
        <w:bCs/>
      </w:rPr>
      <w:fldChar w:fldCharType="separate"/>
    </w:r>
    <w:r>
      <w:rPr>
        <w:sz w:val="20"/>
        <w:b/>
        <w:szCs w:val="24"/>
        <w:bCs/>
      </w:rPr>
      <w:t>8</w:t>
    </w:r>
    <w:r>
      <w:rPr>
        <w:sz w:val="20"/>
        <w:b/>
        <w:szCs w:val="24"/>
        <w:bCs/>
      </w:rPr>
      <w:fldChar w:fldCharType="end"/>
    </w:r>
    <w:r>
      <w:rPr>
        <w:sz w:val="20"/>
      </w:rPr>
      <w:t xml:space="preserve"> de </w:t>
    </w:r>
    <w:r>
      <w:rPr>
        <w:b/>
        <w:bCs/>
        <w:sz w:val="20"/>
        <w:szCs w:val="24"/>
      </w:rPr>
      <w:fldChar w:fldCharType="begin"/>
    </w:r>
    <w:r>
      <w:rPr>
        <w:sz w:val="20"/>
        <w:b/>
        <w:szCs w:val="24"/>
        <w:bCs/>
      </w:rPr>
      <w:instrText xml:space="preserve"> NUMPAGES </w:instrText>
    </w:r>
    <w:r>
      <w:rPr>
        <w:sz w:val="20"/>
        <w:b/>
        <w:szCs w:val="24"/>
        <w:bCs/>
      </w:rPr>
      <w:fldChar w:fldCharType="separate"/>
    </w:r>
    <w:r>
      <w:rPr>
        <w:sz w:val="20"/>
        <w:b/>
        <w:szCs w:val="24"/>
        <w:bCs/>
      </w:rPr>
      <w:t>8</w:t>
    </w:r>
    <w:r>
      <w:rPr>
        <w:sz w:val="20"/>
        <w:b/>
        <w:szCs w:val="24"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>
            <w:sz w:val="20"/>
          </w:rPr>
        </w:pPr>
        <w:r>
          <w:rPr>
            <w:sz w:val="20"/>
          </w:rPr>
          <w:t xml:space="preserve">Página </w:t>
        </w:r>
        <w:r>
          <w:rPr>
            <w:b/>
            <w:bCs/>
            <w:sz w:val="20"/>
            <w:szCs w:val="24"/>
          </w:rPr>
          <w:fldChar w:fldCharType="begin"/>
        </w:r>
        <w:r>
          <w:rPr>
            <w:sz w:val="20"/>
            <w:b/>
            <w:szCs w:val="24"/>
            <w:bCs/>
          </w:rPr>
          <w:instrText xml:space="preserve"> PAGE </w:instrText>
        </w:r>
        <w:r>
          <w:rPr>
            <w:sz w:val="20"/>
            <w:b/>
            <w:szCs w:val="24"/>
            <w:bCs/>
          </w:rPr>
          <w:fldChar w:fldCharType="separate"/>
        </w:r>
        <w:r>
          <w:rPr>
            <w:sz w:val="20"/>
            <w:b/>
            <w:szCs w:val="24"/>
            <w:bCs/>
          </w:rPr>
          <w:t>1</w:t>
        </w:r>
        <w:r>
          <w:rPr>
            <w:sz w:val="20"/>
            <w:b/>
            <w:szCs w:val="24"/>
            <w:bCs/>
          </w:rPr>
          <w:fldChar w:fldCharType="end"/>
        </w:r>
        <w:r>
          <w:rPr>
            <w:sz w:val="20"/>
          </w:rPr>
          <w:t xml:space="preserve"> de </w:t>
        </w:r>
        <w:r>
          <w:rPr>
            <w:b/>
            <w:bCs/>
            <w:sz w:val="20"/>
            <w:szCs w:val="24"/>
          </w:rPr>
          <w:fldChar w:fldCharType="begin"/>
        </w:r>
        <w:r>
          <w:rPr>
            <w:sz w:val="20"/>
            <w:b/>
            <w:szCs w:val="24"/>
            <w:bCs/>
          </w:rPr>
          <w:instrText xml:space="preserve"> NUMPAGES </w:instrText>
        </w:r>
        <w:r>
          <w:rPr>
            <w:sz w:val="20"/>
            <w:b/>
            <w:szCs w:val="24"/>
            <w:bCs/>
          </w:rPr>
          <w:fldChar w:fldCharType="separate"/>
        </w:r>
        <w:r>
          <w:rPr>
            <w:sz w:val="20"/>
            <w:b/>
            <w:szCs w:val="24"/>
            <w:bCs/>
          </w:rPr>
          <w:t>8</w:t>
        </w:r>
        <w:r>
          <w:rPr>
            <w:sz w:val="20"/>
            <w:b/>
            <w:szCs w:val="24"/>
            <w:bCs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07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3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9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7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07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3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9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7" w:hanging="1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6"/>
    <w:lvlOverride w:ilvl="0">
      <w:startOverride w:val="1"/>
    </w:lvlOverride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PT" w:eastAsia="pt-P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3600"/>
    <w:pPr>
      <w:widowControl/>
      <w:suppressAutoHyphens w:val="true"/>
      <w:bidi w:val="0"/>
      <w:spacing w:lineRule="auto" w:line="360" w:before="0" w:after="240"/>
      <w:jc w:val="left"/>
    </w:pPr>
    <w:rPr>
      <w:rFonts w:ascii="Arial" w:hAnsi="Arial" w:eastAsia="Calibri" w:cs="Times New Roman"/>
      <w:color w:val="auto"/>
      <w:kern w:val="0"/>
      <w:sz w:val="24"/>
      <w:szCs w:val="22"/>
      <w:lang w:eastAsia="en-US" w:val="pt-PT" w:bidi="ar-SA"/>
    </w:rPr>
  </w:style>
  <w:style w:type="paragraph" w:styleId="Heading1">
    <w:name w:val="Heading 1"/>
    <w:basedOn w:val="Normal"/>
    <w:next w:val="Normal"/>
    <w:link w:val="Ttulo1Carter"/>
    <w:uiPriority w:val="9"/>
    <w:qFormat/>
    <w:rsid w:val="00fd65c4"/>
    <w:pPr>
      <w:keepNext w:val="true"/>
      <w:keepLines/>
      <w:spacing w:lineRule="auto" w:line="240" w:before="58" w:after="58"/>
      <w:outlineLvl w:val="0"/>
    </w:pPr>
    <w:rPr>
      <w:rFonts w:ascii="Arial Black" w:hAnsi="Arial Black" w:eastAsia="Times New Roman"/>
      <w:b/>
      <w:bCs/>
      <w:caps/>
      <w:color w:val="9F2900"/>
      <w:sz w:val="36"/>
      <w:szCs w:val="28"/>
    </w:rPr>
  </w:style>
  <w:style w:type="paragraph" w:styleId="Heading2">
    <w:name w:val="Heading 2"/>
    <w:basedOn w:val="Normal"/>
    <w:next w:val="Normal"/>
    <w:link w:val="Ttulo2Carter"/>
    <w:uiPriority w:val="9"/>
    <w:unhideWhenUsed/>
    <w:qFormat/>
    <w:rsid w:val="007f2b7b"/>
    <w:pPr>
      <w:keepNext w:val="true"/>
      <w:keepLines/>
      <w:spacing w:before="120" w:after="120"/>
      <w:outlineLvl w:val="1"/>
    </w:pPr>
    <w:rPr>
      <w:rFonts w:eastAsia="Times New Roman"/>
      <w:b/>
      <w:bCs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ter" w:customStyle="1">
    <w:name w:val="Título 1 Caráter"/>
    <w:link w:val="Heading1"/>
    <w:uiPriority w:val="9"/>
    <w:qFormat/>
    <w:rsid w:val="00fd65c4"/>
    <w:rPr>
      <w:rFonts w:ascii="Arial Black" w:hAnsi="Arial Black" w:eastAsia="Times New Roman" w:cs="Times New Roman"/>
      <w:b/>
      <w:bCs/>
      <w:caps/>
      <w:color w:val="9F2900"/>
      <w:sz w:val="36"/>
      <w:szCs w:val="28"/>
    </w:rPr>
  </w:style>
  <w:style w:type="character" w:styleId="Ttulo2Carter" w:customStyle="1">
    <w:name w:val="Título 2 Caráter"/>
    <w:link w:val="Heading2"/>
    <w:uiPriority w:val="9"/>
    <w:qFormat/>
    <w:rsid w:val="007f2b7b"/>
    <w:rPr>
      <w:rFonts w:ascii="Arial" w:hAnsi="Arial" w:eastAsia="Times New Roman" w:cs="Times New Roman"/>
      <w:b/>
      <w:bCs/>
      <w:sz w:val="24"/>
      <w:szCs w:val="26"/>
    </w:rPr>
  </w:style>
  <w:style w:type="character" w:styleId="Strong">
    <w:name w:val="Strong"/>
    <w:uiPriority w:val="22"/>
    <w:qFormat/>
    <w:rsid w:val="007f2b7b"/>
    <w:rPr>
      <w:b/>
      <w:bCs/>
    </w:rPr>
  </w:style>
  <w:style w:type="character" w:styleId="CabealhoCarter" w:customStyle="1">
    <w:name w:val="Cabeçalho Caráter"/>
    <w:link w:val="Header"/>
    <w:uiPriority w:val="99"/>
    <w:qFormat/>
    <w:rsid w:val="00fe06cf"/>
    <w:rPr>
      <w:rFonts w:ascii="Arial" w:hAnsi="Arial"/>
      <w:sz w:val="24"/>
    </w:rPr>
  </w:style>
  <w:style w:type="character" w:styleId="RodapCarter" w:customStyle="1">
    <w:name w:val="Rodapé Caráter"/>
    <w:link w:val="Footer"/>
    <w:uiPriority w:val="99"/>
    <w:qFormat/>
    <w:rsid w:val="00fe06cf"/>
    <w:rPr>
      <w:rFonts w:ascii="Arial" w:hAnsi="Arial"/>
      <w:sz w:val="24"/>
    </w:rPr>
  </w:style>
  <w:style w:type="character" w:styleId="Hyperlink">
    <w:name w:val="Hyperlink"/>
    <w:uiPriority w:val="99"/>
    <w:unhideWhenUsed/>
    <w:qFormat/>
    <w:rsid w:val="009a3600"/>
    <w:rPr>
      <w:color w:val="404040"/>
      <w:u w:val="single"/>
    </w:rPr>
  </w:style>
  <w:style w:type="character" w:styleId="SubtleEmphasis">
    <w:name w:val="Subtle Emphasis"/>
    <w:basedOn w:val="DefaultParagraphFont"/>
    <w:uiPriority w:val="19"/>
    <w:qFormat/>
    <w:rsid w:val="005e382b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5e382b"/>
    <w:rPr>
      <w:b/>
      <w:i/>
      <w:iCs/>
    </w:rPr>
  </w:style>
  <w:style w:type="character" w:styleId="CitaoCarter" w:customStyle="1">
    <w:name w:val="Citação Caráter"/>
    <w:basedOn w:val="DefaultParagraphFont"/>
    <w:link w:val="Quote"/>
    <w:uiPriority w:val="29"/>
    <w:qFormat/>
    <w:rsid w:val="00fe7aa8"/>
    <w:rPr>
      <w:rFonts w:ascii="Arial" w:hAnsi="Arial"/>
      <w:iCs/>
      <w:sz w:val="24"/>
      <w:szCs w:val="22"/>
      <w:lang w:eastAsia="en-US"/>
    </w:rPr>
  </w:style>
  <w:style w:type="character" w:styleId="bold" w:customStyle="1">
    <w:name w:val="bold"/>
    <w:basedOn w:val="DefaultParagraphFont"/>
    <w:uiPriority w:val="1"/>
    <w:qFormat/>
    <w:rsid w:val="003c099e"/>
    <w:rPr>
      <w:rFonts w:ascii="Arial" w:hAnsi="Arial" w:eastAsia="" w:cs="Consolas" w:eastAsiaTheme="minorEastAsia"/>
      <w:b/>
      <w:color w:val="auto"/>
      <w:spacing w:val="0"/>
      <w:sz w:val="24"/>
      <w:szCs w:val="21"/>
      <w:u w:val="none"/>
    </w:rPr>
  </w:style>
  <w:style w:type="character" w:styleId="BulletsCarter" w:customStyle="1">
    <w:name w:val="Bullets Caráter"/>
    <w:basedOn w:val="DefaultParagraphFont"/>
    <w:link w:val="Bullets"/>
    <w:qFormat/>
    <w:rsid w:val="00b920ee"/>
    <w:rPr>
      <w:rFonts w:ascii="Arial" w:hAnsi="Arial"/>
      <w:sz w:val="24"/>
      <w:szCs w:val="22"/>
      <w:lang w:eastAsia="en-US"/>
    </w:rPr>
  </w:style>
  <w:style w:type="character" w:styleId="Numerao1Carter" w:customStyle="1">
    <w:name w:val="Numeração 1 Caráter"/>
    <w:basedOn w:val="BulletsCarter"/>
    <w:link w:val="Numerao1"/>
    <w:qFormat/>
    <w:rsid w:val="00b920ee"/>
    <w:rPr>
      <w:rFonts w:ascii="Arial" w:hAnsi="Arial"/>
      <w:sz w:val="24"/>
      <w:szCs w:val="22"/>
      <w:lang w:eastAsia="en-US"/>
    </w:rPr>
  </w:style>
  <w:style w:type="character" w:styleId="Numerao2Carter" w:customStyle="1">
    <w:name w:val="Numeração 2 Caráter"/>
    <w:basedOn w:val="Numerao1Carter"/>
    <w:link w:val="Numerao2"/>
    <w:qFormat/>
    <w:rsid w:val="00b920ee"/>
    <w:rPr>
      <w:rFonts w:ascii="Arial" w:hAnsi="Arial"/>
      <w:sz w:val="24"/>
      <w:szCs w:val="22"/>
      <w:lang w:eastAsia="en-US"/>
    </w:rPr>
  </w:style>
  <w:style w:type="character" w:styleId="CorpodetextoCarter" w:customStyle="1">
    <w:name w:val="Corpo de texto Caráter"/>
    <w:basedOn w:val="DefaultParagraphFont"/>
    <w:qFormat/>
    <w:rsid w:val="00673a5b"/>
    <w:rPr>
      <w:rFonts w:ascii="Calibri" w:hAnsi="Calibri" w:eastAsia="Calibri" w:cs="" w:asciiTheme="minorHAnsi" w:cstheme="minorBidi" w:eastAsiaTheme="minorHAnsi" w:hAnsiTheme="minorHAnsi"/>
      <w:sz w:val="24"/>
      <w:szCs w:val="24"/>
      <w:lang w:val="en-US" w:eastAsia="en-US"/>
    </w:rPr>
  </w:style>
  <w:style w:type="character" w:styleId="VerbatimChar" w:customStyle="1">
    <w:name w:val="Verbatim Char"/>
    <w:basedOn w:val="DefaultParagraphFont"/>
    <w:link w:val="SourceCode"/>
    <w:qFormat/>
    <w:rsid w:val="00673a5b"/>
    <w:rPr>
      <w:rFonts w:ascii="Consolas" w:hAnsi="Consolas"/>
      <w:sz w:val="2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arter"/>
    <w:qFormat/>
    <w:rsid w:val="00673a5b"/>
    <w:pPr>
      <w:spacing w:lineRule="auto" w:line="240" w:before="180" w:after="180"/>
    </w:pPr>
    <w:rPr>
      <w:rFonts w:ascii="Calibri" w:hAnsi="Calibri" w:eastAsia="Calibri" w:cs="" w:asciiTheme="minorHAnsi" w:cstheme="minorBidi" w:eastAsiaTheme="minorHAnsi" w:hAnsiTheme="minorHAnsi"/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e7aa8"/>
    <w:pPr>
      <w:spacing w:before="0" w:after="240"/>
      <w:ind w:firstLine="851"/>
      <w:contextualSpacing/>
    </w:pPr>
    <w:rPr/>
  </w:style>
  <w:style w:type="paragraph" w:styleId="NoSpacing">
    <w:name w:val="No Spacing"/>
    <w:uiPriority w:val="1"/>
    <w:qFormat/>
    <w:rsid w:val="00551df9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Times New Roman"/>
      <w:color w:val="auto"/>
      <w:kern w:val="0"/>
      <w:sz w:val="24"/>
      <w:szCs w:val="22"/>
      <w:lang w:eastAsia="en-US" w:val="pt-PT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fe06c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fe06c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Quote">
    <w:name w:val="Quote"/>
    <w:basedOn w:val="Normal"/>
    <w:next w:val="Normal"/>
    <w:link w:val="CitaoCarter"/>
    <w:uiPriority w:val="29"/>
    <w:qFormat/>
    <w:rsid w:val="00fe7aa8"/>
    <w:pPr>
      <w:spacing w:before="200" w:after="160"/>
      <w:ind w:left="851"/>
    </w:pPr>
    <w:rPr>
      <w:iCs/>
    </w:rPr>
  </w:style>
  <w:style w:type="paragraph" w:styleId="Bullets" w:customStyle="1">
    <w:name w:val="Bullets"/>
    <w:basedOn w:val="Normal"/>
    <w:link w:val="BulletsCarter"/>
    <w:qFormat/>
    <w:rsid w:val="00b920ee"/>
    <w:pPr>
      <w:numPr>
        <w:ilvl w:val="0"/>
        <w:numId w:val="2"/>
      </w:numPr>
      <w:ind w:hanging="357" w:left="714"/>
    </w:pPr>
    <w:rPr/>
  </w:style>
  <w:style w:type="paragraph" w:styleId="Numerao1" w:customStyle="1">
    <w:name w:val="Numeração 1"/>
    <w:basedOn w:val="Bullets"/>
    <w:link w:val="Numerao1Carter"/>
    <w:qFormat/>
    <w:rsid w:val="00b920ee"/>
    <w:pPr>
      <w:numPr>
        <w:ilvl w:val="0"/>
        <w:numId w:val="3"/>
      </w:numPr>
      <w:ind w:hanging="357" w:left="714"/>
    </w:pPr>
    <w:rPr/>
  </w:style>
  <w:style w:type="paragraph" w:styleId="Numerao2" w:customStyle="1">
    <w:name w:val="Numeração 2"/>
    <w:basedOn w:val="Numerao1"/>
    <w:link w:val="Numerao2Carter"/>
    <w:qFormat/>
    <w:rsid w:val="00b920ee"/>
    <w:pPr>
      <w:numPr>
        <w:ilvl w:val="0"/>
        <w:numId w:val="4"/>
      </w:numPr>
      <w:ind w:hanging="357" w:left="1071"/>
    </w:pPr>
    <w:rPr/>
  </w:style>
  <w:style w:type="paragraph" w:styleId="FirstParagraph" w:customStyle="1">
    <w:name w:val="First Paragraph"/>
    <w:basedOn w:val="BodyText"/>
    <w:next w:val="BodyText"/>
    <w:qFormat/>
    <w:rsid w:val="00673a5b"/>
    <w:pPr>
      <w:spacing w:before="0" w:after="0"/>
    </w:pPr>
    <w:rPr/>
  </w:style>
  <w:style w:type="paragraph" w:styleId="Compact" w:customStyle="1">
    <w:name w:val="Compact"/>
    <w:basedOn w:val="BodyText"/>
    <w:qFormat/>
    <w:rsid w:val="00673a5b"/>
    <w:pPr>
      <w:spacing w:before="36" w:after="36"/>
    </w:pPr>
    <w:rPr/>
  </w:style>
  <w:style w:type="paragraph" w:styleId="SourceCode" w:customStyle="1">
    <w:name w:val="Source Code"/>
    <w:basedOn w:val="Normal"/>
    <w:link w:val="VerbatimChar"/>
    <w:qFormat/>
    <w:rsid w:val="00673a5b"/>
    <w:pPr>
      <w:spacing w:lineRule="auto" w:line="240" w:before="0" w:after="200"/>
    </w:pPr>
    <w:rPr>
      <w:rFonts w:ascii="Consolas" w:hAnsi="Consolas"/>
      <w:sz w:val="22"/>
      <w:szCs w:val="20"/>
      <w:lang w:eastAsia="pt-PT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LibreOffice/24.2.7.2$Linux_X86_64 LibreOffice_project/420$Build-2</Application>
  <AppVersion>15.0000</AppVersion>
  <Pages>8</Pages>
  <Words>1558</Words>
  <Characters>9109</Characters>
  <CharactersWithSpaces>10321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2026-05-14T06:16:00Z</dcterms:created>
  <dc:creator>Joaquim Frazao Neto</dc:creator>
  <dc:description/>
  <dc:language>en-US</dc:language>
  <cp:lastModifiedBy/>
  <dcterms:modified xsi:type="dcterms:W3CDTF">2026-05-19T21:27:54Z</dcterms:modified>
  <cp:revision>10</cp:revision>
  <dc:subject/>
  <dc:title>Folha de resolução para E-fólio 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0c5f05d4-41b5-4957-9b80-dd093e59590b</vt:lpwstr>
  </property>
</Properties>
</file>