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both"/>
      </w:pPr>
      <w:r>
        <w:rPr>
          <w:color w:val="6A6A66"/>
          <w:sz w:val="18"/>
          <w:szCs w:val="18"/>
        </w:rPr>
        <w:t xml:space="preserve">Machine Learning · MiM+Analytics UTDT 2026</w:t>
      </w:r>
    </w:p>
    <w:p>
      <w:pPr>
        <w:pBdr>
          <w:bottom w:val="single" w:color="1F5FA9" w:sz="10" w:space="8"/>
        </w:pBdr>
        <w:spacing w:after="90"/>
      </w:pPr>
      <w:r>
        <w:rPr>
          <w:b/>
          <w:bCs/>
          <w:color w:val="1F5FA9"/>
          <w:sz w:val="34"/>
          <w:szCs w:val="34"/>
        </w:rPr>
        <w:t xml:space="preserve">Trabajo Práctico: Aplicaciones de Aprendizaje Automático</w:t>
      </w:r>
    </w:p>
    <w:p>
      <w:pPr>
        <w:spacing w:after="200" w:line="300"/>
        <w:jc w:val="both"/>
      </w:pPr>
      <w:r>
        <w:rPr>
          <w:color w:val="5A5A57"/>
          <w:sz w:val="18"/>
          <w:szCs w:val="18"/>
        </w:rPr>
        <w:t xml:space="preserve">Albertina Ferreyra · María Florencia Grimaldi · Lucía Koopmann — 4 de octubre de 2026</w:t>
      </w:r>
    </w:p>
    <w:p>
      <w:pPr>
        <w:pStyle w:val="Heading1"/>
        <w:pBdr>
          <w:bottom w:val="single" w:color="D8D8D3" w:sz="6" w:space="6"/>
        </w:pBdr>
        <w:spacing w:after="160" w:before="340"/>
      </w:pPr>
      <w:r>
        <w:t xml:space="preserve">Resumen</w:t>
      </w:r>
    </w:p>
    <w:p>
      <w:pPr>
        <w:spacing w:after="140" w:line="300"/>
        <w:jc w:val="both"/>
      </w:pPr>
      <w:r>
        <w:rPr>
          <w:sz w:val="20"/>
          <w:szCs w:val="20"/>
        </w:rPr>
        <w:t xml:space="preserve">La </w:t>
      </w:r>
      <w:r>
        <w:rPr>
          <w:b/>
          <w:bCs/>
          <w:sz w:val="20"/>
          <w:szCs w:val="20"/>
        </w:rPr>
        <w:t xml:space="preserve">Parte 1</w:t>
      </w:r>
      <w:r>
        <w:rPr>
          <w:sz w:val="20"/>
          <w:szCs w:val="20"/>
        </w:rPr>
        <w:t xml:space="preserve"> resuelve la competencia Home Credit Default Risk: predecir la probabilidad de que un cliente no pague su préstamo, optimizando ROC AUC. Partimos de una regresión logística sobre la tabla principal (AUC 0,7448) y llegamos a un LightGBM con variables construidas desde las cinco tablas y optimización de hiperparámetros (AUC 0,7847 en validación cruzada; 0,7824 en Kaggle Private). El salto vino de los datos, no del modelo: las variables nuevas aportaron +0,018, el cambio de modelo +0,020 y el tuning +0,002.</w:t>
      </w:r>
    </w:p>
    <w:p>
      <w:pPr>
        <w:spacing w:after="140" w:line="300"/>
        <w:jc w:val="both"/>
      </w:pPr>
      <w:r>
        <w:rPr>
          <w:sz w:val="20"/>
          <w:szCs w:val="20"/>
        </w:rPr>
        <w:t xml:space="preserve">La </w:t>
      </w:r>
      <w:r>
        <w:rPr>
          <w:b/>
          <w:bCs/>
          <w:sz w:val="20"/>
          <w:szCs w:val="20"/>
        </w:rPr>
        <w:t xml:space="preserve">Parte 2</w:t>
      </w:r>
      <w:r>
        <w:rPr>
          <w:sz w:val="20"/>
          <w:szCs w:val="20"/>
        </w:rPr>
        <w:t xml:space="preserve"> formula un problema propio sobre datos abiertos de Properati: estimar el valor de mercado de una vivienda residencial en Argentina para que una inversora priorice qué propiedades visitar. Un modelo out-of-the-box reduce el error un 57% contra el baseline (MAPE 24,9% contra 59,2%), lo que confirma que hay señal; el análisis de factibilidad muestra que los límites no son del modelo sino de los datos y de su vigencia en el tiempo.</w:t>
      </w:r>
    </w:p>
    <w:p>
      <w:pPr>
        <w:pStyle w:val="Heading1"/>
        <w:pBdr>
          <w:bottom w:val="single" w:color="D8D8D3" w:sz="6" w:space="6"/>
        </w:pBdr>
        <w:spacing w:after="160" w:before="340"/>
      </w:pPr>
      <w:r>
        <w:t xml:space="preserve">Parte 1 · Home Credit Default Risk</w:t>
      </w:r>
    </w:p>
    <w:p>
      <w:pPr>
        <w:pStyle w:val="Heading2"/>
        <w:spacing w:after="110" w:before="220"/>
      </w:pPr>
      <w:r>
        <w:t xml:space="preserve">1.1 Problema y datos</w:t>
      </w:r>
    </w:p>
    <w:p>
      <w:pPr>
        <w:spacing w:after="140" w:line="300"/>
        <w:jc w:val="both"/>
      </w:pPr>
      <w:r>
        <w:rPr>
          <w:sz w:val="20"/>
          <w:szCs w:val="20"/>
        </w:rPr>
        <w:t xml:space="preserve">El objetivo es predecir la probabilidad de que un cliente tenga dificultades de pago (</w:t>
      </w:r>
      <w:r>
        <w:rPr>
          <w:i/>
          <w:iCs/>
          <w:sz w:val="20"/>
          <w:szCs w:val="20"/>
        </w:rPr>
        <w:t xml:space="preserve">TARGET = 1</w:t>
      </w:r>
      <w:r>
        <w:rPr>
          <w:sz w:val="20"/>
          <w:szCs w:val="20"/>
        </w:rPr>
        <w:t xml:space="preserve">). La métrica de la competencia es ROC AUC: la probabilidad de que el modelo asigne más riesgo a un cliente que no pagó que a uno que sí pagó, tomados al azar. La clase positiva es minoritaria (8,07%), por eso se usa una métrica de ranking y folds estratificados.</w:t>
      </w:r>
    </w:p>
    <w:tbl>
      <w:tblPr>
        <w:tblW w:type="dxa" w:w="9026"/>
        <w:tblBorders>
          <w:top w:val="single" w:color="BFBFBA" w:sz="2"/>
          <w:left w:val="none"/>
          <w:bottom w:val="single" w:color="BFBFBA" w:sz="2"/>
          <w:right w:val="none"/>
          <w:insideH w:val="single" w:color="DEDEDA" w:sz="1"/>
          <w:insideV w:val="none"/>
        </w:tblBorders>
      </w:tblPr>
      <w:tblGrid>
        <w:gridCol w:w="2527"/>
        <w:gridCol w:w="4694"/>
        <w:gridCol w:w="1805"/>
      </w:tblGrid>
      <w:tr>
        <w:trPr>
          <w:tblHeader/>
        </w:trPr>
        <w:tc>
          <w:tcPr>
            <w:tcW w:type="dxa" w:w="2527"/>
            <w:shd w:fill="F2F2EF" w:color="auto" w:val="clear"/>
            <w:tcMar>
              <w:top w:type="dxa" w:w="60"/>
              <w:left w:type="dxa" w:w="90"/>
              <w:bottom w:type="dxa" w:w="60"/>
              <w:right w:type="dxa" w:w="90"/>
            </w:tcMar>
          </w:tcPr>
          <w:p>
            <w:pPr>
              <w:spacing w:after="0" w:line="240"/>
            </w:pPr>
            <w:r>
              <w:rPr>
                <w:b/>
                <w:bCs/>
                <w:sz w:val="18"/>
                <w:szCs w:val="18"/>
              </w:rPr>
              <w:t xml:space="preserve">Archivo</w:t>
            </w:r>
          </w:p>
        </w:tc>
        <w:tc>
          <w:tcPr>
            <w:tcW w:type="dxa" w:w="4694"/>
            <w:shd w:fill="F2F2EF" w:color="auto" w:val="clear"/>
            <w:tcMar>
              <w:top w:type="dxa" w:w="60"/>
              <w:left w:type="dxa" w:w="90"/>
              <w:bottom w:type="dxa" w:w="60"/>
              <w:right w:type="dxa" w:w="90"/>
            </w:tcMar>
          </w:tcPr>
          <w:p>
            <w:pPr>
              <w:spacing w:after="0" w:line="240"/>
            </w:pPr>
            <w:r>
              <w:rPr>
                <w:b/>
                <w:bCs/>
                <w:sz w:val="18"/>
                <w:szCs w:val="18"/>
              </w:rPr>
              <w:t xml:space="preserve">Contenido</w:t>
            </w:r>
          </w:p>
        </w:tc>
        <w:tc>
          <w:tcPr>
            <w:tcW w:type="dxa" w:w="1805"/>
            <w:shd w:fill="F2F2EF" w:color="auto" w:val="clear"/>
            <w:tcMar>
              <w:top w:type="dxa" w:w="60"/>
              <w:left w:type="dxa" w:w="90"/>
              <w:bottom w:type="dxa" w:w="60"/>
              <w:right w:type="dxa" w:w="90"/>
            </w:tcMar>
          </w:tcPr>
          <w:p>
            <w:pPr>
              <w:spacing w:after="0" w:line="240"/>
              <w:jc w:val="right"/>
            </w:pPr>
            <w:r>
              <w:rPr>
                <w:b/>
                <w:bCs/>
                <w:sz w:val="18"/>
                <w:szCs w:val="18"/>
              </w:rPr>
              <w:t xml:space="preserve">Filas</w:t>
            </w:r>
          </w:p>
        </w:tc>
      </w:tr>
      <w:tr>
        <w:tc>
          <w:tcPr>
            <w:tcW w:type="dxa" w:w="2527"/>
            <w:tcMar>
              <w:top w:type="dxa" w:w="60"/>
              <w:left w:type="dxa" w:w="90"/>
              <w:bottom w:type="dxa" w:w="60"/>
              <w:right w:type="dxa" w:w="90"/>
            </w:tcMar>
          </w:tcPr>
          <w:p>
            <w:pPr>
              <w:spacing w:after="0" w:line="240"/>
            </w:pPr>
            <w:r>
              <w:rPr>
                <w:sz w:val="18"/>
                <w:szCs w:val="18"/>
              </w:rPr>
              <w:t xml:space="preserve">application_train / test</w:t>
            </w:r>
          </w:p>
        </w:tc>
        <w:tc>
          <w:tcPr>
            <w:tcW w:type="dxa" w:w="4694"/>
            <w:tcMar>
              <w:top w:type="dxa" w:w="60"/>
              <w:left w:type="dxa" w:w="90"/>
              <w:bottom w:type="dxa" w:w="60"/>
              <w:right w:type="dxa" w:w="90"/>
            </w:tcMar>
          </w:tcPr>
          <w:p>
            <w:pPr>
              <w:spacing w:after="0" w:line="240"/>
            </w:pPr>
            <w:r>
              <w:rPr>
                <w:sz w:val="18"/>
                <w:szCs w:val="18"/>
              </w:rPr>
              <w:t xml:space="preserve">Una fila por préstamo solicitado (122 columnas)</w:t>
            </w:r>
          </w:p>
        </w:tc>
        <w:tc>
          <w:tcPr>
            <w:tcW w:type="dxa" w:w="1805"/>
            <w:tcMar>
              <w:top w:type="dxa" w:w="60"/>
              <w:left w:type="dxa" w:w="90"/>
              <w:bottom w:type="dxa" w:w="60"/>
              <w:right w:type="dxa" w:w="90"/>
            </w:tcMar>
          </w:tcPr>
          <w:p>
            <w:pPr>
              <w:spacing w:after="0" w:line="240"/>
              <w:jc w:val="right"/>
            </w:pPr>
            <w:r>
              <w:rPr>
                <w:sz w:val="18"/>
                <w:szCs w:val="18"/>
              </w:rPr>
              <w:t xml:space="preserve">307.511 / 48.744</w:t>
            </w:r>
          </w:p>
        </w:tc>
      </w:tr>
      <w:tr>
        <w:tc>
          <w:tcPr>
            <w:tcW w:type="dxa" w:w="2527"/>
            <w:tcMar>
              <w:top w:type="dxa" w:w="60"/>
              <w:left w:type="dxa" w:w="90"/>
              <w:bottom w:type="dxa" w:w="60"/>
              <w:right w:type="dxa" w:w="90"/>
            </w:tcMar>
          </w:tcPr>
          <w:p>
            <w:pPr>
              <w:spacing w:after="0" w:line="240"/>
            </w:pPr>
            <w:r>
              <w:rPr>
                <w:sz w:val="18"/>
                <w:szCs w:val="18"/>
              </w:rPr>
              <w:t xml:space="preserve">bureau</w:t>
            </w:r>
          </w:p>
        </w:tc>
        <w:tc>
          <w:tcPr>
            <w:tcW w:type="dxa" w:w="4694"/>
            <w:tcMar>
              <w:top w:type="dxa" w:w="60"/>
              <w:left w:type="dxa" w:w="90"/>
              <w:bottom w:type="dxa" w:w="60"/>
              <w:right w:type="dxa" w:w="90"/>
            </w:tcMar>
          </w:tcPr>
          <w:p>
            <w:pPr>
              <w:spacing w:after="0" w:line="240"/>
            </w:pPr>
            <w:r>
              <w:rPr>
                <w:sz w:val="18"/>
                <w:szCs w:val="18"/>
              </w:rPr>
              <w:t xml:space="preserve">Créditos del cliente en otras entidades</w:t>
            </w:r>
          </w:p>
        </w:tc>
        <w:tc>
          <w:tcPr>
            <w:tcW w:type="dxa" w:w="1805"/>
            <w:tcMar>
              <w:top w:type="dxa" w:w="60"/>
              <w:left w:type="dxa" w:w="90"/>
              <w:bottom w:type="dxa" w:w="60"/>
              <w:right w:type="dxa" w:w="90"/>
            </w:tcMar>
          </w:tcPr>
          <w:p>
            <w:pPr>
              <w:spacing w:after="0" w:line="240"/>
              <w:jc w:val="right"/>
            </w:pPr>
            <w:r>
              <w:rPr>
                <w:sz w:val="18"/>
                <w:szCs w:val="18"/>
              </w:rPr>
              <w:t xml:space="preserve">1,7 M</w:t>
            </w:r>
          </w:p>
        </w:tc>
      </w:tr>
      <w:tr>
        <w:tc>
          <w:tcPr>
            <w:tcW w:type="dxa" w:w="2527"/>
            <w:tcMar>
              <w:top w:type="dxa" w:w="60"/>
              <w:left w:type="dxa" w:w="90"/>
              <w:bottom w:type="dxa" w:w="60"/>
              <w:right w:type="dxa" w:w="90"/>
            </w:tcMar>
          </w:tcPr>
          <w:p>
            <w:pPr>
              <w:spacing w:after="0" w:line="240"/>
            </w:pPr>
            <w:r>
              <w:rPr>
                <w:sz w:val="18"/>
                <w:szCs w:val="18"/>
              </w:rPr>
              <w:t xml:space="preserve">previous_application</w:t>
            </w:r>
          </w:p>
        </w:tc>
        <w:tc>
          <w:tcPr>
            <w:tcW w:type="dxa" w:w="4694"/>
            <w:tcMar>
              <w:top w:type="dxa" w:w="60"/>
              <w:left w:type="dxa" w:w="90"/>
              <w:bottom w:type="dxa" w:w="60"/>
              <w:right w:type="dxa" w:w="90"/>
            </w:tcMar>
          </w:tcPr>
          <w:p>
            <w:pPr>
              <w:spacing w:after="0" w:line="240"/>
            </w:pPr>
            <w:r>
              <w:rPr>
                <w:sz w:val="18"/>
                <w:szCs w:val="18"/>
              </w:rPr>
              <w:t xml:space="preserve">Solicitudes anteriores en Home Credit</w:t>
            </w:r>
          </w:p>
        </w:tc>
        <w:tc>
          <w:tcPr>
            <w:tcW w:type="dxa" w:w="1805"/>
            <w:tcMar>
              <w:top w:type="dxa" w:w="60"/>
              <w:left w:type="dxa" w:w="90"/>
              <w:bottom w:type="dxa" w:w="60"/>
              <w:right w:type="dxa" w:w="90"/>
            </w:tcMar>
          </w:tcPr>
          <w:p>
            <w:pPr>
              <w:spacing w:after="0" w:line="240"/>
              <w:jc w:val="right"/>
            </w:pPr>
            <w:r>
              <w:rPr>
                <w:sz w:val="18"/>
                <w:szCs w:val="18"/>
              </w:rPr>
              <w:t xml:space="preserve">1,7 M</w:t>
            </w:r>
          </w:p>
        </w:tc>
      </w:tr>
      <w:tr>
        <w:tc>
          <w:tcPr>
            <w:tcW w:type="dxa" w:w="2527"/>
            <w:tcMar>
              <w:top w:type="dxa" w:w="60"/>
              <w:left w:type="dxa" w:w="90"/>
              <w:bottom w:type="dxa" w:w="60"/>
              <w:right w:type="dxa" w:w="90"/>
            </w:tcMar>
          </w:tcPr>
          <w:p>
            <w:pPr>
              <w:spacing w:after="0" w:line="240"/>
            </w:pPr>
            <w:r>
              <w:rPr>
                <w:sz w:val="18"/>
                <w:szCs w:val="18"/>
              </w:rPr>
              <w:t xml:space="preserve">installments_payments</w:t>
            </w:r>
          </w:p>
        </w:tc>
        <w:tc>
          <w:tcPr>
            <w:tcW w:type="dxa" w:w="4694"/>
            <w:tcMar>
              <w:top w:type="dxa" w:w="60"/>
              <w:left w:type="dxa" w:w="90"/>
              <w:bottom w:type="dxa" w:w="60"/>
              <w:right w:type="dxa" w:w="90"/>
            </w:tcMar>
          </w:tcPr>
          <w:p>
            <w:pPr>
              <w:spacing w:after="0" w:line="240"/>
            </w:pPr>
            <w:r>
              <w:rPr>
                <w:sz w:val="18"/>
                <w:szCs w:val="18"/>
              </w:rPr>
              <w:t xml:space="preserve">Pagos de cuotas de créditos anteriores</w:t>
            </w:r>
          </w:p>
        </w:tc>
        <w:tc>
          <w:tcPr>
            <w:tcW w:type="dxa" w:w="1805"/>
            <w:tcMar>
              <w:top w:type="dxa" w:w="60"/>
              <w:left w:type="dxa" w:w="90"/>
              <w:bottom w:type="dxa" w:w="60"/>
              <w:right w:type="dxa" w:w="90"/>
            </w:tcMar>
          </w:tcPr>
          <w:p>
            <w:pPr>
              <w:spacing w:after="0" w:line="240"/>
              <w:jc w:val="right"/>
            </w:pPr>
            <w:r>
              <w:rPr>
                <w:sz w:val="18"/>
                <w:szCs w:val="18"/>
              </w:rPr>
              <w:t xml:space="preserve">13,6 M</w:t>
            </w:r>
          </w:p>
        </w:tc>
      </w:tr>
      <w:tr>
        <w:tc>
          <w:tcPr>
            <w:tcW w:type="dxa" w:w="2527"/>
            <w:tcMar>
              <w:top w:type="dxa" w:w="60"/>
              <w:left w:type="dxa" w:w="90"/>
              <w:bottom w:type="dxa" w:w="60"/>
              <w:right w:type="dxa" w:w="90"/>
            </w:tcMar>
          </w:tcPr>
          <w:p>
            <w:pPr>
              <w:spacing w:after="0" w:line="240"/>
            </w:pPr>
            <w:r>
              <w:rPr>
                <w:sz w:val="18"/>
                <w:szCs w:val="18"/>
              </w:rPr>
              <w:t xml:space="preserve">bureau_balance, POS_CASH, credit_card</w:t>
            </w:r>
          </w:p>
        </w:tc>
        <w:tc>
          <w:tcPr>
            <w:tcW w:type="dxa" w:w="4694"/>
            <w:tcMar>
              <w:top w:type="dxa" w:w="60"/>
              <w:left w:type="dxa" w:w="90"/>
              <w:bottom w:type="dxa" w:w="60"/>
              <w:right w:type="dxa" w:w="90"/>
            </w:tcMar>
          </w:tcPr>
          <w:p>
            <w:pPr>
              <w:spacing w:after="0" w:line="240"/>
            </w:pPr>
            <w:r>
              <w:rPr>
                <w:sz w:val="18"/>
                <w:szCs w:val="18"/>
              </w:rPr>
              <w:t xml:space="preserve">Historiales mensuales (no utilizados)</w:t>
            </w:r>
          </w:p>
        </w:tc>
        <w:tc>
          <w:tcPr>
            <w:tcW w:type="dxa" w:w="1805"/>
            <w:tcMar>
              <w:top w:type="dxa" w:w="60"/>
              <w:left w:type="dxa" w:w="90"/>
              <w:bottom w:type="dxa" w:w="60"/>
              <w:right w:type="dxa" w:w="90"/>
            </w:tcMar>
          </w:tcPr>
          <w:p>
            <w:pPr>
              <w:spacing w:after="0" w:line="240"/>
              <w:jc w:val="right"/>
            </w:pPr>
            <w:r>
              <w:rPr>
                <w:sz w:val="18"/>
                <w:szCs w:val="18"/>
              </w:rPr>
              <w:t xml:space="preserve">—</w:t>
            </w:r>
          </w:p>
        </w:tc>
      </w:tr>
    </w:tbl>
    <w:p>
      <w:pPr>
        <w:spacing w:after="60" w:line="300"/>
        <w:jc w:val="both"/>
      </w:pPr>
      <w:r>
        <w:rPr>
          <w:sz w:val="20"/>
          <w:szCs w:val="20"/>
        </w:rPr>
        <w:t xml:space="preserve"/>
      </w:r>
    </w:p>
    <w:p>
      <w:pPr>
        <w:pStyle w:val="Heading2"/>
        <w:spacing w:after="110" w:before="220"/>
      </w:pPr>
      <w:r>
        <w:t xml:space="preserve">1.2 Esquema de validación</w:t>
      </w:r>
    </w:p>
    <w:p>
      <w:pPr>
        <w:spacing w:after="140" w:line="300"/>
        <w:jc w:val="both"/>
      </w:pPr>
      <w:r>
        <w:rPr>
          <w:sz w:val="20"/>
          <w:szCs w:val="20"/>
        </w:rPr>
        <w:t xml:space="preserve">Validación cruzada estratificada de 5 folds con semilla fija (42). Cada préstamo tiene asignado su fold en un archivo versionado en git, de modo que todos los experimentos del grupo se comparan sobre exactamente la misma partición. Cada fold conserva la tasa de default (≈8,07%) y contiene unos 61.500 préstamos.</w:t>
      </w:r>
    </w:p>
    <w:p>
      <w:pPr>
        <w:pStyle w:val="ListParagraph"/>
        <w:numPr>
          <w:ilvl w:val="0"/>
          <w:numId w:val="2"/>
        </w:numPr>
        <w:spacing w:after="80" w:line="300"/>
        <w:jc w:val="both"/>
      </w:pPr>
      <w:r>
        <w:rPr>
          <w:sz w:val="20"/>
          <w:szCs w:val="20"/>
        </w:rPr>
        <w:t xml:space="preserve">Reportamos AUC out-of-fold: cada préstamo se predice con el modelo que no lo vio al entrenar.</w:t>
      </w:r>
    </w:p>
    <w:p>
      <w:pPr>
        <w:pStyle w:val="ListParagraph"/>
        <w:numPr>
          <w:ilvl w:val="0"/>
          <w:numId w:val="2"/>
        </w:numPr>
        <w:spacing w:after="80" w:line="300"/>
        <w:jc w:val="both"/>
      </w:pPr>
      <w:r>
        <w:rPr>
          <w:sz w:val="20"/>
          <w:szCs w:val="20"/>
        </w:rPr>
        <w:t xml:space="preserve">Todo el preprocesamiento (imputación, escalado, codificación) va dentro de un Pipeline, de modo que se ajusta solo con el train de cada fold y no hay fuga de información.</w:t>
      </w:r>
    </w:p>
    <w:p>
      <w:pPr>
        <w:pStyle w:val="ListParagraph"/>
        <w:numPr>
          <w:ilvl w:val="0"/>
          <w:numId w:val="2"/>
        </w:numPr>
        <w:spacing w:after="80" w:line="300"/>
        <w:jc w:val="both"/>
      </w:pPr>
      <w:r>
        <w:rPr>
          <w:sz w:val="20"/>
          <w:szCs w:val="20"/>
        </w:rPr>
        <w:t xml:space="preserve">La predicción de test es el promedio de los cinco modelos, uno por fold.</w:t>
      </w:r>
    </w:p>
    <w:p>
      <w:pPr>
        <w:pStyle w:val="ListParagraph"/>
        <w:numPr>
          <w:ilvl w:val="0"/>
          <w:numId w:val="2"/>
        </w:numPr>
        <w:spacing w:after="80" w:line="300"/>
        <w:jc w:val="both"/>
      </w:pPr>
      <w:r>
        <w:rPr>
          <w:sz w:val="20"/>
          <w:szCs w:val="20"/>
        </w:rPr>
        <w:t xml:space="preserve">Chequeo contra Kaggle: la diferencia entre validación y Kaggle fue de 0,011 con la logística y de 0,002 con el modelo final, lo que respalda usar la validación para elegir modelos.</w:t>
      </w:r>
    </w:p>
    <w:p>
      <w:pPr>
        <w:spacing w:after="140" w:line="300"/>
        <w:jc w:val="both"/>
      </w:pPr>
      <w:r>
        <w:rPr>
          <w:b/>
          <w:bCs/>
          <w:sz w:val="20"/>
          <w:szCs w:val="20"/>
        </w:rPr>
        <w:t xml:space="preserve">Advertencia metodológica: </w:t>
      </w:r>
      <w:r>
        <w:rPr>
          <w:sz w:val="20"/>
          <w:szCs w:val="20"/>
        </w:rPr>
        <w:t xml:space="preserve">el AUC de 0,7847 es el mejor de 30 pruebas de optimización evaluadas sobre esos mismos folds, por lo que está algo sobreestimado como estimación del desempeño futuro. El score de Kaggle, que proviene de datos no usados en ninguna etapa, lo confirma con una diferencia de 0,002.</w:t>
      </w:r>
    </w:p>
    <w:p>
      <w:pPr>
        <w:pStyle w:val="Heading2"/>
        <w:spacing w:after="110" w:before="220"/>
      </w:pPr>
      <w:r>
        <w:t xml:space="preserve">1.3 Preprocesamiento y feature engineering</w:t>
      </w:r>
    </w:p>
    <w:p>
      <w:pPr>
        <w:spacing w:after="140" w:line="300"/>
        <w:jc w:val="both"/>
      </w:pPr>
      <w:r>
        <w:rPr>
          <w:sz w:val="20"/>
          <w:szCs w:val="20"/>
        </w:rPr>
        <w:t xml:space="preserve">Sobre la tabla principal construimos variables que capturan relaciones económicas que las columnas originales no expresan de forma directa:</w:t>
      </w:r>
    </w:p>
    <w:tbl>
      <w:tblPr>
        <w:tblW w:type="dxa" w:w="9026"/>
        <w:tblBorders>
          <w:top w:val="single" w:color="BFBFBA" w:sz="2"/>
          <w:left w:val="none"/>
          <w:bottom w:val="single" w:color="BFBFBA" w:sz="2"/>
          <w:right w:val="none"/>
          <w:insideH w:val="single" w:color="DEDEDA" w:sz="1"/>
          <w:insideV w:val="none"/>
        </w:tblBorders>
      </w:tblPr>
      <w:tblGrid>
        <w:gridCol w:w="2708"/>
        <w:gridCol w:w="2527"/>
        <w:gridCol w:w="3791"/>
      </w:tblGrid>
      <w:tr>
        <w:trPr>
          <w:tblHeader/>
        </w:trPr>
        <w:tc>
          <w:tcPr>
            <w:tcW w:type="dxa" w:w="2708"/>
            <w:shd w:fill="F2F2EF" w:color="auto" w:val="clear"/>
            <w:tcMar>
              <w:top w:type="dxa" w:w="60"/>
              <w:left w:type="dxa" w:w="90"/>
              <w:bottom w:type="dxa" w:w="60"/>
              <w:right w:type="dxa" w:w="90"/>
            </w:tcMar>
          </w:tcPr>
          <w:p>
            <w:pPr>
              <w:spacing w:after="0" w:line="240"/>
            </w:pPr>
            <w:r>
              <w:rPr>
                <w:b/>
                <w:bCs/>
                <w:sz w:val="18"/>
                <w:szCs w:val="18"/>
              </w:rPr>
              <w:t xml:space="preserve">Variable</w:t>
            </w:r>
          </w:p>
        </w:tc>
        <w:tc>
          <w:tcPr>
            <w:tcW w:type="dxa" w:w="2527"/>
            <w:shd w:fill="F2F2EF" w:color="auto" w:val="clear"/>
            <w:tcMar>
              <w:top w:type="dxa" w:w="60"/>
              <w:left w:type="dxa" w:w="90"/>
              <w:bottom w:type="dxa" w:w="60"/>
              <w:right w:type="dxa" w:w="90"/>
            </w:tcMar>
          </w:tcPr>
          <w:p>
            <w:pPr>
              <w:spacing w:after="0" w:line="240"/>
            </w:pPr>
            <w:r>
              <w:rPr>
                <w:b/>
                <w:bCs/>
                <w:sz w:val="18"/>
                <w:szCs w:val="18"/>
              </w:rPr>
              <w:t xml:space="preserve">Cálculo</w:t>
            </w:r>
          </w:p>
        </w:tc>
        <w:tc>
          <w:tcPr>
            <w:tcW w:type="dxa" w:w="3791"/>
            <w:shd w:fill="F2F2EF" w:color="auto" w:val="clear"/>
            <w:tcMar>
              <w:top w:type="dxa" w:w="60"/>
              <w:left w:type="dxa" w:w="90"/>
              <w:bottom w:type="dxa" w:w="60"/>
              <w:right w:type="dxa" w:w="90"/>
            </w:tcMar>
          </w:tcPr>
          <w:p>
            <w:pPr>
              <w:spacing w:after="0" w:line="240"/>
            </w:pPr>
            <w:r>
              <w:rPr>
                <w:b/>
                <w:bCs/>
                <w:sz w:val="18"/>
                <w:szCs w:val="18"/>
              </w:rPr>
              <w:t xml:space="preserve">Qué captura</w:t>
            </w:r>
          </w:p>
        </w:tc>
      </w:tr>
      <w:tr>
        <w:tc>
          <w:tcPr>
            <w:tcW w:type="dxa" w:w="2708"/>
            <w:tcMar>
              <w:top w:type="dxa" w:w="60"/>
              <w:left w:type="dxa" w:w="90"/>
              <w:bottom w:type="dxa" w:w="60"/>
              <w:right w:type="dxa" w:w="90"/>
            </w:tcMar>
          </w:tcPr>
          <w:p>
            <w:pPr>
              <w:spacing w:after="0" w:line="240"/>
            </w:pPr>
            <w:r>
              <w:rPr>
                <w:sz w:val="18"/>
                <w:szCs w:val="18"/>
              </w:rPr>
              <w:t xml:space="preserve">CREDIT_INCOME_RATIO</w:t>
            </w:r>
          </w:p>
        </w:tc>
        <w:tc>
          <w:tcPr>
            <w:tcW w:type="dxa" w:w="2527"/>
            <w:tcMar>
              <w:top w:type="dxa" w:w="60"/>
              <w:left w:type="dxa" w:w="90"/>
              <w:bottom w:type="dxa" w:w="60"/>
              <w:right w:type="dxa" w:w="90"/>
            </w:tcMar>
          </w:tcPr>
          <w:p>
            <w:pPr>
              <w:spacing w:after="0" w:line="240"/>
            </w:pPr>
            <w:r>
              <w:rPr>
                <w:sz w:val="18"/>
                <w:szCs w:val="18"/>
              </w:rPr>
              <w:t xml:space="preserve">préstamo / ingreso</w:t>
            </w:r>
          </w:p>
        </w:tc>
        <w:tc>
          <w:tcPr>
            <w:tcW w:type="dxa" w:w="3791"/>
            <w:tcMar>
              <w:top w:type="dxa" w:w="60"/>
              <w:left w:type="dxa" w:w="90"/>
              <w:bottom w:type="dxa" w:w="60"/>
              <w:right w:type="dxa" w:w="90"/>
            </w:tcMar>
          </w:tcPr>
          <w:p>
            <w:pPr>
              <w:spacing w:after="0" w:line="240"/>
            </w:pPr>
            <w:r>
              <w:rPr>
                <w:sz w:val="18"/>
                <w:szCs w:val="18"/>
              </w:rPr>
              <w:t xml:space="preserve">Cuántos ingresos anuales debe</w:t>
            </w:r>
          </w:p>
        </w:tc>
      </w:tr>
      <w:tr>
        <w:tc>
          <w:tcPr>
            <w:tcW w:type="dxa" w:w="2708"/>
            <w:tcMar>
              <w:top w:type="dxa" w:w="60"/>
              <w:left w:type="dxa" w:w="90"/>
              <w:bottom w:type="dxa" w:w="60"/>
              <w:right w:type="dxa" w:w="90"/>
            </w:tcMar>
          </w:tcPr>
          <w:p>
            <w:pPr>
              <w:spacing w:after="0" w:line="240"/>
            </w:pPr>
            <w:r>
              <w:rPr>
                <w:sz w:val="18"/>
                <w:szCs w:val="18"/>
              </w:rPr>
              <w:t xml:space="preserve">ANNUITY_INCOME_RATIO</w:t>
            </w:r>
          </w:p>
        </w:tc>
        <w:tc>
          <w:tcPr>
            <w:tcW w:type="dxa" w:w="2527"/>
            <w:tcMar>
              <w:top w:type="dxa" w:w="60"/>
              <w:left w:type="dxa" w:w="90"/>
              <w:bottom w:type="dxa" w:w="60"/>
              <w:right w:type="dxa" w:w="90"/>
            </w:tcMar>
          </w:tcPr>
          <w:p>
            <w:pPr>
              <w:spacing w:after="0" w:line="240"/>
            </w:pPr>
            <w:r>
              <w:rPr>
                <w:sz w:val="18"/>
                <w:szCs w:val="18"/>
              </w:rPr>
              <w:t xml:space="preserve">cuota / ingreso</w:t>
            </w:r>
          </w:p>
        </w:tc>
        <w:tc>
          <w:tcPr>
            <w:tcW w:type="dxa" w:w="3791"/>
            <w:tcMar>
              <w:top w:type="dxa" w:w="60"/>
              <w:left w:type="dxa" w:w="90"/>
              <w:bottom w:type="dxa" w:w="60"/>
              <w:right w:type="dxa" w:w="90"/>
            </w:tcMar>
          </w:tcPr>
          <w:p>
            <w:pPr>
              <w:spacing w:after="0" w:line="240"/>
            </w:pPr>
            <w:r>
              <w:rPr>
                <w:sz w:val="18"/>
                <w:szCs w:val="18"/>
              </w:rPr>
              <w:t xml:space="preserve">Qué parte del ingreso se va en la cuota</w:t>
            </w:r>
          </w:p>
        </w:tc>
      </w:tr>
      <w:tr>
        <w:tc>
          <w:tcPr>
            <w:tcW w:type="dxa" w:w="2708"/>
            <w:tcMar>
              <w:top w:type="dxa" w:w="60"/>
              <w:left w:type="dxa" w:w="90"/>
              <w:bottom w:type="dxa" w:w="60"/>
              <w:right w:type="dxa" w:w="90"/>
            </w:tcMar>
          </w:tcPr>
          <w:p>
            <w:pPr>
              <w:spacing w:after="0" w:line="240"/>
            </w:pPr>
            <w:r>
              <w:rPr>
                <w:sz w:val="18"/>
                <w:szCs w:val="18"/>
              </w:rPr>
              <w:t xml:space="preserve">CREDIT_TERM</w:t>
            </w:r>
          </w:p>
        </w:tc>
        <w:tc>
          <w:tcPr>
            <w:tcW w:type="dxa" w:w="2527"/>
            <w:tcMar>
              <w:top w:type="dxa" w:w="60"/>
              <w:left w:type="dxa" w:w="90"/>
              <w:bottom w:type="dxa" w:w="60"/>
              <w:right w:type="dxa" w:w="90"/>
            </w:tcMar>
          </w:tcPr>
          <w:p>
            <w:pPr>
              <w:spacing w:after="0" w:line="240"/>
            </w:pPr>
            <w:r>
              <w:rPr>
                <w:sz w:val="18"/>
                <w:szCs w:val="18"/>
              </w:rPr>
              <w:t xml:space="preserve">cuota / préstamo</w:t>
            </w:r>
          </w:p>
        </w:tc>
        <w:tc>
          <w:tcPr>
            <w:tcW w:type="dxa" w:w="3791"/>
            <w:tcMar>
              <w:top w:type="dxa" w:w="60"/>
              <w:left w:type="dxa" w:w="90"/>
              <w:bottom w:type="dxa" w:w="60"/>
              <w:right w:type="dxa" w:w="90"/>
            </w:tcMar>
          </w:tcPr>
          <w:p>
            <w:pPr>
              <w:spacing w:after="0" w:line="240"/>
            </w:pPr>
            <w:r>
              <w:rPr>
                <w:sz w:val="18"/>
                <w:szCs w:val="18"/>
              </w:rPr>
              <w:t xml:space="preserve">≈ 1/plazo: cuota alta implica plazo corto</w:t>
            </w:r>
          </w:p>
        </w:tc>
      </w:tr>
      <w:tr>
        <w:tc>
          <w:tcPr>
            <w:tcW w:type="dxa" w:w="2708"/>
            <w:tcMar>
              <w:top w:type="dxa" w:w="60"/>
              <w:left w:type="dxa" w:w="90"/>
              <w:bottom w:type="dxa" w:w="60"/>
              <w:right w:type="dxa" w:w="90"/>
            </w:tcMar>
          </w:tcPr>
          <w:p>
            <w:pPr>
              <w:spacing w:after="0" w:line="240"/>
            </w:pPr>
            <w:r>
              <w:rPr>
                <w:sz w:val="18"/>
                <w:szCs w:val="18"/>
              </w:rPr>
              <w:t xml:space="preserve">GOODS_CREDIT_RATIO</w:t>
            </w:r>
          </w:p>
        </w:tc>
        <w:tc>
          <w:tcPr>
            <w:tcW w:type="dxa" w:w="2527"/>
            <w:tcMar>
              <w:top w:type="dxa" w:w="60"/>
              <w:left w:type="dxa" w:w="90"/>
              <w:bottom w:type="dxa" w:w="60"/>
              <w:right w:type="dxa" w:w="90"/>
            </w:tcMar>
          </w:tcPr>
          <w:p>
            <w:pPr>
              <w:spacing w:after="0" w:line="240"/>
            </w:pPr>
            <w:r>
              <w:rPr>
                <w:sz w:val="18"/>
                <w:szCs w:val="18"/>
              </w:rPr>
              <w:t xml:space="preserve">precio del bien / préstamo</w:t>
            </w:r>
          </w:p>
        </w:tc>
        <w:tc>
          <w:tcPr>
            <w:tcW w:type="dxa" w:w="3791"/>
            <w:tcMar>
              <w:top w:type="dxa" w:w="60"/>
              <w:left w:type="dxa" w:w="90"/>
              <w:bottom w:type="dxa" w:w="60"/>
              <w:right w:type="dxa" w:w="90"/>
            </w:tcMar>
          </w:tcPr>
          <w:p>
            <w:pPr>
              <w:spacing w:after="0" w:line="240"/>
            </w:pPr>
            <w:r>
              <w:rPr>
                <w:sz w:val="18"/>
                <w:szCs w:val="18"/>
              </w:rPr>
              <w:t xml:space="preserve">Menor a 1 si financia más que el bien</w:t>
            </w:r>
          </w:p>
        </w:tc>
      </w:tr>
      <w:tr>
        <w:tc>
          <w:tcPr>
            <w:tcW w:type="dxa" w:w="2708"/>
            <w:tcMar>
              <w:top w:type="dxa" w:w="60"/>
              <w:left w:type="dxa" w:w="90"/>
              <w:bottom w:type="dxa" w:w="60"/>
              <w:right w:type="dxa" w:w="90"/>
            </w:tcMar>
          </w:tcPr>
          <w:p>
            <w:pPr>
              <w:spacing w:after="0" w:line="240"/>
            </w:pPr>
            <w:r>
              <w:rPr>
                <w:sz w:val="18"/>
                <w:szCs w:val="18"/>
              </w:rPr>
              <w:t xml:space="preserve">INCOME_PER_PERSON</w:t>
            </w:r>
          </w:p>
        </w:tc>
        <w:tc>
          <w:tcPr>
            <w:tcW w:type="dxa" w:w="2527"/>
            <w:tcMar>
              <w:top w:type="dxa" w:w="60"/>
              <w:left w:type="dxa" w:w="90"/>
              <w:bottom w:type="dxa" w:w="60"/>
              <w:right w:type="dxa" w:w="90"/>
            </w:tcMar>
          </w:tcPr>
          <w:p>
            <w:pPr>
              <w:spacing w:after="0" w:line="240"/>
            </w:pPr>
            <w:r>
              <w:rPr>
                <w:sz w:val="18"/>
                <w:szCs w:val="18"/>
              </w:rPr>
              <w:t xml:space="preserve">ingreso / miembros del hogar</w:t>
            </w:r>
          </w:p>
        </w:tc>
        <w:tc>
          <w:tcPr>
            <w:tcW w:type="dxa" w:w="3791"/>
            <w:tcMar>
              <w:top w:type="dxa" w:w="60"/>
              <w:left w:type="dxa" w:w="90"/>
              <w:bottom w:type="dxa" w:w="60"/>
              <w:right w:type="dxa" w:w="90"/>
            </w:tcMar>
          </w:tcPr>
          <w:p>
            <w:pPr>
              <w:spacing w:after="0" w:line="240"/>
            </w:pPr>
            <w:r>
              <w:rPr>
                <w:sz w:val="18"/>
                <w:szCs w:val="18"/>
              </w:rPr>
              <w:t xml:space="preserve">Ingreso disponible por persona</w:t>
            </w:r>
          </w:p>
        </w:tc>
      </w:tr>
      <w:tr>
        <w:tc>
          <w:tcPr>
            <w:tcW w:type="dxa" w:w="2708"/>
            <w:tcMar>
              <w:top w:type="dxa" w:w="60"/>
              <w:left w:type="dxa" w:w="90"/>
              <w:bottom w:type="dxa" w:w="60"/>
              <w:right w:type="dxa" w:w="90"/>
            </w:tcMar>
          </w:tcPr>
          <w:p>
            <w:pPr>
              <w:spacing w:after="0" w:line="240"/>
            </w:pPr>
            <w:r>
              <w:rPr>
                <w:sz w:val="18"/>
                <w:szCs w:val="18"/>
              </w:rPr>
              <w:t xml:space="preserve">AGE_YEARS, EMPLOYED_AGE_RATIO</w:t>
            </w:r>
          </w:p>
        </w:tc>
        <w:tc>
          <w:tcPr>
            <w:tcW w:type="dxa" w:w="2527"/>
            <w:tcMar>
              <w:top w:type="dxa" w:w="60"/>
              <w:left w:type="dxa" w:w="90"/>
              <w:bottom w:type="dxa" w:w="60"/>
              <w:right w:type="dxa" w:w="90"/>
            </w:tcMar>
          </w:tcPr>
          <w:p>
            <w:pPr>
              <w:spacing w:after="0" w:line="240"/>
            </w:pPr>
            <w:r>
              <w:rPr>
                <w:sz w:val="18"/>
                <w:szCs w:val="18"/>
              </w:rPr>
              <w:t xml:space="preserve">edad; días trabajados / días de vida</w:t>
            </w:r>
          </w:p>
        </w:tc>
        <w:tc>
          <w:tcPr>
            <w:tcW w:type="dxa" w:w="3791"/>
            <w:tcMar>
              <w:top w:type="dxa" w:w="60"/>
              <w:left w:type="dxa" w:w="90"/>
              <w:bottom w:type="dxa" w:w="60"/>
              <w:right w:type="dxa" w:w="90"/>
            </w:tcMar>
          </w:tcPr>
          <w:p>
            <w:pPr>
              <w:spacing w:after="0" w:line="240"/>
            </w:pPr>
            <w:r>
              <w:rPr>
                <w:sz w:val="18"/>
                <w:szCs w:val="18"/>
              </w:rPr>
              <w:t xml:space="preserve">Edad y estabilidad laboral</w:t>
            </w:r>
          </w:p>
        </w:tc>
      </w:tr>
      <w:tr>
        <w:tc>
          <w:tcPr>
            <w:tcW w:type="dxa" w:w="2708"/>
            <w:tcMar>
              <w:top w:type="dxa" w:w="60"/>
              <w:left w:type="dxa" w:w="90"/>
              <w:bottom w:type="dxa" w:w="60"/>
              <w:right w:type="dxa" w:w="90"/>
            </w:tcMar>
          </w:tcPr>
          <w:p>
            <w:pPr>
              <w:spacing w:after="0" w:line="240"/>
            </w:pPr>
            <w:r>
              <w:rPr>
                <w:sz w:val="18"/>
                <w:szCs w:val="18"/>
              </w:rPr>
              <w:t xml:space="preserve">DAYS_EMPLOYED_ANOM</w:t>
            </w:r>
          </w:p>
        </w:tc>
        <w:tc>
          <w:tcPr>
            <w:tcW w:type="dxa" w:w="2527"/>
            <w:tcMar>
              <w:top w:type="dxa" w:w="60"/>
              <w:left w:type="dxa" w:w="90"/>
              <w:bottom w:type="dxa" w:w="60"/>
              <w:right w:type="dxa" w:w="90"/>
            </w:tcMar>
          </w:tcPr>
          <w:p>
            <w:pPr>
              <w:spacing w:after="0" w:line="240"/>
            </w:pPr>
            <w:r>
              <w:rPr>
                <w:sz w:val="18"/>
                <w:szCs w:val="18"/>
              </w:rPr>
              <w:t xml:space="preserve">marca DAYS_EMPLOYED = 365.243</w:t>
            </w:r>
          </w:p>
        </w:tc>
        <w:tc>
          <w:tcPr>
            <w:tcW w:type="dxa" w:w="3791"/>
            <w:tcMar>
              <w:top w:type="dxa" w:w="60"/>
              <w:left w:type="dxa" w:w="90"/>
              <w:bottom w:type="dxa" w:w="60"/>
              <w:right w:type="dxa" w:w="90"/>
            </w:tcMar>
          </w:tcPr>
          <w:p>
            <w:pPr>
              <w:spacing w:after="0" w:line="240"/>
            </w:pPr>
            <w:r>
              <w:rPr>
                <w:sz w:val="18"/>
                <w:szCs w:val="18"/>
              </w:rPr>
              <w:t xml:space="preserve">Valor centinela en el 18% de las filas; el original pasa a nulo</w:t>
            </w:r>
          </w:p>
        </w:tc>
      </w:tr>
      <w:tr>
        <w:tc>
          <w:tcPr>
            <w:tcW w:type="dxa" w:w="2708"/>
            <w:tcMar>
              <w:top w:type="dxa" w:w="60"/>
              <w:left w:type="dxa" w:w="90"/>
              <w:bottom w:type="dxa" w:w="60"/>
              <w:right w:type="dxa" w:w="90"/>
            </w:tcMar>
          </w:tcPr>
          <w:p>
            <w:pPr>
              <w:spacing w:after="0" w:line="240"/>
            </w:pPr>
            <w:r>
              <w:rPr>
                <w:sz w:val="18"/>
                <w:szCs w:val="18"/>
              </w:rPr>
              <w:t xml:space="preserve">EXT_SOURCE_MEAN/MIN/MAX/STD</w:t>
            </w:r>
          </w:p>
        </w:tc>
        <w:tc>
          <w:tcPr>
            <w:tcW w:type="dxa" w:w="2527"/>
            <w:tcMar>
              <w:top w:type="dxa" w:w="60"/>
              <w:left w:type="dxa" w:w="90"/>
              <w:bottom w:type="dxa" w:w="60"/>
              <w:right w:type="dxa" w:w="90"/>
            </w:tcMar>
          </w:tcPr>
          <w:p>
            <w:pPr>
              <w:spacing w:after="0" w:line="240"/>
            </w:pPr>
            <w:r>
              <w:rPr>
                <w:sz w:val="18"/>
                <w:szCs w:val="18"/>
              </w:rPr>
              <w:t xml:space="preserve">resúmenes de los 3 scores externos</w:t>
            </w:r>
          </w:p>
        </w:tc>
        <w:tc>
          <w:tcPr>
            <w:tcW w:type="dxa" w:w="3791"/>
            <w:tcMar>
              <w:top w:type="dxa" w:w="60"/>
              <w:left w:type="dxa" w:w="90"/>
              <w:bottom w:type="dxa" w:w="60"/>
              <w:right w:type="dxa" w:w="90"/>
            </w:tcMar>
          </w:tcPr>
          <w:p>
            <w:pPr>
              <w:spacing w:after="0" w:line="240"/>
            </w:pPr>
            <w:r>
              <w:rPr>
                <w:sz w:val="18"/>
                <w:szCs w:val="18"/>
              </w:rPr>
              <w:t xml:space="preserve">EXT_SOURCE_1 falta en 56%: el resumen aprovecha los disponibles</w:t>
            </w:r>
          </w:p>
        </w:tc>
      </w:tr>
      <w:tr>
        <w:tc>
          <w:tcPr>
            <w:tcW w:type="dxa" w:w="2708"/>
            <w:tcMar>
              <w:top w:type="dxa" w:w="60"/>
              <w:left w:type="dxa" w:w="90"/>
              <w:bottom w:type="dxa" w:w="60"/>
              <w:right w:type="dxa" w:w="90"/>
            </w:tcMar>
          </w:tcPr>
          <w:p>
            <w:pPr>
              <w:spacing w:after="0" w:line="240"/>
            </w:pPr>
            <w:r>
              <w:rPr>
                <w:sz w:val="18"/>
                <w:szCs w:val="18"/>
              </w:rPr>
              <w:t xml:space="preserve">DOCS_COUNT</w:t>
            </w:r>
          </w:p>
        </w:tc>
        <w:tc>
          <w:tcPr>
            <w:tcW w:type="dxa" w:w="2527"/>
            <w:tcMar>
              <w:top w:type="dxa" w:w="60"/>
              <w:left w:type="dxa" w:w="90"/>
              <w:bottom w:type="dxa" w:w="60"/>
              <w:right w:type="dxa" w:w="90"/>
            </w:tcMar>
          </w:tcPr>
          <w:p>
            <w:pPr>
              <w:spacing w:after="0" w:line="240"/>
            </w:pPr>
            <w:r>
              <w:rPr>
                <w:sz w:val="18"/>
                <w:szCs w:val="18"/>
              </w:rPr>
              <w:t xml:space="preserve">suma de FLAG_DOCUMENT_*</w:t>
            </w:r>
          </w:p>
        </w:tc>
        <w:tc>
          <w:tcPr>
            <w:tcW w:type="dxa" w:w="3791"/>
            <w:tcMar>
              <w:top w:type="dxa" w:w="60"/>
              <w:left w:type="dxa" w:w="90"/>
              <w:bottom w:type="dxa" w:w="60"/>
              <w:right w:type="dxa" w:w="90"/>
            </w:tcMar>
          </w:tcPr>
          <w:p>
            <w:pPr>
              <w:spacing w:after="0" w:line="240"/>
            </w:pPr>
            <w:r>
              <w:rPr>
                <w:sz w:val="18"/>
                <w:szCs w:val="18"/>
              </w:rPr>
              <w:t xml:space="preserve">Documentos presentados</w:t>
            </w:r>
          </w:p>
        </w:tc>
      </w:tr>
    </w:tbl>
    <w:p>
      <w:pPr>
        <w:spacing w:after="60" w:line="300"/>
        <w:jc w:val="both"/>
      </w:pPr>
      <w:r>
        <w:rPr>
          <w:sz w:val="20"/>
          <w:szCs w:val="20"/>
        </w:rPr>
        <w:t xml:space="preserve"/>
      </w:r>
    </w:p>
    <w:p>
      <w:pPr>
        <w:spacing w:after="140" w:line="300"/>
        <w:jc w:val="both"/>
      </w:pPr>
      <w:r>
        <w:rPr>
          <w:sz w:val="20"/>
          <w:szCs w:val="20"/>
        </w:rPr>
        <w:t xml:space="preserve">Las tablas auxiliares tienen varias filas por cliente, así que se resumen a una fila por cliente agregando por SK_ID_CURR antes de unirlas. Ninguna agregación usa la variable objetivo, por lo que no introducen fuga de información:</w:t>
      </w:r>
    </w:p>
    <w:p>
      <w:pPr>
        <w:pStyle w:val="ListParagraph"/>
        <w:numPr>
          <w:ilvl w:val="0"/>
          <w:numId w:val="2"/>
        </w:numPr>
        <w:spacing w:after="80" w:line="300"/>
        <w:jc w:val="both"/>
      </w:pPr>
      <w:r>
        <w:rPr>
          <w:sz w:val="20"/>
          <w:szCs w:val="20"/>
        </w:rPr>
        <w:t xml:space="preserve">bureau: cantidad de créditos y activos, deuda total, deuda sobre monto, montos vencidos, máximo atraso, antigüedad del crédito más reciente, prórrogas.</w:t>
      </w:r>
    </w:p>
    <w:p>
      <w:pPr>
        <w:pStyle w:val="ListParagraph"/>
        <w:numPr>
          <w:ilvl w:val="0"/>
          <w:numId w:val="2"/>
        </w:numPr>
        <w:spacing w:after="80" w:line="300"/>
        <w:jc w:val="both"/>
      </w:pPr>
      <w:r>
        <w:rPr>
          <w:sz w:val="20"/>
          <w:szCs w:val="20"/>
        </w:rPr>
        <w:t xml:space="preserve">previous_application: cantidad de pedidos, porcentaje rechazado y aprobado, pedido sobre otorgado, monto y cuota media, plazo medio, días desde el último pedido.</w:t>
      </w:r>
    </w:p>
    <w:p>
      <w:pPr>
        <w:pStyle w:val="ListParagraph"/>
        <w:numPr>
          <w:ilvl w:val="0"/>
          <w:numId w:val="2"/>
        </w:numPr>
        <w:spacing w:after="80" w:line="300"/>
        <w:jc w:val="both"/>
      </w:pPr>
      <w:r>
        <w:rPr>
          <w:sz w:val="20"/>
          <w:szCs w:val="20"/>
        </w:rPr>
        <w:t xml:space="preserve">installments_payments: porcentaje de cuotas pagadas tarde, días de atraso medio y máximo, porcentaje de cuotas pagadas de menos, ratio pagado sobre adeudado.</w:t>
      </w:r>
    </w:p>
    <w:p>
      <w:pPr>
        <w:spacing w:after="140" w:line="300"/>
        <w:jc w:val="both"/>
      </w:pPr>
      <w:r>
        <w:rPr>
          <w:sz w:val="20"/>
          <w:szCs w:val="20"/>
        </w:rPr>
        <w:t xml:space="preserve">Medido con la misma logística y los mismos folds, agregando un bloque a la vez:</w:t>
      </w:r>
    </w:p>
    <w:tbl>
      <w:tblPr>
        <w:tblW w:type="dxa" w:w="9026"/>
        <w:tblBorders>
          <w:top w:val="single" w:color="BFBFBA" w:sz="2"/>
          <w:left w:val="none"/>
          <w:bottom w:val="single" w:color="BFBFBA" w:sz="2"/>
          <w:right w:val="none"/>
          <w:insideH w:val="single" w:color="DEDEDA" w:sz="1"/>
          <w:insideV w:val="none"/>
        </w:tblBorders>
      </w:tblPr>
      <w:tblGrid>
        <w:gridCol w:w="4152"/>
        <w:gridCol w:w="1625"/>
        <w:gridCol w:w="1625"/>
        <w:gridCol w:w="1625"/>
      </w:tblGrid>
      <w:tr>
        <w:trPr>
          <w:tblHeader/>
        </w:trPr>
        <w:tc>
          <w:tcPr>
            <w:tcW w:type="dxa" w:w="4152"/>
            <w:shd w:fill="F2F2EF" w:color="auto" w:val="clear"/>
            <w:tcMar>
              <w:top w:type="dxa" w:w="60"/>
              <w:left w:type="dxa" w:w="90"/>
              <w:bottom w:type="dxa" w:w="60"/>
              <w:right w:type="dxa" w:w="90"/>
            </w:tcMar>
          </w:tcPr>
          <w:p>
            <w:pPr>
              <w:spacing w:after="0" w:line="240"/>
            </w:pPr>
            <w:r>
              <w:rPr>
                <w:b/>
                <w:bCs/>
                <w:sz w:val="18"/>
                <w:szCs w:val="18"/>
              </w:rPr>
              <w:t xml:space="preserve">Paso</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Variables</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AUC</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Mejora</w:t>
            </w:r>
          </w:p>
        </w:tc>
      </w:tr>
      <w:tr>
        <w:tc>
          <w:tcPr>
            <w:tcW w:type="dxa" w:w="4152"/>
            <w:tcMar>
              <w:top w:type="dxa" w:w="60"/>
              <w:left w:type="dxa" w:w="90"/>
              <w:bottom w:type="dxa" w:w="60"/>
              <w:right w:type="dxa" w:w="90"/>
            </w:tcMar>
          </w:tcPr>
          <w:p>
            <w:pPr>
              <w:spacing w:after="0" w:line="240"/>
            </w:pPr>
            <w:r>
              <w:rPr>
                <w:sz w:val="18"/>
                <w:szCs w:val="18"/>
              </w:rPr>
              <w:t xml:space="preserve">0. Baseline sin feature engineering</w:t>
            </w:r>
          </w:p>
        </w:tc>
        <w:tc>
          <w:tcPr>
            <w:tcW w:type="dxa" w:w="1625"/>
            <w:tcMar>
              <w:top w:type="dxa" w:w="60"/>
              <w:left w:type="dxa" w:w="90"/>
              <w:bottom w:type="dxa" w:w="60"/>
              <w:right w:type="dxa" w:w="90"/>
            </w:tcMar>
          </w:tcPr>
          <w:p>
            <w:pPr>
              <w:spacing w:after="0" w:line="240"/>
              <w:jc w:val="right"/>
            </w:pPr>
            <w:r>
              <w:rPr>
                <w:sz w:val="18"/>
                <w:szCs w:val="18"/>
              </w:rPr>
              <w:t xml:space="preserve">120</w:t>
            </w:r>
          </w:p>
        </w:tc>
        <w:tc>
          <w:tcPr>
            <w:tcW w:type="dxa" w:w="1625"/>
            <w:tcMar>
              <w:top w:type="dxa" w:w="60"/>
              <w:left w:type="dxa" w:w="90"/>
              <w:bottom w:type="dxa" w:w="60"/>
              <w:right w:type="dxa" w:w="90"/>
            </w:tcMar>
          </w:tcPr>
          <w:p>
            <w:pPr>
              <w:spacing w:after="0" w:line="240"/>
              <w:jc w:val="right"/>
            </w:pPr>
            <w:r>
              <w:rPr>
                <w:sz w:val="18"/>
                <w:szCs w:val="18"/>
              </w:rPr>
              <w:t xml:space="preserve">0,7448</w:t>
            </w:r>
          </w:p>
        </w:tc>
        <w:tc>
          <w:tcPr>
            <w:tcW w:type="dxa" w:w="1625"/>
            <w:tcMar>
              <w:top w:type="dxa" w:w="60"/>
              <w:left w:type="dxa" w:w="90"/>
              <w:bottom w:type="dxa" w:w="60"/>
              <w:right w:type="dxa" w:w="90"/>
            </w:tcMar>
          </w:tcPr>
          <w:p>
            <w:pPr>
              <w:spacing w:after="0" w:line="240"/>
              <w:jc w:val="right"/>
            </w:pPr>
            <w:r>
              <w:rPr>
                <w:sz w:val="18"/>
                <w:szCs w:val="18"/>
              </w:rPr>
              <w:t xml:space="preserve">—</w:t>
            </w:r>
          </w:p>
        </w:tc>
      </w:tr>
      <w:tr>
        <w:tc>
          <w:tcPr>
            <w:tcW w:type="dxa" w:w="4152"/>
            <w:tcMar>
              <w:top w:type="dxa" w:w="60"/>
              <w:left w:type="dxa" w:w="90"/>
              <w:bottom w:type="dxa" w:w="60"/>
              <w:right w:type="dxa" w:w="90"/>
            </w:tcMar>
          </w:tcPr>
          <w:p>
            <w:pPr>
              <w:spacing w:after="0" w:line="240"/>
            </w:pPr>
            <w:r>
              <w:rPr>
                <w:sz w:val="18"/>
                <w:szCs w:val="18"/>
              </w:rPr>
              <w:t xml:space="preserve">1. + ratios de application</w:t>
            </w:r>
          </w:p>
        </w:tc>
        <w:tc>
          <w:tcPr>
            <w:tcW w:type="dxa" w:w="1625"/>
            <w:tcMar>
              <w:top w:type="dxa" w:w="60"/>
              <w:left w:type="dxa" w:w="90"/>
              <w:bottom w:type="dxa" w:w="60"/>
              <w:right w:type="dxa" w:w="90"/>
            </w:tcMar>
          </w:tcPr>
          <w:p>
            <w:pPr>
              <w:spacing w:after="0" w:line="240"/>
              <w:jc w:val="right"/>
            </w:pPr>
            <w:r>
              <w:rPr>
                <w:sz w:val="18"/>
                <w:szCs w:val="18"/>
              </w:rPr>
              <w:t xml:space="preserve">134</w:t>
            </w:r>
          </w:p>
        </w:tc>
        <w:tc>
          <w:tcPr>
            <w:tcW w:type="dxa" w:w="1625"/>
            <w:tcMar>
              <w:top w:type="dxa" w:w="60"/>
              <w:left w:type="dxa" w:w="90"/>
              <w:bottom w:type="dxa" w:w="60"/>
              <w:right w:type="dxa" w:w="90"/>
            </w:tcMar>
          </w:tcPr>
          <w:p>
            <w:pPr>
              <w:spacing w:after="0" w:line="240"/>
              <w:jc w:val="right"/>
            </w:pPr>
            <w:r>
              <w:rPr>
                <w:sz w:val="18"/>
                <w:szCs w:val="18"/>
              </w:rPr>
              <w:t xml:space="preserve">0,7495</w:t>
            </w:r>
          </w:p>
        </w:tc>
        <w:tc>
          <w:tcPr>
            <w:tcW w:type="dxa" w:w="1625"/>
            <w:tcMar>
              <w:top w:type="dxa" w:w="60"/>
              <w:left w:type="dxa" w:w="90"/>
              <w:bottom w:type="dxa" w:w="60"/>
              <w:right w:type="dxa" w:w="90"/>
            </w:tcMar>
          </w:tcPr>
          <w:p>
            <w:pPr>
              <w:spacing w:after="0" w:line="240"/>
              <w:jc w:val="right"/>
            </w:pPr>
            <w:r>
              <w:rPr>
                <w:sz w:val="18"/>
                <w:szCs w:val="18"/>
              </w:rPr>
              <w:t xml:space="preserve">+0,0047</w:t>
            </w:r>
          </w:p>
        </w:tc>
      </w:tr>
      <w:tr>
        <w:tc>
          <w:tcPr>
            <w:tcW w:type="dxa" w:w="4152"/>
            <w:tcMar>
              <w:top w:type="dxa" w:w="60"/>
              <w:left w:type="dxa" w:w="90"/>
              <w:bottom w:type="dxa" w:w="60"/>
              <w:right w:type="dxa" w:w="90"/>
            </w:tcMar>
          </w:tcPr>
          <w:p>
            <w:pPr>
              <w:spacing w:after="0" w:line="240"/>
            </w:pPr>
            <w:r>
              <w:rPr>
                <w:sz w:val="18"/>
                <w:szCs w:val="18"/>
              </w:rPr>
              <w:t xml:space="preserve">2. + bureau</w:t>
            </w:r>
          </w:p>
        </w:tc>
        <w:tc>
          <w:tcPr>
            <w:tcW w:type="dxa" w:w="1625"/>
            <w:tcMar>
              <w:top w:type="dxa" w:w="60"/>
              <w:left w:type="dxa" w:w="90"/>
              <w:bottom w:type="dxa" w:w="60"/>
              <w:right w:type="dxa" w:w="90"/>
            </w:tcMar>
          </w:tcPr>
          <w:p>
            <w:pPr>
              <w:spacing w:after="0" w:line="240"/>
              <w:jc w:val="right"/>
            </w:pPr>
            <w:r>
              <w:rPr>
                <w:sz w:val="18"/>
                <w:szCs w:val="18"/>
              </w:rPr>
              <w:t xml:space="preserve">146</w:t>
            </w:r>
          </w:p>
        </w:tc>
        <w:tc>
          <w:tcPr>
            <w:tcW w:type="dxa" w:w="1625"/>
            <w:tcMar>
              <w:top w:type="dxa" w:w="60"/>
              <w:left w:type="dxa" w:w="90"/>
              <w:bottom w:type="dxa" w:w="60"/>
              <w:right w:type="dxa" w:w="90"/>
            </w:tcMar>
          </w:tcPr>
          <w:p>
            <w:pPr>
              <w:spacing w:after="0" w:line="240"/>
              <w:jc w:val="right"/>
            </w:pPr>
            <w:r>
              <w:rPr>
                <w:sz w:val="18"/>
                <w:szCs w:val="18"/>
              </w:rPr>
              <w:t xml:space="preserve">0,7531</w:t>
            </w:r>
          </w:p>
        </w:tc>
        <w:tc>
          <w:tcPr>
            <w:tcW w:type="dxa" w:w="1625"/>
            <w:tcMar>
              <w:top w:type="dxa" w:w="60"/>
              <w:left w:type="dxa" w:w="90"/>
              <w:bottom w:type="dxa" w:w="60"/>
              <w:right w:type="dxa" w:w="90"/>
            </w:tcMar>
          </w:tcPr>
          <w:p>
            <w:pPr>
              <w:spacing w:after="0" w:line="240"/>
              <w:jc w:val="right"/>
            </w:pPr>
            <w:r>
              <w:rPr>
                <w:sz w:val="18"/>
                <w:szCs w:val="18"/>
              </w:rPr>
              <w:t xml:space="preserve">+0,0036</w:t>
            </w:r>
          </w:p>
        </w:tc>
      </w:tr>
      <w:tr>
        <w:tc>
          <w:tcPr>
            <w:tcW w:type="dxa" w:w="4152"/>
            <w:tcMar>
              <w:top w:type="dxa" w:w="60"/>
              <w:left w:type="dxa" w:w="90"/>
              <w:bottom w:type="dxa" w:w="60"/>
              <w:right w:type="dxa" w:w="90"/>
            </w:tcMar>
          </w:tcPr>
          <w:p>
            <w:pPr>
              <w:spacing w:after="0" w:line="240"/>
            </w:pPr>
            <w:r>
              <w:rPr>
                <w:sz w:val="18"/>
                <w:szCs w:val="18"/>
              </w:rPr>
              <w:t xml:space="preserve">3. + previous_application</w:t>
            </w:r>
          </w:p>
        </w:tc>
        <w:tc>
          <w:tcPr>
            <w:tcW w:type="dxa" w:w="1625"/>
            <w:tcMar>
              <w:top w:type="dxa" w:w="60"/>
              <w:left w:type="dxa" w:w="90"/>
              <w:bottom w:type="dxa" w:w="60"/>
              <w:right w:type="dxa" w:w="90"/>
            </w:tcMar>
          </w:tcPr>
          <w:p>
            <w:pPr>
              <w:spacing w:after="0" w:line="240"/>
              <w:jc w:val="right"/>
            </w:pPr>
            <w:r>
              <w:rPr>
                <w:sz w:val="18"/>
                <w:szCs w:val="18"/>
              </w:rPr>
              <w:t xml:space="preserve">154</w:t>
            </w:r>
          </w:p>
        </w:tc>
        <w:tc>
          <w:tcPr>
            <w:tcW w:type="dxa" w:w="1625"/>
            <w:tcMar>
              <w:top w:type="dxa" w:w="60"/>
              <w:left w:type="dxa" w:w="90"/>
              <w:bottom w:type="dxa" w:w="60"/>
              <w:right w:type="dxa" w:w="90"/>
            </w:tcMar>
          </w:tcPr>
          <w:p>
            <w:pPr>
              <w:spacing w:after="0" w:line="240"/>
              <w:jc w:val="right"/>
            </w:pPr>
            <w:r>
              <w:rPr>
                <w:sz w:val="18"/>
                <w:szCs w:val="18"/>
              </w:rPr>
              <w:t xml:space="preserve">0,7587</w:t>
            </w:r>
          </w:p>
        </w:tc>
        <w:tc>
          <w:tcPr>
            <w:tcW w:type="dxa" w:w="1625"/>
            <w:tcMar>
              <w:top w:type="dxa" w:w="60"/>
              <w:left w:type="dxa" w:w="90"/>
              <w:bottom w:type="dxa" w:w="60"/>
              <w:right w:type="dxa" w:w="90"/>
            </w:tcMar>
          </w:tcPr>
          <w:p>
            <w:pPr>
              <w:spacing w:after="0" w:line="240"/>
              <w:jc w:val="right"/>
            </w:pPr>
            <w:r>
              <w:rPr>
                <w:sz w:val="18"/>
                <w:szCs w:val="18"/>
              </w:rPr>
              <w:t xml:space="preserve">+0,0056</w:t>
            </w:r>
          </w:p>
        </w:tc>
      </w:tr>
      <w:tr>
        <w:tc>
          <w:tcPr>
            <w:tcW w:type="dxa" w:w="4152"/>
            <w:tcMar>
              <w:top w:type="dxa" w:w="60"/>
              <w:left w:type="dxa" w:w="90"/>
              <w:bottom w:type="dxa" w:w="60"/>
              <w:right w:type="dxa" w:w="90"/>
            </w:tcMar>
          </w:tcPr>
          <w:p>
            <w:pPr>
              <w:spacing w:after="0" w:line="240"/>
            </w:pPr>
            <w:r>
              <w:rPr>
                <w:sz w:val="18"/>
                <w:szCs w:val="18"/>
              </w:rPr>
              <w:t xml:space="preserve">4. + installments_payments</w:t>
            </w:r>
          </w:p>
        </w:tc>
        <w:tc>
          <w:tcPr>
            <w:tcW w:type="dxa" w:w="1625"/>
            <w:tcMar>
              <w:top w:type="dxa" w:w="60"/>
              <w:left w:type="dxa" w:w="90"/>
              <w:bottom w:type="dxa" w:w="60"/>
              <w:right w:type="dxa" w:w="90"/>
            </w:tcMar>
          </w:tcPr>
          <w:p>
            <w:pPr>
              <w:spacing w:after="0" w:line="240"/>
              <w:jc w:val="right"/>
            </w:pPr>
            <w:r>
              <w:rPr>
                <w:sz w:val="18"/>
                <w:szCs w:val="18"/>
              </w:rPr>
              <w:t xml:space="preserve">160</w:t>
            </w:r>
          </w:p>
        </w:tc>
        <w:tc>
          <w:tcPr>
            <w:tcW w:type="dxa" w:w="1625"/>
            <w:tcMar>
              <w:top w:type="dxa" w:w="60"/>
              <w:left w:type="dxa" w:w="90"/>
              <w:bottom w:type="dxa" w:w="60"/>
              <w:right w:type="dxa" w:w="90"/>
            </w:tcMar>
          </w:tcPr>
          <w:p>
            <w:pPr>
              <w:spacing w:after="0" w:line="240"/>
              <w:jc w:val="right"/>
            </w:pPr>
            <w:r>
              <w:rPr>
                <w:sz w:val="18"/>
                <w:szCs w:val="18"/>
              </w:rPr>
              <w:t xml:space="preserve">0,7628</w:t>
            </w:r>
          </w:p>
        </w:tc>
        <w:tc>
          <w:tcPr>
            <w:tcW w:type="dxa" w:w="1625"/>
            <w:tcMar>
              <w:top w:type="dxa" w:w="60"/>
              <w:left w:type="dxa" w:w="90"/>
              <w:bottom w:type="dxa" w:w="60"/>
              <w:right w:type="dxa" w:w="90"/>
            </w:tcMar>
          </w:tcPr>
          <w:p>
            <w:pPr>
              <w:spacing w:after="0" w:line="240"/>
              <w:jc w:val="right"/>
            </w:pPr>
            <w:r>
              <w:rPr>
                <w:sz w:val="18"/>
                <w:szCs w:val="18"/>
              </w:rPr>
              <w:t xml:space="preserve">+0,0041</w:t>
            </w:r>
          </w:p>
        </w:tc>
      </w:tr>
    </w:tbl>
    <w:p>
      <w:pPr>
        <w:spacing w:after="60" w:before="120"/>
        <w:jc w:val="center"/>
      </w:pPr>
      <w:r>
        <w:drawing>
          <wp:inline distT="0" distB="0" distL="0" distR="0">
            <wp:extent cx="51911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2209800"/>
                    </a:xfrm>
                    <a:prstGeom prst="rect">
                      <a:avLst/>
                    </a:prstGeom>
                  </pic:spPr>
                </pic:pic>
              </a:graphicData>
            </a:graphic>
          </wp:inline>
        </w:drawing>
      </w:r>
    </w:p>
    <w:p>
      <w:pPr>
        <w:spacing w:after="180"/>
        <w:jc w:val="center"/>
      </w:pPr>
      <w:r>
        <w:rPr>
          <w:i/>
          <w:iCs/>
          <w:color w:val="6A6A66"/>
          <w:sz w:val="16"/>
          <w:szCs w:val="16"/>
        </w:rPr>
        <w:t xml:space="preserve">Figura 1. AUC por etapa (validación cruzada) y score de Kaggle Private de las dos submissions.</w:t>
      </w:r>
    </w:p>
    <w:p>
      <w:pPr>
        <w:pStyle w:val="Heading2"/>
        <w:spacing w:after="110" w:before="220"/>
      </w:pPr>
      <w:r>
        <w:t xml:space="preserve">1.4 Codificación de variables categóricas</w:t>
      </w:r>
    </w:p>
    <w:p>
      <w:pPr>
        <w:spacing w:after="140" w:line="300"/>
        <w:jc w:val="both"/>
      </w:pPr>
      <w:r>
        <w:rPr>
          <w:sz w:val="20"/>
          <w:szCs w:val="20"/>
        </w:rPr>
        <w:t xml:space="preserve">Para la logística usamos one-hot, agrupando las categorías con menos del 1% de las filas para no crear columnas ruidosas; las numéricas se imputan por mediana y se estandarizan, porque la regularización lo requiere. Para LightGBM comparamos one-hot contra su manejo nativo de categóricas: 0,7827 ± 0,0036 contra 0,7823 ± 0,0030. La diferencia (0,0004) es mucho menor que la variación entre folds, así que es ruido; elegimos la codificación nativa por ser más simple y rápida.</w:t>
      </w:r>
    </w:p>
    <w:p>
      <w:pPr>
        <w:pStyle w:val="Heading2"/>
        <w:spacing w:after="110" w:before="220"/>
      </w:pPr>
      <w:r>
        <w:t xml:space="preserve">1.5 Modelos y optimización</w:t>
      </w:r>
    </w:p>
    <w:p>
      <w:pPr>
        <w:pStyle w:val="ListParagraph"/>
        <w:numPr>
          <w:ilvl w:val="0"/>
          <w:numId w:val="2"/>
        </w:numPr>
        <w:spacing w:after="80" w:line="300"/>
        <w:jc w:val="both"/>
      </w:pPr>
      <w:r>
        <w:rPr>
          <w:sz w:val="20"/>
          <w:szCs w:val="20"/>
        </w:rPr>
        <w:t xml:space="preserve">Regresión logística (baseline): interpretable y rápida, pero solo capta relaciones lineales en log-odds.</w:t>
      </w:r>
    </w:p>
    <w:p>
      <w:pPr>
        <w:pStyle w:val="ListParagraph"/>
        <w:numPr>
          <w:ilvl w:val="0"/>
          <w:numId w:val="2"/>
        </w:numPr>
        <w:spacing w:after="80" w:line="300"/>
        <w:jc w:val="both"/>
      </w:pPr>
      <w:r>
        <w:rPr>
          <w:sz w:val="20"/>
          <w:szCs w:val="20"/>
        </w:rPr>
        <w:t xml:space="preserve">LightGBM: suma muchos árboles chicos, cada uno corrigiendo los errores de los anteriores; capta no linealidades e interacciones sin programarlas.</w:t>
      </w:r>
    </w:p>
    <w:p>
      <w:pPr>
        <w:spacing w:after="140" w:line="300"/>
        <w:jc w:val="both"/>
      </w:pPr>
      <w:r>
        <w:rPr>
          <w:sz w:val="20"/>
          <w:szCs w:val="20"/>
        </w:rPr>
        <w:t xml:space="preserve">La optimización se hizo con Optuna (algoritmo TPE), que propone cada combinación mirando cuáles dieron mejor AUC y por eso necesita menos pruebas que una grilla. Cada combinación se evaluó con los mismos 5 folds, con learning rate 0,05 y early stopping, de modo que la cantidad de árboles también se optimiza: 30 pruebas, unos 55 minutos.</w:t>
      </w:r>
    </w:p>
    <w:tbl>
      <w:tblPr>
        <w:tblW w:type="dxa" w:w="9026"/>
        <w:tblBorders>
          <w:top w:val="single" w:color="BFBFBA" w:sz="2"/>
          <w:left w:val="none"/>
          <w:bottom w:val="single" w:color="BFBFBA" w:sz="2"/>
          <w:right w:val="none"/>
          <w:insideH w:val="single" w:color="DEDEDA" w:sz="1"/>
          <w:insideV w:val="none"/>
        </w:tblBorders>
      </w:tblPr>
      <w:tblGrid>
        <w:gridCol w:w="3971"/>
        <w:gridCol w:w="2708"/>
        <w:gridCol w:w="2347"/>
      </w:tblGrid>
      <w:tr>
        <w:trPr>
          <w:tblHeader/>
        </w:trPr>
        <w:tc>
          <w:tcPr>
            <w:tcW w:type="dxa" w:w="3971"/>
            <w:shd w:fill="F2F2EF" w:color="auto" w:val="clear"/>
            <w:tcMar>
              <w:top w:type="dxa" w:w="60"/>
              <w:left w:type="dxa" w:w="90"/>
              <w:bottom w:type="dxa" w:w="60"/>
              <w:right w:type="dxa" w:w="90"/>
            </w:tcMar>
          </w:tcPr>
          <w:p>
            <w:pPr>
              <w:spacing w:after="0" w:line="240"/>
            </w:pPr>
            <w:r>
              <w:rPr>
                <w:b/>
                <w:bCs/>
                <w:sz w:val="18"/>
                <w:szCs w:val="18"/>
              </w:rPr>
              <w:t xml:space="preserve">Hiperparámetro</w:t>
            </w:r>
          </w:p>
        </w:tc>
        <w:tc>
          <w:tcPr>
            <w:tcW w:type="dxa" w:w="2708"/>
            <w:shd w:fill="F2F2EF" w:color="auto" w:val="clear"/>
            <w:tcMar>
              <w:top w:type="dxa" w:w="60"/>
              <w:left w:type="dxa" w:w="90"/>
              <w:bottom w:type="dxa" w:w="60"/>
              <w:right w:type="dxa" w:w="90"/>
            </w:tcMar>
          </w:tcPr>
          <w:p>
            <w:pPr>
              <w:spacing w:after="0" w:line="240"/>
              <w:jc w:val="right"/>
            </w:pPr>
            <w:r>
              <w:rPr>
                <w:b/>
                <w:bCs/>
                <w:sz w:val="18"/>
                <w:szCs w:val="18"/>
              </w:rPr>
              <w:t xml:space="preserve">Rango explorado</w:t>
            </w:r>
          </w:p>
        </w:tc>
        <w:tc>
          <w:tcPr>
            <w:tcW w:type="dxa" w:w="2347"/>
            <w:shd w:fill="F2F2EF" w:color="auto" w:val="clear"/>
            <w:tcMar>
              <w:top w:type="dxa" w:w="60"/>
              <w:left w:type="dxa" w:w="90"/>
              <w:bottom w:type="dxa" w:w="60"/>
              <w:right w:type="dxa" w:w="90"/>
            </w:tcMar>
          </w:tcPr>
          <w:p>
            <w:pPr>
              <w:spacing w:after="0" w:line="240"/>
              <w:jc w:val="right"/>
            </w:pPr>
            <w:r>
              <w:rPr>
                <w:b/>
                <w:bCs/>
                <w:sz w:val="18"/>
                <w:szCs w:val="18"/>
              </w:rPr>
              <w:t xml:space="preserve">Mejor valor</w:t>
            </w:r>
          </w:p>
        </w:tc>
      </w:tr>
      <w:tr>
        <w:tc>
          <w:tcPr>
            <w:tcW w:type="dxa" w:w="3971"/>
            <w:tcMar>
              <w:top w:type="dxa" w:w="60"/>
              <w:left w:type="dxa" w:w="90"/>
              <w:bottom w:type="dxa" w:w="60"/>
              <w:right w:type="dxa" w:w="90"/>
            </w:tcMar>
          </w:tcPr>
          <w:p>
            <w:pPr>
              <w:spacing w:after="0" w:line="240"/>
            </w:pPr>
            <w:r>
              <w:rPr>
                <w:sz w:val="18"/>
                <w:szCs w:val="18"/>
              </w:rPr>
              <w:t xml:space="preserve">num_leaves (hojas por árbol)</w:t>
            </w:r>
          </w:p>
        </w:tc>
        <w:tc>
          <w:tcPr>
            <w:tcW w:type="dxa" w:w="2708"/>
            <w:tcMar>
              <w:top w:type="dxa" w:w="60"/>
              <w:left w:type="dxa" w:w="90"/>
              <w:bottom w:type="dxa" w:w="60"/>
              <w:right w:type="dxa" w:w="90"/>
            </w:tcMar>
          </w:tcPr>
          <w:p>
            <w:pPr>
              <w:spacing w:after="0" w:line="240"/>
              <w:jc w:val="right"/>
            </w:pPr>
            <w:r>
              <w:rPr>
                <w:sz w:val="18"/>
                <w:szCs w:val="18"/>
              </w:rPr>
              <w:t xml:space="preserve">8 – 128 (log)</w:t>
            </w:r>
          </w:p>
        </w:tc>
        <w:tc>
          <w:tcPr>
            <w:tcW w:type="dxa" w:w="2347"/>
            <w:tcMar>
              <w:top w:type="dxa" w:w="60"/>
              <w:left w:type="dxa" w:w="90"/>
              <w:bottom w:type="dxa" w:w="60"/>
              <w:right w:type="dxa" w:w="90"/>
            </w:tcMar>
          </w:tcPr>
          <w:p>
            <w:pPr>
              <w:spacing w:after="0" w:line="240"/>
              <w:jc w:val="right"/>
            </w:pPr>
            <w:r>
              <w:rPr>
                <w:sz w:val="18"/>
                <w:szCs w:val="18"/>
              </w:rPr>
              <w:t xml:space="preserve">9</w:t>
            </w:r>
          </w:p>
        </w:tc>
      </w:tr>
      <w:tr>
        <w:tc>
          <w:tcPr>
            <w:tcW w:type="dxa" w:w="3971"/>
            <w:tcMar>
              <w:top w:type="dxa" w:w="60"/>
              <w:left w:type="dxa" w:w="90"/>
              <w:bottom w:type="dxa" w:w="60"/>
              <w:right w:type="dxa" w:w="90"/>
            </w:tcMar>
          </w:tcPr>
          <w:p>
            <w:pPr>
              <w:spacing w:after="0" w:line="240"/>
            </w:pPr>
            <w:r>
              <w:rPr>
                <w:sz w:val="18"/>
                <w:szCs w:val="18"/>
              </w:rPr>
              <w:t xml:space="preserve">min_child_samples</w:t>
            </w:r>
          </w:p>
        </w:tc>
        <w:tc>
          <w:tcPr>
            <w:tcW w:type="dxa" w:w="2708"/>
            <w:tcMar>
              <w:top w:type="dxa" w:w="60"/>
              <w:left w:type="dxa" w:w="90"/>
              <w:bottom w:type="dxa" w:w="60"/>
              <w:right w:type="dxa" w:w="90"/>
            </w:tcMar>
          </w:tcPr>
          <w:p>
            <w:pPr>
              <w:spacing w:after="0" w:line="240"/>
              <w:jc w:val="right"/>
            </w:pPr>
            <w:r>
              <w:rPr>
                <w:sz w:val="18"/>
                <w:szCs w:val="18"/>
              </w:rPr>
              <w:t xml:space="preserve">20 – 500 (log)</w:t>
            </w:r>
          </w:p>
        </w:tc>
        <w:tc>
          <w:tcPr>
            <w:tcW w:type="dxa" w:w="2347"/>
            <w:tcMar>
              <w:top w:type="dxa" w:w="60"/>
              <w:left w:type="dxa" w:w="90"/>
              <w:bottom w:type="dxa" w:w="60"/>
              <w:right w:type="dxa" w:w="90"/>
            </w:tcMar>
          </w:tcPr>
          <w:p>
            <w:pPr>
              <w:spacing w:after="0" w:line="240"/>
              <w:jc w:val="right"/>
            </w:pPr>
            <w:r>
              <w:rPr>
                <w:sz w:val="18"/>
                <w:szCs w:val="18"/>
              </w:rPr>
              <w:t xml:space="preserve">47</w:t>
            </w:r>
          </w:p>
        </w:tc>
      </w:tr>
      <w:tr>
        <w:tc>
          <w:tcPr>
            <w:tcW w:type="dxa" w:w="3971"/>
            <w:tcMar>
              <w:top w:type="dxa" w:w="60"/>
              <w:left w:type="dxa" w:w="90"/>
              <w:bottom w:type="dxa" w:w="60"/>
              <w:right w:type="dxa" w:w="90"/>
            </w:tcMar>
          </w:tcPr>
          <w:p>
            <w:pPr>
              <w:spacing w:after="0" w:line="240"/>
            </w:pPr>
            <w:r>
              <w:rPr>
                <w:sz w:val="18"/>
                <w:szCs w:val="18"/>
              </w:rPr>
              <w:t xml:space="preserve">subsample (filas por árbol)</w:t>
            </w:r>
          </w:p>
        </w:tc>
        <w:tc>
          <w:tcPr>
            <w:tcW w:type="dxa" w:w="2708"/>
            <w:tcMar>
              <w:top w:type="dxa" w:w="60"/>
              <w:left w:type="dxa" w:w="90"/>
              <w:bottom w:type="dxa" w:w="60"/>
              <w:right w:type="dxa" w:w="90"/>
            </w:tcMar>
          </w:tcPr>
          <w:p>
            <w:pPr>
              <w:spacing w:after="0" w:line="240"/>
              <w:jc w:val="right"/>
            </w:pPr>
            <w:r>
              <w:rPr>
                <w:sz w:val="18"/>
                <w:szCs w:val="18"/>
              </w:rPr>
              <w:t xml:space="preserve">0,5 – 1,0</w:t>
            </w:r>
          </w:p>
        </w:tc>
        <w:tc>
          <w:tcPr>
            <w:tcW w:type="dxa" w:w="2347"/>
            <w:tcMar>
              <w:top w:type="dxa" w:w="60"/>
              <w:left w:type="dxa" w:w="90"/>
              <w:bottom w:type="dxa" w:w="60"/>
              <w:right w:type="dxa" w:w="90"/>
            </w:tcMar>
          </w:tcPr>
          <w:p>
            <w:pPr>
              <w:spacing w:after="0" w:line="240"/>
              <w:jc w:val="right"/>
            </w:pPr>
            <w:r>
              <w:rPr>
                <w:sz w:val="18"/>
                <w:szCs w:val="18"/>
              </w:rPr>
              <w:t xml:space="preserve">≈ 1,0</w:t>
            </w:r>
          </w:p>
        </w:tc>
      </w:tr>
      <w:tr>
        <w:tc>
          <w:tcPr>
            <w:tcW w:type="dxa" w:w="3971"/>
            <w:tcMar>
              <w:top w:type="dxa" w:w="60"/>
              <w:left w:type="dxa" w:w="90"/>
              <w:bottom w:type="dxa" w:w="60"/>
              <w:right w:type="dxa" w:w="90"/>
            </w:tcMar>
          </w:tcPr>
          <w:p>
            <w:pPr>
              <w:spacing w:after="0" w:line="240"/>
            </w:pPr>
            <w:r>
              <w:rPr>
                <w:sz w:val="18"/>
                <w:szCs w:val="18"/>
              </w:rPr>
              <w:t xml:space="preserve">colsample_bytree (columnas por árbol)</w:t>
            </w:r>
          </w:p>
        </w:tc>
        <w:tc>
          <w:tcPr>
            <w:tcW w:type="dxa" w:w="2708"/>
            <w:tcMar>
              <w:top w:type="dxa" w:w="60"/>
              <w:left w:type="dxa" w:w="90"/>
              <w:bottom w:type="dxa" w:w="60"/>
              <w:right w:type="dxa" w:w="90"/>
            </w:tcMar>
          </w:tcPr>
          <w:p>
            <w:pPr>
              <w:spacing w:after="0" w:line="240"/>
              <w:jc w:val="right"/>
            </w:pPr>
            <w:r>
              <w:rPr>
                <w:sz w:val="18"/>
                <w:szCs w:val="18"/>
              </w:rPr>
              <w:t xml:space="preserve">0,1 – 0,8</w:t>
            </w:r>
          </w:p>
        </w:tc>
        <w:tc>
          <w:tcPr>
            <w:tcW w:type="dxa" w:w="2347"/>
            <w:tcMar>
              <w:top w:type="dxa" w:w="60"/>
              <w:left w:type="dxa" w:w="90"/>
              <w:bottom w:type="dxa" w:w="60"/>
              <w:right w:type="dxa" w:w="90"/>
            </w:tcMar>
          </w:tcPr>
          <w:p>
            <w:pPr>
              <w:spacing w:after="0" w:line="240"/>
              <w:jc w:val="right"/>
            </w:pPr>
            <w:r>
              <w:rPr>
                <w:sz w:val="18"/>
                <w:szCs w:val="18"/>
              </w:rPr>
              <w:t xml:space="preserve">0,34</w:t>
            </w:r>
          </w:p>
        </w:tc>
      </w:tr>
      <w:tr>
        <w:tc>
          <w:tcPr>
            <w:tcW w:type="dxa" w:w="3971"/>
            <w:tcMar>
              <w:top w:type="dxa" w:w="60"/>
              <w:left w:type="dxa" w:w="90"/>
              <w:bottom w:type="dxa" w:w="60"/>
              <w:right w:type="dxa" w:w="90"/>
            </w:tcMar>
          </w:tcPr>
          <w:p>
            <w:pPr>
              <w:spacing w:after="0" w:line="240"/>
            </w:pPr>
            <w:r>
              <w:rPr>
                <w:sz w:val="18"/>
                <w:szCs w:val="18"/>
              </w:rPr>
              <w:t xml:space="preserve">reg_lambda (L2)</w:t>
            </w:r>
          </w:p>
        </w:tc>
        <w:tc>
          <w:tcPr>
            <w:tcW w:type="dxa" w:w="2708"/>
            <w:tcMar>
              <w:top w:type="dxa" w:w="60"/>
              <w:left w:type="dxa" w:w="90"/>
              <w:bottom w:type="dxa" w:w="60"/>
              <w:right w:type="dxa" w:w="90"/>
            </w:tcMar>
          </w:tcPr>
          <w:p>
            <w:pPr>
              <w:spacing w:after="0" w:line="240"/>
              <w:jc w:val="right"/>
            </w:pPr>
            <w:r>
              <w:rPr>
                <w:sz w:val="18"/>
                <w:szCs w:val="18"/>
              </w:rPr>
              <w:t xml:space="preserve">0,001 – 30 (log)</w:t>
            </w:r>
          </w:p>
        </w:tc>
        <w:tc>
          <w:tcPr>
            <w:tcW w:type="dxa" w:w="2347"/>
            <w:tcMar>
              <w:top w:type="dxa" w:w="60"/>
              <w:left w:type="dxa" w:w="90"/>
              <w:bottom w:type="dxa" w:w="60"/>
              <w:right w:type="dxa" w:w="90"/>
            </w:tcMar>
          </w:tcPr>
          <w:p>
            <w:pPr>
              <w:spacing w:after="0" w:line="240"/>
              <w:jc w:val="right"/>
            </w:pPr>
            <w:r>
              <w:rPr>
                <w:sz w:val="18"/>
                <w:szCs w:val="18"/>
              </w:rPr>
              <w:t xml:space="preserve">6,8</w:t>
            </w:r>
          </w:p>
        </w:tc>
      </w:tr>
      <w:tr>
        <w:tc>
          <w:tcPr>
            <w:tcW w:type="dxa" w:w="3971"/>
            <w:tcMar>
              <w:top w:type="dxa" w:w="60"/>
              <w:left w:type="dxa" w:w="90"/>
              <w:bottom w:type="dxa" w:w="60"/>
              <w:right w:type="dxa" w:w="90"/>
            </w:tcMar>
          </w:tcPr>
          <w:p>
            <w:pPr>
              <w:spacing w:after="0" w:line="240"/>
            </w:pPr>
            <w:r>
              <w:rPr>
                <w:sz w:val="18"/>
                <w:szCs w:val="18"/>
              </w:rPr>
              <w:t xml:space="preserve">reg_alpha (L1)</w:t>
            </w:r>
          </w:p>
        </w:tc>
        <w:tc>
          <w:tcPr>
            <w:tcW w:type="dxa" w:w="2708"/>
            <w:tcMar>
              <w:top w:type="dxa" w:w="60"/>
              <w:left w:type="dxa" w:w="90"/>
              <w:bottom w:type="dxa" w:w="60"/>
              <w:right w:type="dxa" w:w="90"/>
            </w:tcMar>
          </w:tcPr>
          <w:p>
            <w:pPr>
              <w:spacing w:after="0" w:line="240"/>
              <w:jc w:val="right"/>
            </w:pPr>
            <w:r>
              <w:rPr>
                <w:sz w:val="18"/>
                <w:szCs w:val="18"/>
              </w:rPr>
              <w:t xml:space="preserve">0,001 – 10 (log)</w:t>
            </w:r>
          </w:p>
        </w:tc>
        <w:tc>
          <w:tcPr>
            <w:tcW w:type="dxa" w:w="2347"/>
            <w:tcMar>
              <w:top w:type="dxa" w:w="60"/>
              <w:left w:type="dxa" w:w="90"/>
              <w:bottom w:type="dxa" w:w="60"/>
              <w:right w:type="dxa" w:w="90"/>
            </w:tcMar>
          </w:tcPr>
          <w:p>
            <w:pPr>
              <w:spacing w:after="0" w:line="240"/>
              <w:jc w:val="right"/>
            </w:pPr>
            <w:r>
              <w:rPr>
                <w:sz w:val="18"/>
                <w:szCs w:val="18"/>
              </w:rPr>
              <w:t xml:space="preserve">7,6</w:t>
            </w:r>
          </w:p>
        </w:tc>
      </w:tr>
      <w:tr>
        <w:tc>
          <w:tcPr>
            <w:tcW w:type="dxa" w:w="3971"/>
            <w:tcMar>
              <w:top w:type="dxa" w:w="60"/>
              <w:left w:type="dxa" w:w="90"/>
              <w:bottom w:type="dxa" w:w="60"/>
              <w:right w:type="dxa" w:w="90"/>
            </w:tcMar>
          </w:tcPr>
          <w:p>
            <w:pPr>
              <w:spacing w:after="0" w:line="240"/>
            </w:pPr>
            <w:r>
              <w:rPr>
                <w:sz w:val="18"/>
                <w:szCs w:val="18"/>
              </w:rPr>
              <w:t xml:space="preserve">Cantidad de árboles</w:t>
            </w:r>
          </w:p>
        </w:tc>
        <w:tc>
          <w:tcPr>
            <w:tcW w:type="dxa" w:w="2708"/>
            <w:tcMar>
              <w:top w:type="dxa" w:w="60"/>
              <w:left w:type="dxa" w:w="90"/>
              <w:bottom w:type="dxa" w:w="60"/>
              <w:right w:type="dxa" w:w="90"/>
            </w:tcMar>
          </w:tcPr>
          <w:p>
            <w:pPr>
              <w:spacing w:after="0" w:line="240"/>
              <w:jc w:val="right"/>
            </w:pPr>
            <w:r>
              <w:rPr>
                <w:sz w:val="18"/>
                <w:szCs w:val="18"/>
              </w:rPr>
              <w:t xml:space="preserve">early stopping</w:t>
            </w:r>
          </w:p>
        </w:tc>
        <w:tc>
          <w:tcPr>
            <w:tcW w:type="dxa" w:w="2347"/>
            <w:tcMar>
              <w:top w:type="dxa" w:w="60"/>
              <w:left w:type="dxa" w:w="90"/>
              <w:bottom w:type="dxa" w:w="60"/>
              <w:right w:type="dxa" w:w="90"/>
            </w:tcMar>
          </w:tcPr>
          <w:p>
            <w:pPr>
              <w:spacing w:after="0" w:line="240"/>
              <w:jc w:val="right"/>
            </w:pPr>
            <w:r>
              <w:rPr>
                <w:sz w:val="18"/>
                <w:szCs w:val="18"/>
              </w:rPr>
              <w:t xml:space="preserve">2.357 con lr 0,05</w:t>
            </w:r>
          </w:p>
        </w:tc>
      </w:tr>
    </w:tbl>
    <w:p>
      <w:pPr>
        <w:spacing w:after="60" w:line="300"/>
        <w:jc w:val="both"/>
      </w:pPr>
      <w:r>
        <w:rPr>
          <w:sz w:val="20"/>
          <w:szCs w:val="20"/>
        </w:rPr>
        <w:t xml:space="preserve"/>
      </w:r>
    </w:p>
    <w:p>
      <w:pPr>
        <w:spacing w:after="140" w:line="300"/>
        <w:jc w:val="both"/>
      </w:pPr>
      <w:r>
        <w:rPr>
          <w:sz w:val="20"/>
          <w:szCs w:val="20"/>
        </w:rPr>
        <w:t xml:space="preserve">Para el modelo final bajamos el learning rate a 0,02 y escalamos los árboles en la misma proporción (5.892), lo que dio 0,7847 ± 0,0032 (+0,0024 contra los valores por defecto). La lectura es que el mejor modelo son muchos árboles chicos (9 hojas), que ven un tercio de las variables cada uno y están muy regularizados: con datos ruidosos conviene sumar muchas reglas simples antes que confiar en pocas reglas complejas.</w:t>
      </w:r>
    </w:p>
    <w:p>
      <w:pPr>
        <w:pStyle w:val="Heading2"/>
        <w:spacing w:after="110" w:before="220"/>
      </w:pPr>
      <w:r>
        <w:t xml:space="preserve">1.6 Resultados en Kaggle</w:t>
      </w:r>
    </w:p>
    <w:tbl>
      <w:tblPr>
        <w:tblW w:type="dxa" w:w="9026"/>
        <w:tblBorders>
          <w:top w:val="single" w:color="BFBFBA" w:sz="2"/>
          <w:left w:val="none"/>
          <w:bottom w:val="single" w:color="BFBFBA" w:sz="2"/>
          <w:right w:val="none"/>
          <w:insideH w:val="single" w:color="DEDEDA" w:sz="1"/>
          <w:insideV w:val="none"/>
        </w:tblBorders>
      </w:tblPr>
      <w:tblGrid>
        <w:gridCol w:w="4152"/>
        <w:gridCol w:w="1625"/>
        <w:gridCol w:w="1625"/>
        <w:gridCol w:w="1625"/>
      </w:tblGrid>
      <w:tr>
        <w:trPr>
          <w:tblHeader/>
        </w:trPr>
        <w:tc>
          <w:tcPr>
            <w:tcW w:type="dxa" w:w="4152"/>
            <w:shd w:fill="F2F2EF" w:color="auto" w:val="clear"/>
            <w:tcMar>
              <w:top w:type="dxa" w:w="60"/>
              <w:left w:type="dxa" w:w="90"/>
              <w:bottom w:type="dxa" w:w="60"/>
              <w:right w:type="dxa" w:w="90"/>
            </w:tcMar>
          </w:tcPr>
          <w:p>
            <w:pPr>
              <w:spacing w:after="0" w:line="240"/>
            </w:pPr>
            <w:r>
              <w:rPr>
                <w:b/>
                <w:bCs/>
                <w:sz w:val="18"/>
                <w:szCs w:val="18"/>
              </w:rPr>
              <w:t xml:space="preserve">Submission</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CV</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Private</w:t>
            </w:r>
          </w:p>
        </w:tc>
        <w:tc>
          <w:tcPr>
            <w:tcW w:type="dxa" w:w="1625"/>
            <w:shd w:fill="F2F2EF" w:color="auto" w:val="clear"/>
            <w:tcMar>
              <w:top w:type="dxa" w:w="60"/>
              <w:left w:type="dxa" w:w="90"/>
              <w:bottom w:type="dxa" w:w="60"/>
              <w:right w:type="dxa" w:w="90"/>
            </w:tcMar>
          </w:tcPr>
          <w:p>
            <w:pPr>
              <w:spacing w:after="0" w:line="240"/>
              <w:jc w:val="right"/>
            </w:pPr>
            <w:r>
              <w:rPr>
                <w:b/>
                <w:bCs/>
                <w:sz w:val="18"/>
                <w:szCs w:val="18"/>
              </w:rPr>
              <w:t xml:space="preserve">Public</w:t>
            </w:r>
          </w:p>
        </w:tc>
      </w:tr>
      <w:tr>
        <w:tc>
          <w:tcPr>
            <w:tcW w:type="dxa" w:w="4152"/>
            <w:tcMar>
              <w:top w:type="dxa" w:w="60"/>
              <w:left w:type="dxa" w:w="90"/>
              <w:bottom w:type="dxa" w:w="60"/>
              <w:right w:type="dxa" w:w="90"/>
            </w:tcMar>
          </w:tcPr>
          <w:p>
            <w:pPr>
              <w:spacing w:after="0" w:line="240"/>
            </w:pPr>
            <w:r>
              <w:rPr>
                <w:sz w:val="18"/>
                <w:szCs w:val="18"/>
              </w:rPr>
              <w:t xml:space="preserve">Logística baseline</w:t>
            </w:r>
          </w:p>
        </w:tc>
        <w:tc>
          <w:tcPr>
            <w:tcW w:type="dxa" w:w="1625"/>
            <w:tcMar>
              <w:top w:type="dxa" w:w="60"/>
              <w:left w:type="dxa" w:w="90"/>
              <w:bottom w:type="dxa" w:w="60"/>
              <w:right w:type="dxa" w:w="90"/>
            </w:tcMar>
          </w:tcPr>
          <w:p>
            <w:pPr>
              <w:spacing w:after="0" w:line="240"/>
              <w:jc w:val="right"/>
            </w:pPr>
            <w:r>
              <w:rPr>
                <w:sz w:val="18"/>
                <w:szCs w:val="18"/>
              </w:rPr>
              <w:t xml:space="preserve">0,7448</w:t>
            </w:r>
          </w:p>
        </w:tc>
        <w:tc>
          <w:tcPr>
            <w:tcW w:type="dxa" w:w="1625"/>
            <w:tcMar>
              <w:top w:type="dxa" w:w="60"/>
              <w:left w:type="dxa" w:w="90"/>
              <w:bottom w:type="dxa" w:w="60"/>
              <w:right w:type="dxa" w:w="90"/>
            </w:tcMar>
          </w:tcPr>
          <w:p>
            <w:pPr>
              <w:spacing w:after="0" w:line="240"/>
              <w:jc w:val="right"/>
            </w:pPr>
            <w:r>
              <w:rPr>
                <w:sz w:val="18"/>
                <w:szCs w:val="18"/>
              </w:rPr>
              <w:t xml:space="preserve">0,7333</w:t>
            </w:r>
          </w:p>
        </w:tc>
        <w:tc>
          <w:tcPr>
            <w:tcW w:type="dxa" w:w="1625"/>
            <w:tcMar>
              <w:top w:type="dxa" w:w="60"/>
              <w:left w:type="dxa" w:w="90"/>
              <w:bottom w:type="dxa" w:w="60"/>
              <w:right w:type="dxa" w:w="90"/>
            </w:tcMar>
          </w:tcPr>
          <w:p>
            <w:pPr>
              <w:spacing w:after="0" w:line="240"/>
              <w:jc w:val="right"/>
            </w:pPr>
            <w:r>
              <w:rPr>
                <w:sz w:val="18"/>
                <w:szCs w:val="18"/>
              </w:rPr>
              <w:t xml:space="preserve">0,7368</w:t>
            </w:r>
          </w:p>
        </w:tc>
      </w:tr>
      <w:tr>
        <w:tc>
          <w:tcPr>
            <w:tcW w:type="dxa" w:w="4152"/>
            <w:tcMar>
              <w:top w:type="dxa" w:w="60"/>
              <w:left w:type="dxa" w:w="90"/>
              <w:bottom w:type="dxa" w:w="60"/>
              <w:right w:type="dxa" w:w="90"/>
            </w:tcMar>
          </w:tcPr>
          <w:p>
            <w:pPr>
              <w:spacing w:after="0" w:line="240"/>
            </w:pPr>
            <w:r>
              <w:rPr>
                <w:sz w:val="18"/>
                <w:szCs w:val="18"/>
              </w:rPr>
              <w:t xml:space="preserve">LightGBM + FE + Optuna</w:t>
            </w:r>
          </w:p>
        </w:tc>
        <w:tc>
          <w:tcPr>
            <w:tcW w:type="dxa" w:w="1625"/>
            <w:tcMar>
              <w:top w:type="dxa" w:w="60"/>
              <w:left w:type="dxa" w:w="90"/>
              <w:bottom w:type="dxa" w:w="60"/>
              <w:right w:type="dxa" w:w="90"/>
            </w:tcMar>
          </w:tcPr>
          <w:p>
            <w:pPr>
              <w:spacing w:after="0" w:line="240"/>
              <w:jc w:val="right"/>
            </w:pPr>
            <w:r>
              <w:rPr>
                <w:sz w:val="18"/>
                <w:szCs w:val="18"/>
              </w:rPr>
              <w:t xml:space="preserve">0,7847</w:t>
            </w:r>
          </w:p>
        </w:tc>
        <w:tc>
          <w:tcPr>
            <w:tcW w:type="dxa" w:w="1625"/>
            <w:tcMar>
              <w:top w:type="dxa" w:w="60"/>
              <w:left w:type="dxa" w:w="90"/>
              <w:bottom w:type="dxa" w:w="60"/>
              <w:right w:type="dxa" w:w="90"/>
            </w:tcMar>
          </w:tcPr>
          <w:p>
            <w:pPr>
              <w:spacing w:after="0" w:line="240"/>
              <w:jc w:val="right"/>
            </w:pPr>
            <w:r>
              <w:rPr>
                <w:sz w:val="18"/>
                <w:szCs w:val="18"/>
              </w:rPr>
              <w:t xml:space="preserve">0,7824</w:t>
            </w:r>
          </w:p>
        </w:tc>
        <w:tc>
          <w:tcPr>
            <w:tcW w:type="dxa" w:w="1625"/>
            <w:tcMar>
              <w:top w:type="dxa" w:w="60"/>
              <w:left w:type="dxa" w:w="90"/>
              <w:bottom w:type="dxa" w:w="60"/>
              <w:right w:type="dxa" w:w="90"/>
            </w:tcMar>
          </w:tcPr>
          <w:p>
            <w:pPr>
              <w:spacing w:after="0" w:line="240"/>
              <w:jc w:val="right"/>
            </w:pPr>
            <w:r>
              <w:rPr>
                <w:sz w:val="18"/>
                <w:szCs w:val="18"/>
              </w:rPr>
              <w:t xml:space="preserve">0,7869</w:t>
            </w:r>
          </w:p>
        </w:tc>
      </w:tr>
    </w:tbl>
    <w:p>
      <w:pPr>
        <w:spacing w:after="60" w:line="300"/>
        <w:jc w:val="both"/>
      </w:pPr>
      <w:r>
        <w:rPr>
          <w:sz w:val="20"/>
          <w:szCs w:val="20"/>
        </w:rPr>
        <w:t xml:space="preserve"/>
      </w:r>
    </w:p>
    <w:p>
      <w:pPr>
        <w:spacing w:after="140" w:line="300"/>
        <w:jc w:val="both"/>
      </w:pPr>
      <w:r>
        <w:rPr>
          <w:sz w:val="20"/>
          <w:szCs w:val="20"/>
        </w:rPr>
        <w:t xml:space="preserve">Como referencia, el primer puesto de la competencia obtuvo aproximadamente 0,806 (Private) con cientos de variables y ensambles de muchos modelos.</w:t>
      </w:r>
    </w:p>
    <w:p>
      <w:pPr>
        <w:pStyle w:val="Heading2"/>
        <w:spacing w:after="110" w:before="220"/>
      </w:pPr>
      <w:r>
        <w:t xml:space="preserve">1.7 Interpretabilidad</w:t>
      </w:r>
    </w:p>
    <w:p>
      <w:pPr>
        <w:spacing w:after="140" w:line="300"/>
        <w:jc w:val="both"/>
      </w:pPr>
      <w:r>
        <w:rPr>
          <w:sz w:val="20"/>
          <w:szCs w:val="20"/>
        </w:rPr>
        <w:t xml:space="preserve">Entrenamos el LightGBM final con todo el conjunto de entrenamiento y aplicamos dos técnicas. La importancia por ganancia mide cuánto mejoró el modelo en los cortes que usan cada variable: dice qué variables usa más, pero no en qué dirección empujan. Los valores SHAP indican, para cada cliente, cuánto suma o resta cada variable respecto del promedio, en escala log-odds: dicen qué pesa y hacia dónde. Se calcularon sobre una muestra de 10.000 clientes.</w:t>
      </w:r>
    </w:p>
    <w:p>
      <w:pPr>
        <w:spacing w:after="6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62250"/>
                    </a:xfrm>
                    <a:prstGeom prst="rect">
                      <a:avLst/>
                    </a:prstGeom>
                  </pic:spPr>
                </pic:pic>
              </a:graphicData>
            </a:graphic>
          </wp:inline>
        </w:drawing>
      </w:r>
    </w:p>
    <w:p>
      <w:pPr>
        <w:spacing w:after="180"/>
        <w:jc w:val="center"/>
      </w:pPr>
      <w:r>
        <w:rPr>
          <w:i/>
          <w:iCs/>
          <w:color w:val="6A6A66"/>
          <w:sz w:val="16"/>
          <w:szCs w:val="16"/>
        </w:rPr>
        <w:t xml:space="preserve">Figura 2. Importancia global (media del valor absoluto de SHAP). En azul, las variables creadas en el feature engineering: 10 de las 15 principales.</w:t>
      </w:r>
    </w:p>
    <w:p>
      <w:pPr>
        <w:pStyle w:val="ListParagraph"/>
        <w:numPr>
          <w:ilvl w:val="0"/>
          <w:numId w:val="2"/>
        </w:numPr>
        <w:spacing w:after="80" w:line="300"/>
        <w:jc w:val="both"/>
      </w:pPr>
      <w:r>
        <w:rPr>
          <w:sz w:val="20"/>
          <w:szCs w:val="20"/>
        </w:rPr>
        <w:t xml:space="preserve">EXT_SOURCE_MEAN es la variable más importante: el 10% con promedio más bajo suma +0,52 log-odds de riesgo y el 10% más alto resta 0,44, con una relación casi lineal y decreciente.</w:t>
      </w:r>
    </w:p>
    <w:p>
      <w:pPr>
        <w:pStyle w:val="ListParagraph"/>
        <w:numPr>
          <w:ilvl w:val="0"/>
          <w:numId w:val="2"/>
        </w:numPr>
        <w:spacing w:after="80" w:line="300"/>
        <w:jc w:val="both"/>
      </w:pPr>
      <w:r>
        <w:rPr>
          <w:sz w:val="20"/>
          <w:szCs w:val="20"/>
        </w:rPr>
        <w:t xml:space="preserve">CREDIT_TERM (cuota sobre préstamo) es muy no lineal, con saltos según el plazo del producto: los préstamos de plazo corto tienen menos riesgo. Esta forma explica por qué los árboles superan a la logística.</w:t>
      </w:r>
    </w:p>
    <w:p>
      <w:pPr>
        <w:pStyle w:val="ListParagraph"/>
        <w:numPr>
          <w:ilvl w:val="0"/>
          <w:numId w:val="2"/>
        </w:numPr>
        <w:spacing w:after="80" w:line="300"/>
        <w:jc w:val="both"/>
      </w:pPr>
      <w:r>
        <w:rPr>
          <w:sz w:val="20"/>
          <w:szCs w:val="20"/>
        </w:rPr>
        <w:t xml:space="preserve">Historial de pagos: sin cuotas pagadas tarde el efecto es −0,09; con más del 24% pagadas tarde, +0,22. En otras entidades, el riesgo es plano hasta deber cerca del 40% del monto y desde ahí sube de forma sostenida.</w:t>
      </w:r>
    </w:p>
    <w:p>
      <w:pPr>
        <w:pStyle w:val="ListParagraph"/>
        <w:numPr>
          <w:ilvl w:val="0"/>
          <w:numId w:val="2"/>
        </w:numPr>
        <w:spacing w:after="80" w:line="300"/>
        <w:jc w:val="both"/>
      </w:pPr>
      <w:r>
        <w:rPr>
          <w:sz w:val="20"/>
          <w:szCs w:val="20"/>
        </w:rPr>
        <w:t xml:space="preserve">Financiar más que el bien y haber tomado plazos largos antes aumentan el riesgo; por tipo de organización, los empleados de escuelas presentan el menor riesgo y los autónomos el mayor.</w:t>
      </w:r>
    </w:p>
    <w:p>
      <w:pPr>
        <w:spacing w:after="6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spacing w:after="180"/>
        <w:jc w:val="center"/>
      </w:pPr>
      <w:r>
        <w:rPr>
          <w:i/>
          <w:iCs/>
          <w:color w:val="6A6A66"/>
          <w:sz w:val="16"/>
          <w:szCs w:val="16"/>
        </w:rPr>
        <w:t xml:space="preserve">Figura 3. Efecto SHAP según el valor de la variable, para cuatro variables creadas en el feature engineering.</w:t>
      </w:r>
    </w:p>
    <w:p>
      <w:pPr>
        <w:pStyle w:val="Heading2"/>
        <w:spacing w:after="110" w:before="220"/>
      </w:pPr>
      <w:r>
        <w:t xml:space="preserve">1.8 Discusión</w:t>
      </w:r>
    </w:p>
    <w:p>
      <w:pPr>
        <w:spacing w:after="140" w:line="300"/>
        <w:jc w:val="both"/>
      </w:pPr>
      <w:r>
        <w:rPr>
          <w:b/>
          <w:bCs/>
          <w:sz w:val="20"/>
          <w:szCs w:val="20"/>
        </w:rPr>
        <w:t xml:space="preserve">Uso del género. </w:t>
      </w:r>
      <w:r>
        <w:rPr>
          <w:sz w:val="20"/>
          <w:szCs w:val="20"/>
        </w:rPr>
        <w:t xml:space="preserve">CODE_GENDER es la tercera variable más importante del modelo: ser hombre suma +0,16 log-odds y ser mujer resta 0,09. Es predictivo, pero usar el género para decidir el otorgamiento de un crédito constituye discriminación por una característica protegida y está regulado en muchas jurisdicciones. Que una variable mejore la métrica no la vuelve legítima: la decisión de incluirla es normativa, no estadística. Dejamos pendiente medir cuánto AUC se pierde al excluirla, que es el dato que permitiría discutir el costo de esa decisión.</w:t>
      </w:r>
    </w:p>
    <w:p>
      <w:pPr>
        <w:spacing w:after="140" w:line="300"/>
        <w:jc w:val="both"/>
      </w:pPr>
      <w:r>
        <w:rPr>
          <w:b/>
          <w:bCs/>
          <w:sz w:val="20"/>
          <w:szCs w:val="20"/>
        </w:rPr>
        <w:t xml:space="preserve">Ganancia y SHAP no coinciden. </w:t>
      </w:r>
      <w:r>
        <w:rPr>
          <w:sz w:val="20"/>
          <w:szCs w:val="20"/>
        </w:rPr>
        <w:t xml:space="preserve">ORGANIZATION_TYPE aparece cuarta por ganancia y décima por SHAP. Las variables categóricas con muchos valores se usan en muchos cortes e inflan la ganancia, por lo que SHAP es más confiable para comparar importancias entre variables de distinta naturaleza.</w:t>
      </w:r>
    </w:p>
    <w:p>
      <w:pPr>
        <w:spacing w:after="140" w:line="300"/>
        <w:jc w:val="both"/>
      </w:pPr>
      <w:r>
        <w:rPr>
          <w:b/>
          <w:bCs/>
          <w:sz w:val="20"/>
          <w:szCs w:val="20"/>
        </w:rPr>
        <w:t xml:space="preserve">Un efecto contraintuitivo. </w:t>
      </w:r>
      <w:r>
        <w:rPr>
          <w:sz w:val="20"/>
          <w:szCs w:val="20"/>
        </w:rPr>
        <w:t xml:space="preserve">Los clientes a quienes se les otorgó más de lo que pidieron presentan mayor riesgo. Probablemente refleje seguros u otros extras financiados dentro del préstamo, más que una decisión del cliente; queda como hipótesis a verificar.</w:t>
      </w:r>
    </w:p>
    <w:p>
      <w:r>
        <w:br w:type="page"/>
      </w:r>
    </w:p>
    <w:p>
      <w:pPr>
        <w:pStyle w:val="Heading1"/>
        <w:pBdr>
          <w:bottom w:val="single" w:color="D8D8D3" w:sz="6" w:space="6"/>
        </w:pBdr>
        <w:spacing w:after="160" w:before="340"/>
      </w:pPr>
      <w:r>
        <w:t xml:space="preserve">Parte 2 · Valuación de vivienda y detección de oportunidades</w:t>
      </w:r>
    </w:p>
    <w:p>
      <w:pPr>
        <w:pStyle w:val="Heading2"/>
        <w:spacing w:after="110" w:before="220"/>
      </w:pPr>
      <w:r>
        <w:t xml:space="preserve">2.1 El problema de negocio</w:t>
      </w:r>
    </w:p>
    <w:p>
      <w:pPr>
        <w:spacing w:after="140" w:line="300"/>
        <w:jc w:val="both"/>
      </w:pPr>
      <w:r>
        <w:rPr>
          <w:sz w:val="20"/>
          <w:szCs w:val="20"/>
        </w:rPr>
        <w:t xml:space="preserve">Una inversora que compra propiedades para refaccionar y revender debe decidir, sobre un flujo constante de avisos nuevos, cuáles vale la pena visitar. Hoy esa selección se hace a ojo, comparando mentalmente con propiedades parecidas de la zona, y el recurso escaso no es el capital sino el tiempo de visita.</w:t>
      </w:r>
    </w:p>
    <w:p>
      <w:pPr>
        <w:spacing w:after="140" w:line="300"/>
        <w:jc w:val="both"/>
      </w:pPr>
      <w:r>
        <w:rPr>
          <w:sz w:val="20"/>
          <w:szCs w:val="20"/>
        </w:rPr>
        <w:t xml:space="preserve">El modelo estima el valor de mercado de una vivienda a partir de sus características y su ubicación. La propiedad publicada muy por debajo de ese valor estimado es candidata a oportunidad. Al decidir, la inversora cuenta con lo que el propio aviso informa: superficie, ambientes, baños, tipo de propiedad, barrio y coordenadas, es decir, toda la información necesaria está disponible en el momento de la decisión.</w:t>
      </w:r>
    </w:p>
    <w:p>
      <w:pPr>
        <w:spacing w:after="140" w:line="300"/>
        <w:jc w:val="both"/>
      </w:pPr>
      <w:r>
        <w:rPr>
          <w:b/>
          <w:bCs/>
          <w:sz w:val="20"/>
          <w:szCs w:val="20"/>
        </w:rPr>
        <w:t xml:space="preserve">Supuesto central, y límite del enfoque: </w:t>
      </w:r>
      <w:r>
        <w:rPr>
          <w:sz w:val="20"/>
          <w:szCs w:val="20"/>
        </w:rPr>
        <w:t xml:space="preserve">un precio por debajo del estimado puede señalar una oportunidad o puede reflejar un defecto que el modelo no observa (estado de conservación, problemas de escritura, orientación, ruido). El modelo no distingue “barata” de “barata por algo”. Por eso su salida prioriza visitas; no reemplaza la visita.</w:t>
      </w:r>
    </w:p>
    <w:p>
      <w:pPr>
        <w:spacing w:after="140" w:line="300"/>
        <w:jc w:val="both"/>
      </w:pPr>
      <w:r>
        <w:rPr>
          <w:sz w:val="20"/>
          <w:szCs w:val="20"/>
        </w:rPr>
        <w:t xml:space="preserve">Qué error duele más: sobreestimar el valor lleva a pagar de más, con pérdida económica directa; subestimarlo hace perder una oportunidad, con un costo de oportunidad menor. La asimetría es relevante porque ninguna de las dos métricas que reportamos la captura, como se discute más abajo.</w:t>
      </w:r>
    </w:p>
    <w:p>
      <w:pPr>
        <w:pStyle w:val="Heading2"/>
        <w:spacing w:after="110" w:before="220"/>
      </w:pPr>
      <w:r>
        <w:t xml:space="preserve">2.2 Datos y alcance</w:t>
      </w:r>
    </w:p>
    <w:p>
      <w:pPr>
        <w:spacing w:after="140" w:line="300"/>
        <w:jc w:val="both"/>
      </w:pPr>
      <w:r>
        <w:rPr>
          <w:sz w:val="20"/>
          <w:szCs w:val="20"/>
        </w:rPr>
        <w:t xml:space="preserve">El dataset de Properati contiene 992.192 avisos (25 columnas, julio 2019 a julio 2020). Los recortes definen el alcance del modelo y cada uno responde a una razón distinta:</w:t>
      </w:r>
    </w:p>
    <w:tbl>
      <w:tblPr>
        <w:tblW w:type="dxa" w:w="9026"/>
        <w:tblBorders>
          <w:top w:val="single" w:color="BFBFBA" w:sz="2"/>
          <w:left w:val="none"/>
          <w:bottom w:val="single" w:color="BFBFBA" w:sz="2"/>
          <w:right w:val="none"/>
          <w:insideH w:val="single" w:color="DEDEDA" w:sz="1"/>
          <w:insideV w:val="none"/>
        </w:tblBorders>
      </w:tblPr>
      <w:tblGrid>
        <w:gridCol w:w="2979"/>
        <w:gridCol w:w="4242"/>
        <w:gridCol w:w="1805"/>
      </w:tblGrid>
      <w:tr>
        <w:trPr>
          <w:tblHeader/>
        </w:trPr>
        <w:tc>
          <w:tcPr>
            <w:tcW w:type="dxa" w:w="2979"/>
            <w:shd w:fill="F2F2EF" w:color="auto" w:val="clear"/>
            <w:tcMar>
              <w:top w:type="dxa" w:w="60"/>
              <w:left w:type="dxa" w:w="90"/>
              <w:bottom w:type="dxa" w:w="60"/>
              <w:right w:type="dxa" w:w="90"/>
            </w:tcMar>
          </w:tcPr>
          <w:p>
            <w:pPr>
              <w:spacing w:after="0" w:line="240"/>
            </w:pPr>
            <w:r>
              <w:rPr>
                <w:b/>
                <w:bCs/>
                <w:sz w:val="18"/>
                <w:szCs w:val="18"/>
              </w:rPr>
              <w:t xml:space="preserve">Recorte</w:t>
            </w:r>
          </w:p>
        </w:tc>
        <w:tc>
          <w:tcPr>
            <w:tcW w:type="dxa" w:w="4242"/>
            <w:shd w:fill="F2F2EF" w:color="auto" w:val="clear"/>
            <w:tcMar>
              <w:top w:type="dxa" w:w="60"/>
              <w:left w:type="dxa" w:w="90"/>
              <w:bottom w:type="dxa" w:w="60"/>
              <w:right w:type="dxa" w:w="90"/>
            </w:tcMar>
          </w:tcPr>
          <w:p>
            <w:pPr>
              <w:spacing w:after="0" w:line="240"/>
            </w:pPr>
            <w:r>
              <w:rPr>
                <w:b/>
                <w:bCs/>
                <w:sz w:val="18"/>
                <w:szCs w:val="18"/>
              </w:rPr>
              <w:t xml:space="preserve">Razón</w:t>
            </w:r>
          </w:p>
        </w:tc>
        <w:tc>
          <w:tcPr>
            <w:tcW w:type="dxa" w:w="1805"/>
            <w:shd w:fill="F2F2EF" w:color="auto" w:val="clear"/>
            <w:tcMar>
              <w:top w:type="dxa" w:w="60"/>
              <w:left w:type="dxa" w:w="90"/>
              <w:bottom w:type="dxa" w:w="60"/>
              <w:right w:type="dxa" w:w="90"/>
            </w:tcMar>
          </w:tcPr>
          <w:p>
            <w:pPr>
              <w:spacing w:after="0" w:line="240"/>
              <w:jc w:val="right"/>
            </w:pPr>
            <w:r>
              <w:rPr>
                <w:b/>
                <w:bCs/>
                <w:sz w:val="18"/>
                <w:szCs w:val="18"/>
              </w:rPr>
              <w:t xml:space="preserve">Filas</w:t>
            </w:r>
          </w:p>
        </w:tc>
      </w:tr>
      <w:tr>
        <w:tc>
          <w:tcPr>
            <w:tcW w:type="dxa" w:w="2979"/>
            <w:tcMar>
              <w:top w:type="dxa" w:w="60"/>
              <w:left w:type="dxa" w:w="90"/>
              <w:bottom w:type="dxa" w:w="60"/>
              <w:right w:type="dxa" w:w="90"/>
            </w:tcMar>
          </w:tcPr>
          <w:p>
            <w:pPr>
              <w:spacing w:after="0" w:line="240"/>
            </w:pPr>
            <w:r>
              <w:rPr>
                <w:sz w:val="18"/>
                <w:szCs w:val="18"/>
              </w:rPr>
              <w:t xml:space="preserve">Dataset completo</w:t>
            </w:r>
          </w:p>
        </w:tc>
        <w:tc>
          <w:tcPr>
            <w:tcW w:type="dxa" w:w="4242"/>
            <w:tcMar>
              <w:top w:type="dxa" w:w="60"/>
              <w:left w:type="dxa" w:w="90"/>
              <w:bottom w:type="dxa" w:w="60"/>
              <w:right w:type="dxa" w:w="90"/>
            </w:tcMar>
          </w:tcPr>
          <w:p>
            <w:pPr>
              <w:spacing w:after="0" w:line="240"/>
            </w:pPr>
            <w:r>
              <w:rPr>
                <w:sz w:val="18"/>
                <w:szCs w:val="18"/>
              </w:rPr>
              <w:t xml:space="preserve">—</w:t>
            </w:r>
          </w:p>
        </w:tc>
        <w:tc>
          <w:tcPr>
            <w:tcW w:type="dxa" w:w="1805"/>
            <w:tcMar>
              <w:top w:type="dxa" w:w="60"/>
              <w:left w:type="dxa" w:w="90"/>
              <w:bottom w:type="dxa" w:w="60"/>
              <w:right w:type="dxa" w:w="90"/>
            </w:tcMar>
          </w:tcPr>
          <w:p>
            <w:pPr>
              <w:spacing w:after="0" w:line="240"/>
              <w:jc w:val="right"/>
            </w:pPr>
            <w:r>
              <w:rPr>
                <w:sz w:val="18"/>
                <w:szCs w:val="18"/>
              </w:rPr>
              <w:t xml:space="preserve">992.192</w:t>
            </w:r>
          </w:p>
        </w:tc>
      </w:tr>
      <w:tr>
        <w:tc>
          <w:tcPr>
            <w:tcW w:type="dxa" w:w="2979"/>
            <w:tcMar>
              <w:top w:type="dxa" w:w="60"/>
              <w:left w:type="dxa" w:w="90"/>
              <w:bottom w:type="dxa" w:w="60"/>
              <w:right w:type="dxa" w:w="90"/>
            </w:tcMar>
          </w:tcPr>
          <w:p>
            <w:pPr>
              <w:spacing w:after="0" w:line="240"/>
            </w:pPr>
            <w:r>
              <w:rPr>
                <w:sz w:val="18"/>
                <w:szCs w:val="18"/>
              </w:rPr>
              <w:t xml:space="preserve">Argentina y operación de venta</w:t>
            </w:r>
          </w:p>
        </w:tc>
        <w:tc>
          <w:tcPr>
            <w:tcW w:type="dxa" w:w="4242"/>
            <w:tcMar>
              <w:top w:type="dxa" w:w="60"/>
              <w:left w:type="dxa" w:w="90"/>
              <w:bottom w:type="dxa" w:w="60"/>
              <w:right w:type="dxa" w:w="90"/>
            </w:tcMar>
          </w:tcPr>
          <w:p>
            <w:pPr>
              <w:spacing w:after="0" w:line="240"/>
            </w:pPr>
            <w:r>
              <w:rPr>
                <w:sz w:val="18"/>
                <w:szCs w:val="18"/>
              </w:rPr>
              <w:t xml:space="preserve">El alquiler tiene precio mensual: otra unidad</w:t>
            </w:r>
          </w:p>
        </w:tc>
        <w:tc>
          <w:tcPr>
            <w:tcW w:type="dxa" w:w="1805"/>
            <w:tcMar>
              <w:top w:type="dxa" w:w="60"/>
              <w:left w:type="dxa" w:w="90"/>
              <w:bottom w:type="dxa" w:w="60"/>
              <w:right w:type="dxa" w:w="90"/>
            </w:tcMar>
          </w:tcPr>
          <w:p>
            <w:pPr>
              <w:spacing w:after="0" w:line="240"/>
              <w:jc w:val="right"/>
            </w:pPr>
            <w:r>
              <w:rPr>
                <w:sz w:val="18"/>
                <w:szCs w:val="18"/>
              </w:rPr>
              <w:t xml:space="preserve">750.694</w:t>
            </w:r>
          </w:p>
        </w:tc>
      </w:tr>
      <w:tr>
        <w:tc>
          <w:tcPr>
            <w:tcW w:type="dxa" w:w="2979"/>
            <w:tcMar>
              <w:top w:type="dxa" w:w="60"/>
              <w:left w:type="dxa" w:w="90"/>
              <w:bottom w:type="dxa" w:w="60"/>
              <w:right w:type="dxa" w:w="90"/>
            </w:tcMar>
          </w:tcPr>
          <w:p>
            <w:pPr>
              <w:spacing w:after="0" w:line="240"/>
            </w:pPr>
            <w:r>
              <w:rPr>
                <w:sz w:val="18"/>
                <w:szCs w:val="18"/>
              </w:rPr>
              <w:t xml:space="preserve">Solo precios en dólares</w:t>
            </w:r>
          </w:p>
        </w:tc>
        <w:tc>
          <w:tcPr>
            <w:tcW w:type="dxa" w:w="4242"/>
            <w:tcMar>
              <w:top w:type="dxa" w:w="60"/>
              <w:left w:type="dxa" w:w="90"/>
              <w:bottom w:type="dxa" w:w="60"/>
              <w:right w:type="dxa" w:w="90"/>
            </w:tcMar>
          </w:tcPr>
          <w:p>
            <w:pPr>
              <w:spacing w:after="0" w:line="240"/>
            </w:pPr>
            <w:r>
              <w:rPr>
                <w:sz w:val="18"/>
                <w:szCs w:val="18"/>
              </w:rPr>
              <w:t xml:space="preserve">Convertir pesos exigiría el tipo de cambio de cada fecha</w:t>
            </w:r>
          </w:p>
        </w:tc>
        <w:tc>
          <w:tcPr>
            <w:tcW w:type="dxa" w:w="1805"/>
            <w:tcMar>
              <w:top w:type="dxa" w:w="60"/>
              <w:left w:type="dxa" w:w="90"/>
              <w:bottom w:type="dxa" w:w="60"/>
              <w:right w:type="dxa" w:w="90"/>
            </w:tcMar>
          </w:tcPr>
          <w:p>
            <w:pPr>
              <w:spacing w:after="0" w:line="240"/>
              <w:jc w:val="right"/>
            </w:pPr>
            <w:r>
              <w:rPr>
                <w:sz w:val="18"/>
                <w:szCs w:val="18"/>
              </w:rPr>
              <w:t xml:space="preserve">685.465</w:t>
            </w:r>
          </w:p>
        </w:tc>
      </w:tr>
      <w:tr>
        <w:tc>
          <w:tcPr>
            <w:tcW w:type="dxa" w:w="2979"/>
            <w:tcMar>
              <w:top w:type="dxa" w:w="60"/>
              <w:left w:type="dxa" w:w="90"/>
              <w:bottom w:type="dxa" w:w="60"/>
              <w:right w:type="dxa" w:w="90"/>
            </w:tcMar>
          </w:tcPr>
          <w:p>
            <w:pPr>
              <w:spacing w:after="0" w:line="240"/>
            </w:pPr>
            <w:r>
              <w:rPr>
                <w:sz w:val="18"/>
                <w:szCs w:val="18"/>
              </w:rPr>
              <w:t xml:space="preserve">Casa, Departamento y PH</w:t>
            </w:r>
          </w:p>
        </w:tc>
        <w:tc>
          <w:tcPr>
            <w:tcW w:type="dxa" w:w="4242"/>
            <w:tcMar>
              <w:top w:type="dxa" w:w="60"/>
              <w:left w:type="dxa" w:w="90"/>
              <w:bottom w:type="dxa" w:w="60"/>
              <w:right w:type="dxa" w:w="90"/>
            </w:tcMar>
          </w:tcPr>
          <w:p>
            <w:pPr>
              <w:spacing w:after="0" w:line="240"/>
            </w:pPr>
            <w:r>
              <w:rPr>
                <w:sz w:val="18"/>
                <w:szCs w:val="18"/>
              </w:rPr>
              <w:t xml:space="preserve">Lotes y cocheras son otro producto, con otra lógica de precio</w:t>
            </w:r>
          </w:p>
        </w:tc>
        <w:tc>
          <w:tcPr>
            <w:tcW w:type="dxa" w:w="1805"/>
            <w:tcMar>
              <w:top w:type="dxa" w:w="60"/>
              <w:left w:type="dxa" w:w="90"/>
              <w:bottom w:type="dxa" w:w="60"/>
              <w:right w:type="dxa" w:w="90"/>
            </w:tcMar>
          </w:tcPr>
          <w:p>
            <w:pPr>
              <w:spacing w:after="0" w:line="240"/>
              <w:jc w:val="right"/>
            </w:pPr>
            <w:r>
              <w:rPr>
                <w:sz w:val="18"/>
                <w:szCs w:val="18"/>
              </w:rPr>
              <w:t xml:space="preserve">383.118</w:t>
            </w:r>
          </w:p>
        </w:tc>
      </w:tr>
      <w:tr>
        <w:tc>
          <w:tcPr>
            <w:tcW w:type="dxa" w:w="2979"/>
            <w:tcMar>
              <w:top w:type="dxa" w:w="60"/>
              <w:left w:type="dxa" w:w="90"/>
              <w:bottom w:type="dxa" w:w="60"/>
              <w:right w:type="dxa" w:w="90"/>
            </w:tcMar>
          </w:tcPr>
          <w:p>
            <w:pPr>
              <w:spacing w:after="0" w:line="240"/>
            </w:pPr>
            <w:r>
              <w:rPr>
                <w:sz w:val="18"/>
                <w:szCs w:val="18"/>
              </w:rPr>
              <w:t xml:space="preserve">Precio entre 20.000 y 1.000.000</w:t>
            </w:r>
          </w:p>
        </w:tc>
        <w:tc>
          <w:tcPr>
            <w:tcW w:type="dxa" w:w="4242"/>
            <w:tcMar>
              <w:top w:type="dxa" w:w="60"/>
              <w:left w:type="dxa" w:w="90"/>
              <w:bottom w:type="dxa" w:w="60"/>
              <w:right w:type="dxa" w:w="90"/>
            </w:tcMar>
          </w:tcPr>
          <w:p>
            <w:pPr>
              <w:spacing w:after="0" w:line="240"/>
            </w:pPr>
            <w:r>
              <w:rPr>
                <w:sz w:val="18"/>
                <w:szCs w:val="18"/>
              </w:rPr>
              <w:t xml:space="preserve">Alcance: vivienda residencial, ni irrisorias ni suntuarias</w:t>
            </w:r>
          </w:p>
        </w:tc>
        <w:tc>
          <w:tcPr>
            <w:tcW w:type="dxa" w:w="1805"/>
            <w:tcMar>
              <w:top w:type="dxa" w:w="60"/>
              <w:left w:type="dxa" w:w="90"/>
              <w:bottom w:type="dxa" w:w="60"/>
              <w:right w:type="dxa" w:w="90"/>
            </w:tcMar>
          </w:tcPr>
          <w:p>
            <w:pPr>
              <w:spacing w:after="0" w:line="240"/>
              <w:jc w:val="right"/>
            </w:pPr>
            <w:r>
              <w:rPr>
                <w:sz w:val="18"/>
                <w:szCs w:val="18"/>
              </w:rPr>
              <w:t xml:space="preserve">376.281</w:t>
            </w:r>
          </w:p>
        </w:tc>
      </w:tr>
      <w:tr>
        <w:tc>
          <w:tcPr>
            <w:tcW w:type="dxa" w:w="2979"/>
            <w:tcMar>
              <w:top w:type="dxa" w:w="60"/>
              <w:left w:type="dxa" w:w="90"/>
              <w:bottom w:type="dxa" w:w="60"/>
              <w:right w:type="dxa" w:w="90"/>
            </w:tcMar>
          </w:tcPr>
          <w:p>
            <w:pPr>
              <w:spacing w:after="0" w:line="240"/>
            </w:pPr>
            <w:r>
              <w:rPr>
                <w:sz w:val="18"/>
                <w:szCs w:val="18"/>
              </w:rPr>
              <w:t xml:space="preserve">Con superficie informada</w:t>
            </w:r>
          </w:p>
        </w:tc>
        <w:tc>
          <w:tcPr>
            <w:tcW w:type="dxa" w:w="4242"/>
            <w:tcMar>
              <w:top w:type="dxa" w:w="60"/>
              <w:left w:type="dxa" w:w="90"/>
              <w:bottom w:type="dxa" w:w="60"/>
              <w:right w:type="dxa" w:w="90"/>
            </w:tcMar>
          </w:tcPr>
          <w:p>
            <w:pPr>
              <w:spacing w:after="0" w:line="240"/>
            </w:pPr>
            <w:r>
              <w:rPr>
                <w:sz w:val="18"/>
                <w:szCs w:val="18"/>
              </w:rPr>
              <w:t xml:space="preserve">Sin superficie no hay tasación posible</w:t>
            </w:r>
          </w:p>
        </w:tc>
        <w:tc>
          <w:tcPr>
            <w:tcW w:type="dxa" w:w="1805"/>
            <w:tcMar>
              <w:top w:type="dxa" w:w="60"/>
              <w:left w:type="dxa" w:w="90"/>
              <w:bottom w:type="dxa" w:w="60"/>
              <w:right w:type="dxa" w:w="90"/>
            </w:tcMar>
          </w:tcPr>
          <w:p>
            <w:pPr>
              <w:spacing w:after="0" w:line="240"/>
              <w:jc w:val="right"/>
            </w:pPr>
            <w:r>
              <w:rPr>
                <w:sz w:val="18"/>
                <w:szCs w:val="18"/>
              </w:rPr>
              <w:t xml:space="preserve">237.686</w:t>
            </w:r>
          </w:p>
        </w:tc>
      </w:tr>
    </w:tbl>
    <w:p>
      <w:pPr>
        <w:spacing w:after="60" w:line="300"/>
        <w:jc w:val="both"/>
      </w:pPr>
      <w:r>
        <w:rPr>
          <w:sz w:val="20"/>
          <w:szCs w:val="20"/>
        </w:rPr>
        <w:t xml:space="preserve"/>
      </w:r>
    </w:p>
    <w:p>
      <w:pPr>
        <w:spacing w:after="140" w:line="300"/>
        <w:jc w:val="both"/>
      </w:pPr>
      <w:r>
        <w:rPr>
          <w:sz w:val="20"/>
          <w:szCs w:val="20"/>
        </w:rPr>
        <w:t xml:space="preserve">La pérdida mayor no es de alcance sino de calidad: </w:t>
      </w:r>
      <w:r>
        <w:rPr>
          <w:b/>
          <w:bCs/>
          <w:sz w:val="20"/>
          <w:szCs w:val="20"/>
        </w:rPr>
        <w:t xml:space="preserve">el 37% de las viviendas no tiene cargada ninguna superficie</w:t>
      </w:r>
      <w:r>
        <w:rPr>
          <w:sz w:val="20"/>
          <w:szCs w:val="20"/>
        </w:rPr>
        <w:t xml:space="preserve">, ni total ni cubierta. Para las que informan al menos una, usamos la superficie total y, cuando falta, la cubierta. También faltan baños (6,6%), ambientes (20,8%) y coordenadas (12,5%); el modelo elegido maneja nulos de forma nativa, así que esas filas se conservan.</w:t>
      </w:r>
    </w:p>
    <w:p>
      <w:pPr>
        <w:pStyle w:val="Heading2"/>
        <w:spacing w:after="110" w:before="220"/>
      </w:pPr>
      <w:r>
        <w:t xml:space="preserve">2.3 Validación: partición temporal</w:t>
      </w:r>
    </w:p>
    <w:p>
      <w:pPr>
        <w:spacing w:after="140" w:line="300"/>
        <w:jc w:val="both"/>
      </w:pPr>
      <w:r>
        <w:rPr>
          <w:sz w:val="20"/>
          <w:szCs w:val="20"/>
        </w:rPr>
        <w:t xml:space="preserve">Dividimos por fecha de publicación y no al azar: se entrena con los avisos anteriores al 1 de abril de 2020 (178.809) y se evalúa con los posteriores (58.877). Es la forma en que el modelo se usaría en la realidad, donde siempre se predice sobre avisos nuevos con un modelo entrenado en el pasado. Una partición aleatoria mezclaría avisos del futuro en el entrenamiento y daría una estimación optimista. El corte coincide con el inicio de la pandemia, lo que vuelve la evaluación más exigente y, como se ve en §2.6, informativa.</w:t>
      </w:r>
    </w:p>
    <w:p>
      <w:pPr>
        <w:pStyle w:val="Heading2"/>
        <w:spacing w:after="110" w:before="220"/>
      </w:pPr>
      <w:r>
        <w:t xml:space="preserve">2.4 Baseline y prototipo</w:t>
      </w:r>
    </w:p>
    <w:p>
      <w:pPr>
        <w:spacing w:after="140" w:line="300"/>
        <w:jc w:val="both"/>
      </w:pPr>
      <w:r>
        <w:rPr>
          <w:sz w:val="20"/>
          <w:szCs w:val="20"/>
        </w:rPr>
        <w:t xml:space="preserve">El baseline es el modelo más simple que resuelve la tarea: predecir siempre la mediana de los precios de entrenamiento. El prototipo es un HistGradientBoostingRegressor de scikit-learn con sus valores por defecto, sin optimización de hiperparámetros, tal como pide la consigna. Maneja nulos y variables categóricas de forma nativa; el barrio se limitó a los 200 más frecuentes del conjunto de entrenamiento, agrupando el resto, y ese recorte se calculó solo con train para no filtrar información del período de evaluación.</w:t>
      </w:r>
    </w:p>
    <w:tbl>
      <w:tblPr>
        <w:tblW w:type="dxa" w:w="9026"/>
        <w:tblBorders>
          <w:top w:val="single" w:color="BFBFBA" w:sz="2"/>
          <w:left w:val="none"/>
          <w:bottom w:val="single" w:color="BFBFBA" w:sz="2"/>
          <w:right w:val="none"/>
          <w:insideH w:val="single" w:color="DEDEDA" w:sz="1"/>
          <w:insideV w:val="none"/>
        </w:tblBorders>
      </w:tblPr>
      <w:tblGrid>
        <w:gridCol w:w="3610"/>
        <w:gridCol w:w="1805"/>
        <w:gridCol w:w="1805"/>
        <w:gridCol w:w="1805"/>
      </w:tblGrid>
      <w:tr>
        <w:trPr>
          <w:tblHeader/>
        </w:trPr>
        <w:tc>
          <w:tcPr>
            <w:tcW w:type="dxa" w:w="3610"/>
            <w:shd w:fill="F2F2EF" w:color="auto" w:val="clear"/>
            <w:tcMar>
              <w:top w:type="dxa" w:w="60"/>
              <w:left w:type="dxa" w:w="90"/>
              <w:bottom w:type="dxa" w:w="60"/>
              <w:right w:type="dxa" w:w="90"/>
            </w:tcMar>
          </w:tcPr>
          <w:p>
            <w:pPr>
              <w:spacing w:after="0" w:line="240"/>
            </w:pPr>
            <w:r>
              <w:rPr>
                <w:b/>
                <w:bCs/>
                <w:sz w:val="18"/>
                <w:szCs w:val="18"/>
              </w:rPr>
              <w:t xml:space="preserve">Modelo</w:t>
            </w:r>
          </w:p>
        </w:tc>
        <w:tc>
          <w:tcPr>
            <w:tcW w:type="dxa" w:w="1805"/>
            <w:shd w:fill="F2F2EF" w:color="auto" w:val="clear"/>
            <w:tcMar>
              <w:top w:type="dxa" w:w="60"/>
              <w:left w:type="dxa" w:w="90"/>
              <w:bottom w:type="dxa" w:w="60"/>
              <w:right w:type="dxa" w:w="90"/>
            </w:tcMar>
          </w:tcPr>
          <w:p>
            <w:pPr>
              <w:spacing w:after="0" w:line="240"/>
              <w:jc w:val="right"/>
            </w:pPr>
            <w:r>
              <w:rPr>
                <w:b/>
                <w:bCs/>
                <w:sz w:val="18"/>
                <w:szCs w:val="18"/>
              </w:rPr>
              <w:t xml:space="preserve">MAE (USD)</w:t>
            </w:r>
          </w:p>
        </w:tc>
        <w:tc>
          <w:tcPr>
            <w:tcW w:type="dxa" w:w="1805"/>
            <w:shd w:fill="F2F2EF" w:color="auto" w:val="clear"/>
            <w:tcMar>
              <w:top w:type="dxa" w:w="60"/>
              <w:left w:type="dxa" w:w="90"/>
              <w:bottom w:type="dxa" w:w="60"/>
              <w:right w:type="dxa" w:w="90"/>
            </w:tcMar>
          </w:tcPr>
          <w:p>
            <w:pPr>
              <w:spacing w:after="0" w:line="240"/>
              <w:jc w:val="right"/>
            </w:pPr>
            <w:r>
              <w:rPr>
                <w:b/>
                <w:bCs/>
                <w:sz w:val="18"/>
                <w:szCs w:val="18"/>
              </w:rPr>
              <w:t xml:space="preserve">MAPE</w:t>
            </w:r>
          </w:p>
        </w:tc>
        <w:tc>
          <w:tcPr>
            <w:tcW w:type="dxa" w:w="1805"/>
            <w:shd w:fill="F2F2EF" w:color="auto" w:val="clear"/>
            <w:tcMar>
              <w:top w:type="dxa" w:w="60"/>
              <w:left w:type="dxa" w:w="90"/>
              <w:bottom w:type="dxa" w:w="60"/>
              <w:right w:type="dxa" w:w="90"/>
            </w:tcMar>
          </w:tcPr>
          <w:p>
            <w:pPr>
              <w:spacing w:after="0" w:line="240"/>
              <w:jc w:val="right"/>
            </w:pPr>
            <w:r>
              <w:rPr>
                <w:b/>
                <w:bCs/>
                <w:sz w:val="18"/>
                <w:szCs w:val="18"/>
              </w:rPr>
              <w:t xml:space="preserve">Mejora en MAE</w:t>
            </w:r>
          </w:p>
        </w:tc>
      </w:tr>
      <w:tr>
        <w:tc>
          <w:tcPr>
            <w:tcW w:type="dxa" w:w="3610"/>
            <w:tcMar>
              <w:top w:type="dxa" w:w="60"/>
              <w:left w:type="dxa" w:w="90"/>
              <w:bottom w:type="dxa" w:w="60"/>
              <w:right w:type="dxa" w:w="90"/>
            </w:tcMar>
          </w:tcPr>
          <w:p>
            <w:pPr>
              <w:spacing w:after="0" w:line="240"/>
            </w:pPr>
            <w:r>
              <w:rPr>
                <w:sz w:val="18"/>
                <w:szCs w:val="18"/>
              </w:rPr>
              <w:t xml:space="preserve">Baseline (mediana)</w:t>
            </w:r>
          </w:p>
        </w:tc>
        <w:tc>
          <w:tcPr>
            <w:tcW w:type="dxa" w:w="1805"/>
            <w:tcMar>
              <w:top w:type="dxa" w:w="60"/>
              <w:left w:type="dxa" w:w="90"/>
              <w:bottom w:type="dxa" w:w="60"/>
              <w:right w:type="dxa" w:w="90"/>
            </w:tcMar>
          </w:tcPr>
          <w:p>
            <w:pPr>
              <w:spacing w:after="0" w:line="240"/>
              <w:jc w:val="right"/>
            </w:pPr>
            <w:r>
              <w:rPr>
                <w:sz w:val="18"/>
                <w:szCs w:val="18"/>
              </w:rPr>
              <w:t xml:space="preserve">117.672</w:t>
            </w:r>
          </w:p>
        </w:tc>
        <w:tc>
          <w:tcPr>
            <w:tcW w:type="dxa" w:w="1805"/>
            <w:tcMar>
              <w:top w:type="dxa" w:w="60"/>
              <w:left w:type="dxa" w:w="90"/>
              <w:bottom w:type="dxa" w:w="60"/>
              <w:right w:type="dxa" w:w="90"/>
            </w:tcMar>
          </w:tcPr>
          <w:p>
            <w:pPr>
              <w:spacing w:after="0" w:line="240"/>
              <w:jc w:val="right"/>
            </w:pPr>
            <w:r>
              <w:rPr>
                <w:sz w:val="18"/>
                <w:szCs w:val="18"/>
              </w:rPr>
              <w:t xml:space="preserve">59,2%</w:t>
            </w:r>
          </w:p>
        </w:tc>
        <w:tc>
          <w:tcPr>
            <w:tcW w:type="dxa" w:w="1805"/>
            <w:tcMar>
              <w:top w:type="dxa" w:w="60"/>
              <w:left w:type="dxa" w:w="90"/>
              <w:bottom w:type="dxa" w:w="60"/>
              <w:right w:type="dxa" w:w="90"/>
            </w:tcMar>
          </w:tcPr>
          <w:p>
            <w:pPr>
              <w:spacing w:after="0" w:line="240"/>
              <w:jc w:val="right"/>
            </w:pPr>
            <w:r>
              <w:rPr>
                <w:sz w:val="18"/>
                <w:szCs w:val="18"/>
              </w:rPr>
              <w:t xml:space="preserve">—</w:t>
            </w:r>
          </w:p>
        </w:tc>
      </w:tr>
      <w:tr>
        <w:tc>
          <w:tcPr>
            <w:tcW w:type="dxa" w:w="3610"/>
            <w:tcMar>
              <w:top w:type="dxa" w:w="60"/>
              <w:left w:type="dxa" w:w="90"/>
              <w:bottom w:type="dxa" w:w="60"/>
              <w:right w:type="dxa" w:w="90"/>
            </w:tcMar>
          </w:tcPr>
          <w:p>
            <w:pPr>
              <w:spacing w:after="0" w:line="240"/>
            </w:pPr>
            <w:r>
              <w:rPr>
                <w:sz w:val="18"/>
                <w:szCs w:val="18"/>
              </w:rPr>
              <w:t xml:space="preserve">Boosting sobre el precio</w:t>
            </w:r>
          </w:p>
        </w:tc>
        <w:tc>
          <w:tcPr>
            <w:tcW w:type="dxa" w:w="1805"/>
            <w:tcMar>
              <w:top w:type="dxa" w:w="60"/>
              <w:left w:type="dxa" w:w="90"/>
              <w:bottom w:type="dxa" w:w="60"/>
              <w:right w:type="dxa" w:w="90"/>
            </w:tcMar>
          </w:tcPr>
          <w:p>
            <w:pPr>
              <w:spacing w:after="0" w:line="240"/>
              <w:jc w:val="right"/>
            </w:pPr>
            <w:r>
              <w:rPr>
                <w:sz w:val="18"/>
                <w:szCs w:val="18"/>
              </w:rPr>
              <w:t xml:space="preserve">50.245</w:t>
            </w:r>
          </w:p>
        </w:tc>
        <w:tc>
          <w:tcPr>
            <w:tcW w:type="dxa" w:w="1805"/>
            <w:tcMar>
              <w:top w:type="dxa" w:w="60"/>
              <w:left w:type="dxa" w:w="90"/>
              <w:bottom w:type="dxa" w:w="60"/>
              <w:right w:type="dxa" w:w="90"/>
            </w:tcMar>
          </w:tcPr>
          <w:p>
            <w:pPr>
              <w:spacing w:after="0" w:line="240"/>
              <w:jc w:val="right"/>
            </w:pPr>
            <w:r>
              <w:rPr>
                <w:sz w:val="18"/>
                <w:szCs w:val="18"/>
              </w:rPr>
              <w:t xml:space="preserve">27,1%</w:t>
            </w:r>
          </w:p>
        </w:tc>
        <w:tc>
          <w:tcPr>
            <w:tcW w:type="dxa" w:w="1805"/>
            <w:tcMar>
              <w:top w:type="dxa" w:w="60"/>
              <w:left w:type="dxa" w:w="90"/>
              <w:bottom w:type="dxa" w:w="60"/>
              <w:right w:type="dxa" w:w="90"/>
            </w:tcMar>
          </w:tcPr>
          <w:p>
            <w:pPr>
              <w:spacing w:after="0" w:line="240"/>
              <w:jc w:val="right"/>
            </w:pPr>
            <w:r>
              <w:rPr>
                <w:sz w:val="18"/>
                <w:szCs w:val="18"/>
              </w:rPr>
              <w:t xml:space="preserve">57,3%</w:t>
            </w:r>
          </w:p>
        </w:tc>
      </w:tr>
      <w:tr>
        <w:tc>
          <w:tcPr>
            <w:tcW w:type="dxa" w:w="3610"/>
            <w:tcMar>
              <w:top w:type="dxa" w:w="60"/>
              <w:left w:type="dxa" w:w="90"/>
              <w:bottom w:type="dxa" w:w="60"/>
              <w:right w:type="dxa" w:w="90"/>
            </w:tcMar>
          </w:tcPr>
          <w:p>
            <w:pPr>
              <w:spacing w:after="0" w:line="240"/>
            </w:pPr>
            <w:r>
              <w:rPr>
                <w:sz w:val="18"/>
                <w:szCs w:val="18"/>
              </w:rPr>
              <w:t xml:space="preserve">Boosting sobre log(precio)</w:t>
            </w:r>
          </w:p>
        </w:tc>
        <w:tc>
          <w:tcPr>
            <w:tcW w:type="dxa" w:w="1805"/>
            <w:tcMar>
              <w:top w:type="dxa" w:w="60"/>
              <w:left w:type="dxa" w:w="90"/>
              <w:bottom w:type="dxa" w:w="60"/>
              <w:right w:type="dxa" w:w="90"/>
            </w:tcMar>
          </w:tcPr>
          <w:p>
            <w:pPr>
              <w:spacing w:after="0" w:line="240"/>
              <w:jc w:val="right"/>
            </w:pPr>
            <w:r>
              <w:rPr>
                <w:sz w:val="18"/>
                <w:szCs w:val="18"/>
              </w:rPr>
              <w:t xml:space="preserve">50.573</w:t>
            </w:r>
          </w:p>
        </w:tc>
        <w:tc>
          <w:tcPr>
            <w:tcW w:type="dxa" w:w="1805"/>
            <w:tcMar>
              <w:top w:type="dxa" w:w="60"/>
              <w:left w:type="dxa" w:w="90"/>
              <w:bottom w:type="dxa" w:w="60"/>
              <w:right w:type="dxa" w:w="90"/>
            </w:tcMar>
          </w:tcPr>
          <w:p>
            <w:pPr>
              <w:spacing w:after="0" w:line="240"/>
              <w:jc w:val="right"/>
            </w:pPr>
            <w:r>
              <w:rPr>
                <w:sz w:val="18"/>
                <w:szCs w:val="18"/>
              </w:rPr>
              <w:t xml:space="preserve">24,9%</w:t>
            </w:r>
          </w:p>
        </w:tc>
        <w:tc>
          <w:tcPr>
            <w:tcW w:type="dxa" w:w="1805"/>
            <w:tcMar>
              <w:top w:type="dxa" w:w="60"/>
              <w:left w:type="dxa" w:w="90"/>
              <w:bottom w:type="dxa" w:w="60"/>
              <w:right w:type="dxa" w:w="90"/>
            </w:tcMar>
          </w:tcPr>
          <w:p>
            <w:pPr>
              <w:spacing w:after="0" w:line="240"/>
              <w:jc w:val="right"/>
            </w:pPr>
            <w:r>
              <w:rPr>
                <w:sz w:val="18"/>
                <w:szCs w:val="18"/>
              </w:rPr>
              <w:t xml:space="preserve">57,0%</w:t>
            </w:r>
          </w:p>
        </w:tc>
      </w:tr>
    </w:tbl>
    <w:p>
      <w:pPr>
        <w:spacing w:after="60" w:line="300"/>
        <w:jc w:val="both"/>
      </w:pPr>
      <w:r>
        <w:rPr>
          <w:sz w:val="20"/>
          <w:szCs w:val="20"/>
        </w:rPr>
        <w:t xml:space="preserve"/>
      </w:r>
    </w:p>
    <w:p>
      <w:pPr>
        <w:spacing w:after="140" w:line="300"/>
        <w:jc w:val="both"/>
      </w:pPr>
      <w:r>
        <w:rPr>
          <w:sz w:val="20"/>
          <w:szCs w:val="20"/>
        </w:rPr>
        <w:t xml:space="preserve">Reportamos las dos métricas porque dicen cosas distintas: el MAE está en dólares y se interpreta directo, pero pesa igual un error de 10.000 en un departamento de 50.000 que en una casa de 800.000; el MAPE mide el error relativo y trata parejo a toda la escala, que es lo que corresponde cuando el rango abarca un orden de magnitud. El modelo reduce el error a menos de la mitad del baseline: hay señal, que es lo que esta parte buscaba establecer.</w:t>
      </w:r>
    </w:p>
    <w:p>
      <w:pPr>
        <w:pStyle w:val="Heading2"/>
        <w:spacing w:after="110" w:before="220"/>
      </w:pPr>
      <w:r>
        <w:t xml:space="preserve">2.5 El sesgo del modelo y la transformación logarítmica</w:t>
      </w:r>
    </w:p>
    <w:p>
      <w:pPr>
        <w:spacing w:after="140" w:line="300"/>
        <w:jc w:val="both"/>
      </w:pPr>
      <w:r>
        <w:rPr>
          <w:sz w:val="20"/>
          <w:szCs w:val="20"/>
        </w:rPr>
        <w:t xml:space="preserve">Desagregar el error por rango de precio revela un patrón que el promedio esconde: el modelo tira las predicciones hacia el centro de la distribución, sobreestimando las propiedades baratas y subestimando las caras. Dado que sobreestimar es el error costoso para este uso, y que las candidatas a oportunidad se concentran justamente en el rango bajo, el sesgo no es un detalle técnico sino un problema de negocio.</w:t>
      </w:r>
    </w:p>
    <w:p>
      <w:pPr>
        <w:spacing w:after="140" w:line="300"/>
        <w:jc w:val="both"/>
      </w:pPr>
      <w:r>
        <w:rPr>
          <w:sz w:val="20"/>
          <w:szCs w:val="20"/>
        </w:rPr>
        <w:t xml:space="preserve">Entrenar sobre el logaritmo del precio ataca la causa: la distribución de precios es muy asimétrica y en escala logarítmica se vuelve casi simétrica.</w:t>
      </w:r>
    </w:p>
    <w:p>
      <w:pPr>
        <w:spacing w:after="60" w:before="12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81250"/>
                    </a:xfrm>
                    <a:prstGeom prst="rect">
                      <a:avLst/>
                    </a:prstGeom>
                  </pic:spPr>
                </pic:pic>
              </a:graphicData>
            </a:graphic>
          </wp:inline>
        </w:drawing>
      </w:r>
    </w:p>
    <w:p>
      <w:pPr>
        <w:spacing w:after="180"/>
        <w:jc w:val="center"/>
      </w:pPr>
      <w:r>
        <w:rPr>
          <w:i/>
          <w:iCs/>
          <w:color w:val="6A6A66"/>
          <w:sz w:val="16"/>
          <w:szCs w:val="16"/>
        </w:rPr>
        <w:t xml:space="preserve">Figura 4. Sesgo promedio por rango de precio. Valores positivos indican sobreestimación. La transformación logarítmica reduce el sesgo en los tres rangos inferiores y lo agrava en el superior.</w:t>
      </w:r>
    </w:p>
    <w:p>
      <w:pPr>
        <w:spacing w:after="140" w:line="300"/>
        <w:jc w:val="both"/>
      </w:pPr>
      <w:r>
        <w:rPr>
          <w:sz w:val="20"/>
          <w:szCs w:val="20"/>
        </w:rPr>
        <w:t xml:space="preserve">El sesgo baja de +25.918 a +20.426 dólares en el rango de 20.000 a 80.000, de +16.946 a +11.101 en el siguiente, y prácticamente desaparece entre 150.000 y 300.000 (+236). A cambio empeora en las propiedades de más de 300.000, de −53.353 a −78.957: al promediar en escala logarítmica y volver a dólares se obtiene algo cercano a la mediana, que queda por debajo de la media donde la cola es larga. Adoptamos el modelo logarítmico porque mejora el error relativo (24,9% contra 27,1%) y corrige el sesgo justamente en el rango donde opera esta inversora.</w:t>
      </w:r>
    </w:p>
    <w:p>
      <w:pPr>
        <w:spacing w:after="140" w:line="300"/>
        <w:jc w:val="both"/>
      </w:pPr>
      <w:r>
        <w:rPr>
          <w:b/>
          <w:bCs/>
          <w:sz w:val="20"/>
          <w:szCs w:val="20"/>
        </w:rPr>
        <w:t xml:space="preserve">Lo que ninguna de las dos métricas captura: </w:t>
      </w:r>
      <w:r>
        <w:rPr>
          <w:sz w:val="20"/>
          <w:szCs w:val="20"/>
        </w:rPr>
        <w:t xml:space="preserve">MAE y MAPE penalizan igual los errores por exceso y por defecto, mientras que para este problema sobreestimar es más caro. Un tratamiento completo usaría una pérdida asimétrica (por ejemplo, regresión cuantílica sobre un cuantil inferior) o aplicaría un margen de seguridad a la predicción antes de decidir. Queda fuera del alcance de un prototipo, pero la elección de métrica no es neutral respecto del problema.</w:t>
      </w:r>
    </w:p>
    <w:p>
      <w:pPr>
        <w:pStyle w:val="Heading2"/>
        <w:spacing w:after="110" w:before="220"/>
      </w:pPr>
      <w:r>
        <w:t xml:space="preserve">2.6 Qué mira el modelo</w:t>
      </w:r>
    </w:p>
    <w:p>
      <w:pPr>
        <w:spacing w:after="140" w:line="300"/>
        <w:jc w:val="both"/>
      </w:pPr>
      <w:r>
        <w:rPr>
          <w:sz w:val="20"/>
          <w:szCs w:val="20"/>
        </w:rPr>
        <w:t xml:space="preserve">La importancia por permutación mide cuánto empeora el error al desordenar una variable: si el modelo no la usa, desordenarla no cambia nada.</w:t>
      </w:r>
    </w:p>
    <w:tbl>
      <w:tblPr>
        <w:tblW w:type="dxa" w:w="9026"/>
        <w:tblBorders>
          <w:top w:val="single" w:color="BFBFBA" w:sz="2"/>
          <w:left w:val="none"/>
          <w:bottom w:val="single" w:color="BFBFBA" w:sz="2"/>
          <w:right w:val="none"/>
          <w:insideH w:val="single" w:color="DEDEDA" w:sz="1"/>
          <w:insideV w:val="none"/>
        </w:tblBorders>
      </w:tblPr>
      <w:tblGrid>
        <w:gridCol w:w="5416"/>
        <w:gridCol w:w="3610"/>
      </w:tblGrid>
      <w:tr>
        <w:trPr>
          <w:tblHeader/>
        </w:trPr>
        <w:tc>
          <w:tcPr>
            <w:tcW w:type="dxa" w:w="5416"/>
            <w:shd w:fill="F2F2EF" w:color="auto" w:val="clear"/>
            <w:tcMar>
              <w:top w:type="dxa" w:w="60"/>
              <w:left w:type="dxa" w:w="90"/>
              <w:bottom w:type="dxa" w:w="60"/>
              <w:right w:type="dxa" w:w="90"/>
            </w:tcMar>
          </w:tcPr>
          <w:p>
            <w:pPr>
              <w:spacing w:after="0" w:line="240"/>
            </w:pPr>
            <w:r>
              <w:rPr>
                <w:b/>
                <w:bCs/>
                <w:sz w:val="18"/>
                <w:szCs w:val="18"/>
              </w:rPr>
              <w:t xml:space="preserve">Variable</w:t>
            </w:r>
          </w:p>
        </w:tc>
        <w:tc>
          <w:tcPr>
            <w:tcW w:type="dxa" w:w="3610"/>
            <w:shd w:fill="F2F2EF" w:color="auto" w:val="clear"/>
            <w:tcMar>
              <w:top w:type="dxa" w:w="60"/>
              <w:left w:type="dxa" w:w="90"/>
              <w:bottom w:type="dxa" w:w="60"/>
              <w:right w:type="dxa" w:w="90"/>
            </w:tcMar>
          </w:tcPr>
          <w:p>
            <w:pPr>
              <w:spacing w:after="0" w:line="240"/>
              <w:jc w:val="right"/>
            </w:pPr>
            <w:r>
              <w:rPr>
                <w:b/>
                <w:bCs/>
                <w:sz w:val="18"/>
                <w:szCs w:val="18"/>
              </w:rPr>
              <w:t xml:space="preserve">Aumento del MAE (escala log)</w:t>
            </w:r>
          </w:p>
        </w:tc>
      </w:tr>
      <w:tr>
        <w:tc>
          <w:tcPr>
            <w:tcW w:type="dxa" w:w="5416"/>
            <w:tcMar>
              <w:top w:type="dxa" w:w="60"/>
              <w:left w:type="dxa" w:w="90"/>
              <w:bottom w:type="dxa" w:w="60"/>
              <w:right w:type="dxa" w:w="90"/>
            </w:tcMar>
          </w:tcPr>
          <w:p>
            <w:pPr>
              <w:spacing w:after="0" w:line="240"/>
            </w:pPr>
            <w:r>
              <w:rPr>
                <w:sz w:val="18"/>
                <w:szCs w:val="18"/>
              </w:rPr>
              <w:t xml:space="preserve">Superficie</w:t>
            </w:r>
          </w:p>
        </w:tc>
        <w:tc>
          <w:tcPr>
            <w:tcW w:type="dxa" w:w="3610"/>
            <w:tcMar>
              <w:top w:type="dxa" w:w="60"/>
              <w:left w:type="dxa" w:w="90"/>
              <w:bottom w:type="dxa" w:w="60"/>
              <w:right w:type="dxa" w:w="90"/>
            </w:tcMar>
          </w:tcPr>
          <w:p>
            <w:pPr>
              <w:spacing w:after="0" w:line="240"/>
              <w:jc w:val="right"/>
            </w:pPr>
            <w:r>
              <w:rPr>
                <w:sz w:val="18"/>
                <w:szCs w:val="18"/>
              </w:rPr>
              <w:t xml:space="preserve">0,248</w:t>
            </w:r>
          </w:p>
        </w:tc>
      </w:tr>
      <w:tr>
        <w:tc>
          <w:tcPr>
            <w:tcW w:type="dxa" w:w="5416"/>
            <w:tcMar>
              <w:top w:type="dxa" w:w="60"/>
              <w:left w:type="dxa" w:w="90"/>
              <w:bottom w:type="dxa" w:w="60"/>
              <w:right w:type="dxa" w:w="90"/>
            </w:tcMar>
          </w:tcPr>
          <w:p>
            <w:pPr>
              <w:spacing w:after="0" w:line="240"/>
            </w:pPr>
            <w:r>
              <w:rPr>
                <w:sz w:val="18"/>
                <w:szCs w:val="18"/>
              </w:rPr>
              <w:t xml:space="preserve">Barrio (l3)</w:t>
            </w:r>
          </w:p>
        </w:tc>
        <w:tc>
          <w:tcPr>
            <w:tcW w:type="dxa" w:w="3610"/>
            <w:tcMar>
              <w:top w:type="dxa" w:w="60"/>
              <w:left w:type="dxa" w:w="90"/>
              <w:bottom w:type="dxa" w:w="60"/>
              <w:right w:type="dxa" w:w="90"/>
            </w:tcMar>
          </w:tcPr>
          <w:p>
            <w:pPr>
              <w:spacing w:after="0" w:line="240"/>
              <w:jc w:val="right"/>
            </w:pPr>
            <w:r>
              <w:rPr>
                <w:sz w:val="18"/>
                <w:szCs w:val="18"/>
              </w:rPr>
              <w:t xml:space="preserve">0,169</w:t>
            </w:r>
          </w:p>
        </w:tc>
      </w:tr>
      <w:tr>
        <w:tc>
          <w:tcPr>
            <w:tcW w:type="dxa" w:w="5416"/>
            <w:tcMar>
              <w:top w:type="dxa" w:w="60"/>
              <w:left w:type="dxa" w:w="90"/>
              <w:bottom w:type="dxa" w:w="60"/>
              <w:right w:type="dxa" w:w="90"/>
            </w:tcMar>
          </w:tcPr>
          <w:p>
            <w:pPr>
              <w:spacing w:after="0" w:line="240"/>
            </w:pPr>
            <w:r>
              <w:rPr>
                <w:sz w:val="18"/>
                <w:szCs w:val="18"/>
              </w:rPr>
              <w:t xml:space="preserve">Baños</w:t>
            </w:r>
          </w:p>
        </w:tc>
        <w:tc>
          <w:tcPr>
            <w:tcW w:type="dxa" w:w="3610"/>
            <w:tcMar>
              <w:top w:type="dxa" w:w="60"/>
              <w:left w:type="dxa" w:w="90"/>
              <w:bottom w:type="dxa" w:w="60"/>
              <w:right w:type="dxa" w:w="90"/>
            </w:tcMar>
          </w:tcPr>
          <w:p>
            <w:pPr>
              <w:spacing w:after="0" w:line="240"/>
              <w:jc w:val="right"/>
            </w:pPr>
            <w:r>
              <w:rPr>
                <w:sz w:val="18"/>
                <w:szCs w:val="18"/>
              </w:rPr>
              <w:t xml:space="preserve">0,118</w:t>
            </w:r>
          </w:p>
        </w:tc>
      </w:tr>
      <w:tr>
        <w:tc>
          <w:tcPr>
            <w:tcW w:type="dxa" w:w="5416"/>
            <w:tcMar>
              <w:top w:type="dxa" w:w="60"/>
              <w:left w:type="dxa" w:w="90"/>
              <w:bottom w:type="dxa" w:w="60"/>
              <w:right w:type="dxa" w:w="90"/>
            </w:tcMar>
          </w:tcPr>
          <w:p>
            <w:pPr>
              <w:spacing w:after="0" w:line="240"/>
            </w:pPr>
            <w:r>
              <w:rPr>
                <w:sz w:val="18"/>
                <w:szCs w:val="18"/>
              </w:rPr>
              <w:t xml:space="preserve">Ambientes</w:t>
            </w:r>
          </w:p>
        </w:tc>
        <w:tc>
          <w:tcPr>
            <w:tcW w:type="dxa" w:w="3610"/>
            <w:tcMar>
              <w:top w:type="dxa" w:w="60"/>
              <w:left w:type="dxa" w:w="90"/>
              <w:bottom w:type="dxa" w:w="60"/>
              <w:right w:type="dxa" w:w="90"/>
            </w:tcMar>
          </w:tcPr>
          <w:p>
            <w:pPr>
              <w:spacing w:after="0" w:line="240"/>
              <w:jc w:val="right"/>
            </w:pPr>
            <w:r>
              <w:rPr>
                <w:sz w:val="18"/>
                <w:szCs w:val="18"/>
              </w:rPr>
              <w:t xml:space="preserve">0,020</w:t>
            </w:r>
          </w:p>
        </w:tc>
      </w:tr>
      <w:tr>
        <w:tc>
          <w:tcPr>
            <w:tcW w:type="dxa" w:w="5416"/>
            <w:tcMar>
              <w:top w:type="dxa" w:w="60"/>
              <w:left w:type="dxa" w:w="90"/>
              <w:bottom w:type="dxa" w:w="60"/>
              <w:right w:type="dxa" w:w="90"/>
            </w:tcMar>
          </w:tcPr>
          <w:p>
            <w:pPr>
              <w:spacing w:after="0" w:line="240"/>
            </w:pPr>
            <w:r>
              <w:rPr>
                <w:sz w:val="18"/>
                <w:szCs w:val="18"/>
              </w:rPr>
              <w:t xml:space="preserve">Tipo de propiedad</w:t>
            </w:r>
          </w:p>
        </w:tc>
        <w:tc>
          <w:tcPr>
            <w:tcW w:type="dxa" w:w="3610"/>
            <w:tcMar>
              <w:top w:type="dxa" w:w="60"/>
              <w:left w:type="dxa" w:w="90"/>
              <w:bottom w:type="dxa" w:w="60"/>
              <w:right w:type="dxa" w:w="90"/>
            </w:tcMar>
          </w:tcPr>
          <w:p>
            <w:pPr>
              <w:spacing w:after="0" w:line="240"/>
              <w:jc w:val="right"/>
            </w:pPr>
            <w:r>
              <w:rPr>
                <w:sz w:val="18"/>
                <w:szCs w:val="18"/>
              </w:rPr>
              <w:t xml:space="preserve">0,016</w:t>
            </w:r>
          </w:p>
        </w:tc>
      </w:tr>
      <w:tr>
        <w:tc>
          <w:tcPr>
            <w:tcW w:type="dxa" w:w="5416"/>
            <w:tcMar>
              <w:top w:type="dxa" w:w="60"/>
              <w:left w:type="dxa" w:w="90"/>
              <w:bottom w:type="dxa" w:w="60"/>
              <w:right w:type="dxa" w:w="90"/>
            </w:tcMar>
          </w:tcPr>
          <w:p>
            <w:pPr>
              <w:spacing w:after="0" w:line="240"/>
            </w:pPr>
            <w:r>
              <w:rPr>
                <w:sz w:val="18"/>
                <w:szCs w:val="18"/>
              </w:rPr>
              <w:t xml:space="preserve">Dormitorios</w:t>
            </w:r>
          </w:p>
        </w:tc>
        <w:tc>
          <w:tcPr>
            <w:tcW w:type="dxa" w:w="3610"/>
            <w:tcMar>
              <w:top w:type="dxa" w:w="60"/>
              <w:left w:type="dxa" w:w="90"/>
              <w:bottom w:type="dxa" w:w="60"/>
              <w:right w:type="dxa" w:w="90"/>
            </w:tcMar>
          </w:tcPr>
          <w:p>
            <w:pPr>
              <w:spacing w:after="0" w:line="240"/>
              <w:jc w:val="right"/>
            </w:pPr>
            <w:r>
              <w:rPr>
                <w:sz w:val="18"/>
                <w:szCs w:val="18"/>
              </w:rPr>
              <w:t xml:space="preserve">0,012</w:t>
            </w:r>
          </w:p>
        </w:tc>
      </w:tr>
      <w:tr>
        <w:tc>
          <w:tcPr>
            <w:tcW w:type="dxa" w:w="5416"/>
            <w:tcMar>
              <w:top w:type="dxa" w:w="60"/>
              <w:left w:type="dxa" w:w="90"/>
              <w:bottom w:type="dxa" w:w="60"/>
              <w:right w:type="dxa" w:w="90"/>
            </w:tcMar>
          </w:tcPr>
          <w:p>
            <w:pPr>
              <w:spacing w:after="0" w:line="240"/>
            </w:pPr>
            <w:r>
              <w:rPr>
                <w:sz w:val="18"/>
                <w:szCs w:val="18"/>
              </w:rPr>
              <w:t xml:space="preserve">Longitud / Latitud</w:t>
            </w:r>
          </w:p>
        </w:tc>
        <w:tc>
          <w:tcPr>
            <w:tcW w:type="dxa" w:w="3610"/>
            <w:tcMar>
              <w:top w:type="dxa" w:w="60"/>
              <w:left w:type="dxa" w:w="90"/>
              <w:bottom w:type="dxa" w:w="60"/>
              <w:right w:type="dxa" w:w="90"/>
            </w:tcMar>
          </w:tcPr>
          <w:p>
            <w:pPr>
              <w:spacing w:after="0" w:line="240"/>
              <w:jc w:val="right"/>
            </w:pPr>
            <w:r>
              <w:rPr>
                <w:sz w:val="18"/>
                <w:szCs w:val="18"/>
              </w:rPr>
              <w:t xml:space="preserve">0,012 / 0,011</w:t>
            </w:r>
          </w:p>
        </w:tc>
      </w:tr>
      <w:tr>
        <w:tc>
          <w:tcPr>
            <w:tcW w:type="dxa" w:w="5416"/>
            <w:tcMar>
              <w:top w:type="dxa" w:w="60"/>
              <w:left w:type="dxa" w:w="90"/>
              <w:bottom w:type="dxa" w:w="60"/>
              <w:right w:type="dxa" w:w="90"/>
            </w:tcMar>
          </w:tcPr>
          <w:p>
            <w:pPr>
              <w:spacing w:after="0" w:line="240"/>
            </w:pPr>
            <w:r>
              <w:rPr>
                <w:sz w:val="18"/>
                <w:szCs w:val="18"/>
              </w:rPr>
              <w:t xml:space="preserve">Provincia (l2)</w:t>
            </w:r>
          </w:p>
        </w:tc>
        <w:tc>
          <w:tcPr>
            <w:tcW w:type="dxa" w:w="3610"/>
            <w:tcMar>
              <w:top w:type="dxa" w:w="60"/>
              <w:left w:type="dxa" w:w="90"/>
              <w:bottom w:type="dxa" w:w="60"/>
              <w:right w:type="dxa" w:w="90"/>
            </w:tcMar>
          </w:tcPr>
          <w:p>
            <w:pPr>
              <w:spacing w:after="0" w:line="240"/>
              <w:jc w:val="right"/>
            </w:pPr>
            <w:r>
              <w:rPr>
                <w:sz w:val="18"/>
                <w:szCs w:val="18"/>
              </w:rPr>
              <w:t xml:space="preserve">0,001</w:t>
            </w:r>
          </w:p>
        </w:tc>
      </w:tr>
    </w:tbl>
    <w:p>
      <w:pPr>
        <w:spacing w:after="60" w:line="300"/>
        <w:jc w:val="both"/>
      </w:pPr>
      <w:r>
        <w:rPr>
          <w:sz w:val="20"/>
          <w:szCs w:val="20"/>
        </w:rPr>
        <w:t xml:space="preserve"/>
      </w:r>
    </w:p>
    <w:p>
      <w:pPr>
        <w:spacing w:after="140" w:line="300"/>
        <w:jc w:val="both"/>
      </w:pPr>
      <w:r>
        <w:rPr>
          <w:sz w:val="20"/>
          <w:szCs w:val="20"/>
        </w:rPr>
        <w:t xml:space="preserve">Superficie, barrio y baños concentran casi toda la capacidad predictiva, lo que coincide con el criterio que usaría un tasador. Las coordenadas aportan poco una vez que el barrio está presente, porque codifican la misma información de forma redundante, y la provincia es casi irrelevante por la misma razón. Que el modelo reproduzca el criterio del dominio, sin que se lo hayamos impuesto, es un indicio de que aprendió algo razonable.</w:t>
      </w:r>
    </w:p>
    <w:p>
      <w:pPr>
        <w:pStyle w:val="Heading2"/>
        <w:spacing w:after="110" w:before="220"/>
      </w:pPr>
      <w:r>
        <w:t xml:space="preserve">2.7 De la predicción a la decisión</w:t>
      </w:r>
    </w:p>
    <w:p>
      <w:pPr>
        <w:spacing w:after="140" w:line="300"/>
        <w:jc w:val="both"/>
      </w:pPr>
      <w:r>
        <w:rPr>
          <w:sz w:val="20"/>
          <w:szCs w:val="20"/>
        </w:rPr>
        <w:t xml:space="preserve">Definimos como candidata a oportunidad el aviso cuyo precio publicado está más de 30% por debajo del valor estimado. Sobre los 58.877 avisos del período de evaluación, el modelo marca 6.469, el 11%: el filtro descarta nueve de cada diez propiedades sin necesidad de visitarlas, que es exactamente el valor operativo buscado.</w:t>
      </w:r>
    </w:p>
    <w:p>
      <w:pPr>
        <w:spacing w:after="140" w:line="300"/>
        <w:jc w:val="both"/>
      </w:pPr>
      <w:r>
        <w:rPr>
          <w:sz w:val="20"/>
          <w:szCs w:val="20"/>
        </w:rPr>
        <w:t xml:space="preserve">Ahora bien, al inspeccionar las brechas más grandes aparecen casos como una casa de 1.060 m² publicada a 22.000 dólares o un departamento de 76 m² en Vicente López a 23.000. No son gangas: son avisos con datos mal cargados, o publicaciones donde el precio es un valor de referencia y no el real. Esto refuerza que la salida del modelo es una lista de prioridades para revisar, no una lista de compras, y que conviene descartar automáticamente las brechas extremas, que son casi siempre errores de carga antes que oportunidades.</w:t>
      </w:r>
    </w:p>
    <w:p>
      <w:pPr>
        <w:pStyle w:val="Heading2"/>
        <w:spacing w:after="110" w:before="220"/>
      </w:pPr>
      <w:r>
        <w:t xml:space="preserve">2.8 Factibilidad operativa</w:t>
      </w:r>
    </w:p>
    <w:p>
      <w:pPr>
        <w:spacing w:after="140" w:line="300"/>
        <w:jc w:val="both"/>
      </w:pPr>
      <w:r>
        <w:rPr>
          <w:b/>
          <w:bCs/>
          <w:sz w:val="20"/>
          <w:szCs w:val="20"/>
        </w:rPr>
        <w:t xml:space="preserve">Desafío 1 — Los datos miden algo distinto de lo que queremos predecir. </w:t>
      </w:r>
      <w:r>
        <w:rPr>
          <w:sz w:val="20"/>
          <w:szCs w:val="20"/>
        </w:rPr>
        <w:t xml:space="preserve">Properati publica precios de oferta, no de transacción: el modelo aprende qué pide el vendedor, no qué pagó el comprador. En un mercado donde se negocia, ambos difieren y siempre en la misma dirección, de modo que el modelo sobreestima sistemáticamente el valor. Esa brecha está medida: Reporte Inmobiliario la publica mensualmente y en enero de 2026 fue de −5,14%, el primer registro en 21 meses que supera el 5% (venía de −4,92% en noviembre). Para una inversora que compra, esa sobreestimación es precisamente el error caro.</w:t>
      </w:r>
    </w:p>
    <w:p>
      <w:pPr>
        <w:spacing w:after="140" w:line="300"/>
        <w:jc w:val="both"/>
      </w:pPr>
      <w:r>
        <w:rPr>
          <w:sz w:val="20"/>
          <w:szCs w:val="20"/>
        </w:rPr>
        <w:t xml:space="preserve">El dato de cierre a nivel operación no está disponible —las escrituras no son públicas y los registros publican agregados con rezago—, pero el agregado mensual sí lo está, y eso habilita una corrección concreta: descontar la brecha publicada de cada predicción y tratar el resultado como techo del valor, no como estimación central. Es un parche calibrado con una fuente externa, no un supuesto. A esto se suma el 37% de avisos sin superficie informada, que el modelo directamente no puede evaluar.</w:t>
      </w:r>
    </w:p>
    <w:p>
      <w:pPr>
        <w:spacing w:after="140" w:line="300"/>
        <w:jc w:val="both"/>
      </w:pPr>
      <w:r>
        <w:rPr>
          <w:b/>
          <w:bCs/>
          <w:sz w:val="20"/>
          <w:szCs w:val="20"/>
        </w:rPr>
        <w:t xml:space="preserve">Desafío 2 — El modelo se degrada y requiere monitoreo. </w:t>
      </w:r>
      <w:r>
        <w:rPr>
          <w:sz w:val="20"/>
          <w:szCs w:val="20"/>
        </w:rPr>
        <w:t xml:space="preserve">El error relativo crece de forma sostenida a lo largo del período de evaluación, a razón de unos 0,85 puntos porcentuales por mes.</w:t>
      </w:r>
    </w:p>
    <w:p>
      <w:pPr>
        <w:spacing w:after="60" w:before="120"/>
        <w:jc w:val="center"/>
      </w:pPr>
      <w:r>
        <w:drawing>
          <wp:inline distT="0" distB="0" distL="0" distR="0">
            <wp:extent cx="4953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62150"/>
                    </a:xfrm>
                    <a:prstGeom prst="rect">
                      <a:avLst/>
                    </a:prstGeom>
                  </pic:spPr>
                </pic:pic>
              </a:graphicData>
            </a:graphic>
          </wp:inline>
        </w:drawing>
      </w:r>
    </w:p>
    <w:p>
      <w:pPr>
        <w:spacing w:after="180"/>
        <w:jc w:val="center"/>
      </w:pPr>
      <w:r>
        <w:rPr>
          <w:i/>
          <w:iCs/>
          <w:color w:val="6A6A66"/>
          <w:sz w:val="16"/>
          <w:szCs w:val="16"/>
        </w:rPr>
        <w:t xml:space="preserve">Figura 5. Error relativo del modelo por mes de publicación, sobre el conjunto de evaluación (abril a julio de 2020).</w:t>
      </w:r>
    </w:p>
    <w:p>
      <w:pPr>
        <w:spacing w:after="140" w:line="300"/>
        <w:jc w:val="both"/>
      </w:pPr>
      <w:r>
        <w:rPr>
          <w:sz w:val="20"/>
          <w:szCs w:val="20"/>
        </w:rPr>
        <w:t xml:space="preserve">Conviven los dos tipos de cambio que vimos en clase: cambió qué se publica (menos avisos, otro mix de propiedades y zonas), que es covariate shift, y cambió cuánto vale una misma propiedad con las mismas características, que es concept drift. Entendemos que domina el segundo, porque el valor de una vivienda depende de variables macroeconómicas que el modelo no observa —tipo de cambio, crédito hipotecario disponible, expectativas— y cuando esas se mueven, la relación entre características y precio se desplaza aunque el conjunto de propiedades publicadas sea el mismo.</w:t>
      </w:r>
    </w:p>
    <w:p>
      <w:pPr>
        <w:spacing w:after="140" w:line="300"/>
        <w:jc w:val="both"/>
      </w:pPr>
      <w:r>
        <w:rPr>
          <w:sz w:val="20"/>
          <w:szCs w:val="20"/>
        </w:rPr>
        <w:t xml:space="preserve">La política que se desprende es reentrenar trimestralmente: con una degradación de 0,85 puntos por mes, un trimestre implica tolerar unos 2,5 puntos de MAPE, llevando el error del 25% al 27,5%. Es aceptable para priorizar visitas, un uso tolerante al error; no lo sería para fijar el precio de una operación. El monitoreo debe cubrir dos planos: la métrica sobre las propiedades efectivamente visitadas y con desenlace conocido, con alerta si el MAPE supera los 30 puntos, y la distribución de las variables de entrada, para detectar el covariate shift antes de que impacte en la métrica. Para lo primero alcanza con un reporte periódico; para lo segundo, herramientas de reglas sobre datos como Great Expectations, orquestadas junto con el reentrenamiento.</w:t>
      </w:r>
    </w:p>
    <w:p>
      <w:pPr>
        <w:spacing w:after="140" w:line="300"/>
        <w:jc w:val="both"/>
      </w:pPr>
      <w:r>
        <w:rPr>
          <w:b/>
          <w:bCs/>
          <w:sz w:val="20"/>
          <w:szCs w:val="20"/>
        </w:rPr>
        <w:t xml:space="preserve">Desafío 3 — Costos y justificación económica. </w:t>
      </w:r>
      <w:r>
        <w:rPr>
          <w:sz w:val="20"/>
          <w:szCs w:val="20"/>
        </w:rPr>
        <w:t xml:space="preserve">Para evaluar si el sistema se paga hay que partir de la economía de una operación de flipping, con valores de mercado y no supuestos. Tomamos como unidad un departamento de dos ambientes en CABA, cuyo precio de publicación promedio era de USD 131.272 en agosto de 2026 (Zonaprop), con un m² promedio de USD 2.476.</w:t>
      </w:r>
    </w:p>
    <w:tbl>
      <w:tblPr>
        <w:tblW w:type="dxa" w:w="9026"/>
        <w:tblBorders>
          <w:top w:val="single" w:color="BFBFBA" w:sz="2"/>
          <w:left w:val="none"/>
          <w:bottom w:val="single" w:color="BFBFBA" w:sz="2"/>
          <w:right w:val="none"/>
          <w:insideH w:val="single" w:color="DEDEDA" w:sz="1"/>
          <w:insideV w:val="none"/>
        </w:tblBorders>
      </w:tblPr>
      <w:tblGrid>
        <w:gridCol w:w="3791"/>
        <w:gridCol w:w="2979"/>
        <w:gridCol w:w="2257"/>
      </w:tblGrid>
      <w:tr>
        <w:trPr>
          <w:tblHeader/>
        </w:trPr>
        <w:tc>
          <w:tcPr>
            <w:tcW w:type="dxa" w:w="3791"/>
            <w:shd w:fill="F2F2EF" w:color="auto" w:val="clear"/>
            <w:tcMar>
              <w:top w:type="dxa" w:w="60"/>
              <w:left w:type="dxa" w:w="90"/>
              <w:bottom w:type="dxa" w:w="60"/>
              <w:right w:type="dxa" w:w="90"/>
            </w:tcMar>
          </w:tcPr>
          <w:p>
            <w:pPr>
              <w:spacing w:after="0" w:line="240"/>
            </w:pPr>
            <w:r>
              <w:rPr>
                <w:b/>
                <w:bCs/>
                <w:sz w:val="18"/>
                <w:szCs w:val="18"/>
              </w:rPr>
              <w:t xml:space="preserve">Concepto</w:t>
            </w:r>
          </w:p>
        </w:tc>
        <w:tc>
          <w:tcPr>
            <w:tcW w:type="dxa" w:w="2979"/>
            <w:shd w:fill="F2F2EF" w:color="auto" w:val="clear"/>
            <w:tcMar>
              <w:top w:type="dxa" w:w="60"/>
              <w:left w:type="dxa" w:w="90"/>
              <w:bottom w:type="dxa" w:w="60"/>
              <w:right w:type="dxa" w:w="90"/>
            </w:tcMar>
          </w:tcPr>
          <w:p>
            <w:pPr>
              <w:spacing w:after="0" w:line="240"/>
            </w:pPr>
            <w:r>
              <w:rPr>
                <w:b/>
                <w:bCs/>
                <w:sz w:val="18"/>
                <w:szCs w:val="18"/>
              </w:rPr>
              <w:t xml:space="preserve">Fuente / criterio</w:t>
            </w:r>
          </w:p>
        </w:tc>
        <w:tc>
          <w:tcPr>
            <w:tcW w:type="dxa" w:w="2257"/>
            <w:shd w:fill="F2F2EF" w:color="auto" w:val="clear"/>
            <w:tcMar>
              <w:top w:type="dxa" w:w="60"/>
              <w:left w:type="dxa" w:w="90"/>
              <w:bottom w:type="dxa" w:w="60"/>
              <w:right w:type="dxa" w:w="90"/>
            </w:tcMar>
          </w:tcPr>
          <w:p>
            <w:pPr>
              <w:spacing w:after="0" w:line="240"/>
              <w:jc w:val="right"/>
            </w:pPr>
            <w:r>
              <w:rPr>
                <w:b/>
                <w:bCs/>
                <w:sz w:val="18"/>
                <w:szCs w:val="18"/>
              </w:rPr>
              <w:t xml:space="preserve">Monto</w:t>
            </w:r>
          </w:p>
        </w:tc>
      </w:tr>
      <w:tr>
        <w:tc>
          <w:tcPr>
            <w:tcW w:type="dxa" w:w="3791"/>
            <w:tcMar>
              <w:top w:type="dxa" w:w="60"/>
              <w:left w:type="dxa" w:w="90"/>
              <w:bottom w:type="dxa" w:w="60"/>
              <w:right w:type="dxa" w:w="90"/>
            </w:tcMar>
          </w:tcPr>
          <w:p>
            <w:pPr>
              <w:spacing w:after="0" w:line="240"/>
            </w:pPr>
            <w:r>
              <w:rPr>
                <w:sz w:val="18"/>
                <w:szCs w:val="18"/>
              </w:rPr>
              <w:t xml:space="preserve">Compra con 30% por debajo del valor de mercado</w:t>
            </w:r>
          </w:p>
        </w:tc>
        <w:tc>
          <w:tcPr>
            <w:tcW w:type="dxa" w:w="2979"/>
            <w:tcMar>
              <w:top w:type="dxa" w:w="60"/>
              <w:left w:type="dxa" w:w="90"/>
              <w:bottom w:type="dxa" w:w="60"/>
              <w:right w:type="dxa" w:w="90"/>
            </w:tcMar>
          </w:tcPr>
          <w:p>
            <w:pPr>
              <w:spacing w:after="0" w:line="240"/>
            </w:pPr>
            <w:r>
              <w:rPr>
                <w:sz w:val="18"/>
                <w:szCs w:val="18"/>
              </w:rPr>
              <w:t xml:space="preserve">Umbral que define una candidata</w:t>
            </w:r>
          </w:p>
        </w:tc>
        <w:tc>
          <w:tcPr>
            <w:tcW w:type="dxa" w:w="2257"/>
            <w:tcMar>
              <w:top w:type="dxa" w:w="60"/>
              <w:left w:type="dxa" w:w="90"/>
              <w:bottom w:type="dxa" w:w="60"/>
              <w:right w:type="dxa" w:w="90"/>
            </w:tcMar>
          </w:tcPr>
          <w:p>
            <w:pPr>
              <w:spacing w:after="0" w:line="240"/>
              <w:jc w:val="right"/>
            </w:pPr>
            <w:r>
              <w:rPr>
                <w:sz w:val="18"/>
                <w:szCs w:val="18"/>
              </w:rPr>
              <w:t xml:space="preserve">USD 91.890</w:t>
            </w:r>
          </w:p>
        </w:tc>
      </w:tr>
      <w:tr>
        <w:tc>
          <w:tcPr>
            <w:tcW w:type="dxa" w:w="3791"/>
            <w:tcMar>
              <w:top w:type="dxa" w:w="60"/>
              <w:left w:type="dxa" w:w="90"/>
              <w:bottom w:type="dxa" w:w="60"/>
              <w:right w:type="dxa" w:w="90"/>
            </w:tcMar>
          </w:tcPr>
          <w:p>
            <w:pPr>
              <w:spacing w:after="0" w:line="240"/>
            </w:pPr>
            <w:r>
              <w:rPr>
                <w:sz w:val="18"/>
                <w:szCs w:val="18"/>
              </w:rPr>
              <w:t xml:space="preserve">Gastos de compra (escribano, sellos, certificaciones): 6%</w:t>
            </w:r>
          </w:p>
        </w:tc>
        <w:tc>
          <w:tcPr>
            <w:tcW w:type="dxa" w:w="2979"/>
            <w:tcMar>
              <w:top w:type="dxa" w:w="60"/>
              <w:left w:type="dxa" w:w="90"/>
              <w:bottom w:type="dxa" w:w="60"/>
              <w:right w:type="dxa" w:w="90"/>
            </w:tcMar>
          </w:tcPr>
          <w:p>
            <w:pPr>
              <w:spacing w:after="0" w:line="240"/>
            </w:pPr>
            <w:r>
              <w:rPr>
                <w:sz w:val="18"/>
                <w:szCs w:val="18"/>
              </w:rPr>
              <w:t xml:space="preserve">La Nación, abril 2026 (rango 5%–8%)</w:t>
            </w:r>
          </w:p>
        </w:tc>
        <w:tc>
          <w:tcPr>
            <w:tcW w:type="dxa" w:w="2257"/>
            <w:tcMar>
              <w:top w:type="dxa" w:w="60"/>
              <w:left w:type="dxa" w:w="90"/>
              <w:bottom w:type="dxa" w:w="60"/>
              <w:right w:type="dxa" w:w="90"/>
            </w:tcMar>
          </w:tcPr>
          <w:p>
            <w:pPr>
              <w:spacing w:after="0" w:line="240"/>
              <w:jc w:val="right"/>
            </w:pPr>
            <w:r>
              <w:rPr>
                <w:sz w:val="18"/>
                <w:szCs w:val="18"/>
              </w:rPr>
              <w:t xml:space="preserve">USD 5.513</w:t>
            </w:r>
          </w:p>
        </w:tc>
      </w:tr>
      <w:tr>
        <w:tc>
          <w:tcPr>
            <w:tcW w:type="dxa" w:w="3791"/>
            <w:tcMar>
              <w:top w:type="dxa" w:w="60"/>
              <w:left w:type="dxa" w:w="90"/>
              <w:bottom w:type="dxa" w:w="60"/>
              <w:right w:type="dxa" w:w="90"/>
            </w:tcMar>
          </w:tcPr>
          <w:p>
            <w:pPr>
              <w:spacing w:after="0" w:line="240"/>
            </w:pPr>
            <w:r>
              <w:rPr>
                <w:sz w:val="18"/>
                <w:szCs w:val="18"/>
              </w:rPr>
              <w:t xml:space="preserve">Refacción media: baño, cocina y pintura</w:t>
            </w:r>
          </w:p>
        </w:tc>
        <w:tc>
          <w:tcPr>
            <w:tcW w:type="dxa" w:w="2979"/>
            <w:tcMar>
              <w:top w:type="dxa" w:w="60"/>
              <w:left w:type="dxa" w:w="90"/>
              <w:bottom w:type="dxa" w:w="60"/>
              <w:right w:type="dxa" w:w="90"/>
            </w:tcMar>
          </w:tcPr>
          <w:p>
            <w:pPr>
              <w:spacing w:after="0" w:line="240"/>
            </w:pPr>
            <w:r>
              <w:rPr>
                <w:sz w:val="18"/>
                <w:szCs w:val="18"/>
              </w:rPr>
              <w:t xml:space="preserve">Reporte Inmobiliario, enero 2026</w:t>
            </w:r>
          </w:p>
        </w:tc>
        <w:tc>
          <w:tcPr>
            <w:tcW w:type="dxa" w:w="2257"/>
            <w:tcMar>
              <w:top w:type="dxa" w:w="60"/>
              <w:left w:type="dxa" w:w="90"/>
              <w:bottom w:type="dxa" w:w="60"/>
              <w:right w:type="dxa" w:w="90"/>
            </w:tcMar>
          </w:tcPr>
          <w:p>
            <w:pPr>
              <w:spacing w:after="0" w:line="240"/>
              <w:jc w:val="right"/>
            </w:pPr>
            <w:r>
              <w:rPr>
                <w:sz w:val="18"/>
                <w:szCs w:val="18"/>
              </w:rPr>
              <w:t xml:space="preserve">USD 14.000</w:t>
            </w:r>
          </w:p>
        </w:tc>
      </w:tr>
      <w:tr>
        <w:tc>
          <w:tcPr>
            <w:tcW w:type="dxa" w:w="3791"/>
            <w:tcMar>
              <w:top w:type="dxa" w:w="60"/>
              <w:left w:type="dxa" w:w="90"/>
              <w:bottom w:type="dxa" w:w="60"/>
              <w:right w:type="dxa" w:w="90"/>
            </w:tcMar>
          </w:tcPr>
          <w:p>
            <w:pPr>
              <w:spacing w:after="0" w:line="240"/>
            </w:pPr>
            <w:r>
              <w:rPr>
                <w:sz w:val="18"/>
                <w:szCs w:val="18"/>
              </w:rPr>
              <w:t xml:space="preserve">Inversión total</w:t>
            </w:r>
          </w:p>
        </w:tc>
        <w:tc>
          <w:tcPr>
            <w:tcW w:type="dxa" w:w="2979"/>
            <w:tcMar>
              <w:top w:type="dxa" w:w="60"/>
              <w:left w:type="dxa" w:w="90"/>
              <w:bottom w:type="dxa" w:w="60"/>
              <w:right w:type="dxa" w:w="90"/>
            </w:tcMar>
          </w:tcPr>
          <w:p>
            <w:pPr>
              <w:spacing w:after="0" w:line="240"/>
            </w:pPr>
            <w:r>
              <w:rPr>
                <w:sz w:val="18"/>
                <w:szCs w:val="18"/>
              </w:rPr>
              <w:t xml:space="preserve"/>
            </w:r>
          </w:p>
        </w:tc>
        <w:tc>
          <w:tcPr>
            <w:tcW w:type="dxa" w:w="2257"/>
            <w:tcMar>
              <w:top w:type="dxa" w:w="60"/>
              <w:left w:type="dxa" w:w="90"/>
              <w:bottom w:type="dxa" w:w="60"/>
              <w:right w:type="dxa" w:w="90"/>
            </w:tcMar>
          </w:tcPr>
          <w:p>
            <w:pPr>
              <w:spacing w:after="0" w:line="240"/>
              <w:jc w:val="right"/>
            </w:pPr>
            <w:r>
              <w:rPr>
                <w:sz w:val="18"/>
                <w:szCs w:val="18"/>
              </w:rPr>
              <w:t xml:space="preserve">USD 111.403</w:t>
            </w:r>
          </w:p>
        </w:tc>
      </w:tr>
      <w:tr>
        <w:tc>
          <w:tcPr>
            <w:tcW w:type="dxa" w:w="3791"/>
            <w:tcMar>
              <w:top w:type="dxa" w:w="60"/>
              <w:left w:type="dxa" w:w="90"/>
              <w:bottom w:type="dxa" w:w="60"/>
              <w:right w:type="dxa" w:w="90"/>
            </w:tcMar>
          </w:tcPr>
          <w:p>
            <w:pPr>
              <w:spacing w:after="0" w:line="240"/>
            </w:pPr>
            <w:r>
              <w:rPr>
                <w:sz w:val="18"/>
                <w:szCs w:val="18"/>
              </w:rPr>
              <w:t xml:space="preserve">Venta a valor de mercado, neta de 5,5% de gastos</w:t>
            </w:r>
          </w:p>
        </w:tc>
        <w:tc>
          <w:tcPr>
            <w:tcW w:type="dxa" w:w="2979"/>
            <w:tcMar>
              <w:top w:type="dxa" w:w="60"/>
              <w:left w:type="dxa" w:w="90"/>
              <w:bottom w:type="dxa" w:w="60"/>
              <w:right w:type="dxa" w:w="90"/>
            </w:tcMar>
          </w:tcPr>
          <w:p>
            <w:pPr>
              <w:spacing w:after="0" w:line="240"/>
            </w:pPr>
            <w:r>
              <w:rPr>
                <w:sz w:val="18"/>
                <w:szCs w:val="18"/>
              </w:rPr>
              <w:t xml:space="preserve">Comisión 3–4% más mitad del sellado</w:t>
            </w:r>
          </w:p>
        </w:tc>
        <w:tc>
          <w:tcPr>
            <w:tcW w:type="dxa" w:w="2257"/>
            <w:tcMar>
              <w:top w:type="dxa" w:w="60"/>
              <w:left w:type="dxa" w:w="90"/>
              <w:bottom w:type="dxa" w:w="60"/>
              <w:right w:type="dxa" w:w="90"/>
            </w:tcMar>
          </w:tcPr>
          <w:p>
            <w:pPr>
              <w:spacing w:after="0" w:line="240"/>
              <w:jc w:val="right"/>
            </w:pPr>
            <w:r>
              <w:rPr>
                <w:sz w:val="18"/>
                <w:szCs w:val="18"/>
              </w:rPr>
              <w:t xml:space="preserve">USD 124.052</w:t>
            </w:r>
          </w:p>
        </w:tc>
      </w:tr>
      <w:tr>
        <w:tc>
          <w:tcPr>
            <w:tcW w:type="dxa" w:w="3791"/>
            <w:tcMar>
              <w:top w:type="dxa" w:w="60"/>
              <w:left w:type="dxa" w:w="90"/>
              <w:bottom w:type="dxa" w:w="60"/>
              <w:right w:type="dxa" w:w="90"/>
            </w:tcMar>
          </w:tcPr>
          <w:p>
            <w:pPr>
              <w:spacing w:after="0" w:line="240"/>
            </w:pPr>
            <w:r>
              <w:rPr>
                <w:sz w:val="18"/>
                <w:szCs w:val="18"/>
              </w:rPr>
              <w:t xml:space="preserve">Margen por operación</w:t>
            </w:r>
          </w:p>
        </w:tc>
        <w:tc>
          <w:tcPr>
            <w:tcW w:type="dxa" w:w="2979"/>
            <w:tcMar>
              <w:top w:type="dxa" w:w="60"/>
              <w:left w:type="dxa" w:w="90"/>
              <w:bottom w:type="dxa" w:w="60"/>
              <w:right w:type="dxa" w:w="90"/>
            </w:tcMar>
          </w:tcPr>
          <w:p>
            <w:pPr>
              <w:spacing w:after="0" w:line="240"/>
            </w:pPr>
            <w:r>
              <w:rPr>
                <w:sz w:val="18"/>
                <w:szCs w:val="18"/>
              </w:rPr>
              <w:t xml:space="preserve"/>
            </w:r>
          </w:p>
        </w:tc>
        <w:tc>
          <w:tcPr>
            <w:tcW w:type="dxa" w:w="2257"/>
            <w:tcMar>
              <w:top w:type="dxa" w:w="60"/>
              <w:left w:type="dxa" w:w="90"/>
              <w:bottom w:type="dxa" w:w="60"/>
              <w:right w:type="dxa" w:w="90"/>
            </w:tcMar>
          </w:tcPr>
          <w:p>
            <w:pPr>
              <w:spacing w:after="0" w:line="240"/>
              <w:jc w:val="right"/>
            </w:pPr>
            <w:r>
              <w:rPr>
                <w:sz w:val="18"/>
                <w:szCs w:val="18"/>
              </w:rPr>
              <w:t xml:space="preserve">USD 12.649</w:t>
            </w:r>
          </w:p>
        </w:tc>
      </w:tr>
      <w:tr>
        <w:tc>
          <w:tcPr>
            <w:tcW w:type="dxa" w:w="3791"/>
            <w:tcMar>
              <w:top w:type="dxa" w:w="60"/>
              <w:left w:type="dxa" w:w="90"/>
              <w:bottom w:type="dxa" w:w="60"/>
              <w:right w:type="dxa" w:w="90"/>
            </w:tcMar>
          </w:tcPr>
          <w:p>
            <w:pPr>
              <w:spacing w:after="0" w:line="240"/>
            </w:pPr>
            <w:r>
              <w:rPr>
                <w:sz w:val="18"/>
                <w:szCs w:val="18"/>
              </w:rPr>
              <w:t xml:space="preserve">Operación del sistema (datos, cómputo, mantenimiento)</w:t>
            </w:r>
          </w:p>
        </w:tc>
        <w:tc>
          <w:tcPr>
            <w:tcW w:type="dxa" w:w="2979"/>
            <w:tcMar>
              <w:top w:type="dxa" w:w="60"/>
              <w:left w:type="dxa" w:w="90"/>
              <w:bottom w:type="dxa" w:w="60"/>
              <w:right w:type="dxa" w:w="90"/>
            </w:tcMar>
          </w:tcPr>
          <w:p>
            <w:pPr>
              <w:spacing w:after="0" w:line="240"/>
            </w:pPr>
            <w:r>
              <w:rPr>
                <w:sz w:val="18"/>
                <w:szCs w:val="18"/>
              </w:rPr>
              <w:t xml:space="preserve">Estimación propia</w:t>
            </w:r>
          </w:p>
        </w:tc>
        <w:tc>
          <w:tcPr>
            <w:tcW w:type="dxa" w:w="2257"/>
            <w:tcMar>
              <w:top w:type="dxa" w:w="60"/>
              <w:left w:type="dxa" w:w="90"/>
              <w:bottom w:type="dxa" w:w="60"/>
              <w:right w:type="dxa" w:w="90"/>
            </w:tcMar>
          </w:tcPr>
          <w:p>
            <w:pPr>
              <w:spacing w:after="0" w:line="240"/>
              <w:jc w:val="right"/>
            </w:pPr>
            <w:r>
              <w:rPr>
                <w:sz w:val="18"/>
                <w:szCs w:val="18"/>
              </w:rPr>
              <w:t xml:space="preserve">USD 400 por mes</w:t>
            </w:r>
          </w:p>
        </w:tc>
      </w:tr>
    </w:tbl>
    <w:p>
      <w:pPr>
        <w:spacing w:after="60" w:line="300"/>
        <w:jc w:val="both"/>
      </w:pPr>
      <w:r>
        <w:rPr>
          <w:sz w:val="20"/>
          <w:szCs w:val="20"/>
        </w:rPr>
        <w:t xml:space="preserve"/>
      </w:r>
    </w:p>
    <w:p>
      <w:pPr>
        <w:spacing w:after="140" w:line="300"/>
        <w:jc w:val="both"/>
      </w:pPr>
      <w:r>
        <w:rPr>
          <w:sz w:val="20"/>
          <w:szCs w:val="20"/>
        </w:rPr>
        <w:t xml:space="preserve">La cuenta deja dos conclusiones. La primera es que el margen real por operación ronda los USD 12.600, un 11% sobre la inversión, bastante menos de lo que sugiere la intuición: los gastos de transacción y la refacción se llevan buena parte de la diferencia. La segunda es más interesante: si el descuento de compra fuera del 20% en lugar del 30%, la operación daría pérdida. El umbral del 30% que usamos para marcar candidatas no es entonces un número arbitrario, sino aproximadamente el mínimo que hace viable el negocio, y eso le da sentido económico al filtro del modelo.</w:t>
      </w:r>
    </w:p>
    <w:p>
      <w:pPr>
        <w:spacing w:after="140" w:line="300"/>
        <w:jc w:val="both"/>
      </w:pPr>
      <w:r>
        <w:rPr>
          <w:sz w:val="20"/>
          <w:szCs w:val="20"/>
        </w:rPr>
        <w:t xml:space="preserve">Contra ese margen, el costo del sistema es menor: USD 4.800 anuales, equivalentes al 38% de una sola operación. Se paga de dos maneras alternativas, y con cualquiera alcanza: generando una operación adicional cada tres años, o evitando una sola compra sobrevaluada, dado que ignorar la brecha de negociación del 5,14% sobre una propiedad de USD 131.272 implica pagar USD 6.747 de más, más de un año de costo del sistema.</w:t>
      </w:r>
    </w:p>
    <w:p>
      <w:pPr>
        <w:spacing w:after="140" w:line="300"/>
        <w:jc w:val="both"/>
      </w:pPr>
      <w:r>
        <w:rPr>
          <w:sz w:val="20"/>
          <w:szCs w:val="20"/>
        </w:rPr>
        <w:t xml:space="preserve">La contracara es que ese beneficio supone que las candidatas son oportunidades reales. Si la proporción de falsos positivos fuera alta, el costo relevante no sería el del sistema sino el tiempo de la inversora, que es el recurso verdaderamente escaso: con ocho visitas mensuales sobre miles de avisos, cada visita desperdiciada tiene un costo de oportunidad alto. Medir esa proporción exige registrar el resultado de cada visita, lo que convierte al seguimiento en una inversión necesaria y no en un agregado opcional.</w:t>
      </w:r>
    </w:p>
    <w:p>
      <w:pPr>
        <w:pStyle w:val="Heading1"/>
        <w:pBdr>
          <w:bottom w:val="single" w:color="D8D8D3" w:sz="6" w:space="6"/>
        </w:pBdr>
        <w:spacing w:after="160" w:before="340"/>
      </w:pPr>
      <w:r>
        <w:t xml:space="preserve">Conclusiones</w:t>
      </w:r>
    </w:p>
    <w:p>
      <w:pPr>
        <w:pStyle w:val="ListParagraph"/>
        <w:numPr>
          <w:ilvl w:val="0"/>
          <w:numId w:val="2"/>
        </w:numPr>
        <w:spacing w:after="80" w:line="300"/>
        <w:jc w:val="both"/>
      </w:pPr>
      <w:r>
        <w:rPr>
          <w:sz w:val="20"/>
          <w:szCs w:val="20"/>
        </w:rPr>
        <w:t xml:space="preserve">En ambas partes, la mayor ganancia vino del trabajo sobre los datos y no de la elección del modelo: en Home Credit las variables construidas aportaron +0,018 de AUC contra +0,002 del tuning; en Properati, los límites del prototipo son de los datos disponibles, no del algoritmo.</w:t>
      </w:r>
    </w:p>
    <w:p>
      <w:pPr>
        <w:pStyle w:val="ListParagraph"/>
        <w:numPr>
          <w:ilvl w:val="0"/>
          <w:numId w:val="2"/>
        </w:numPr>
        <w:spacing w:after="80" w:line="300"/>
        <w:jc w:val="both"/>
      </w:pPr>
      <w:r>
        <w:rPr>
          <w:sz w:val="20"/>
          <w:szCs w:val="20"/>
        </w:rPr>
        <w:t xml:space="preserve">Validar como se va a usar el modelo cambia las conclusiones: la partición temporal en la Parte 2 expuso una degradación que una partición aleatoria habría ocultado.</w:t>
      </w:r>
    </w:p>
    <w:p>
      <w:pPr>
        <w:pStyle w:val="ListParagraph"/>
        <w:numPr>
          <w:ilvl w:val="0"/>
          <w:numId w:val="2"/>
        </w:numPr>
        <w:spacing w:after="80" w:line="300"/>
        <w:jc w:val="both"/>
      </w:pPr>
      <w:r>
        <w:rPr>
          <w:sz w:val="20"/>
          <w:szCs w:val="20"/>
        </w:rPr>
        <w:t xml:space="preserve">Interpretar no es un paso decorativo. En la Parte 1 reveló una variable predictiva pero éticamente problemática; en la Parte 2 mostró un sesgo sistemático que invertía el sentido de las oportunidades detectadas.</w:t>
      </w:r>
    </w:p>
    <w:p>
      <w:pPr>
        <w:pStyle w:val="ListParagraph"/>
        <w:numPr>
          <w:ilvl w:val="0"/>
          <w:numId w:val="2"/>
        </w:numPr>
        <w:spacing w:after="80" w:line="300"/>
        <w:jc w:val="both"/>
      </w:pPr>
      <w:r>
        <w:rPr>
          <w:sz w:val="20"/>
          <w:szCs w:val="20"/>
        </w:rPr>
        <w:t xml:space="preserve">Las métricas estándar incorporan supuestos que conviene hacer explícitos: ni MAE ni MAPE distinguen sobreestimar de subestimar, aunque para el problema planteado una cosa cuesta mucho más que la otra.</w:t>
      </w:r>
    </w:p>
    <w:p>
      <w:pPr>
        <w:pStyle w:val="Heading1"/>
        <w:pBdr>
          <w:bottom w:val="single" w:color="D8D8D3" w:sz="6" w:space="6"/>
        </w:pBdr>
        <w:spacing w:after="160" w:before="340"/>
      </w:pPr>
      <w:r>
        <w:t xml:space="preserve">Fuentes</w:t>
      </w:r>
    </w:p>
    <w:p>
      <w:pPr>
        <w:pStyle w:val="ListParagraph"/>
        <w:numPr>
          <w:ilvl w:val="0"/>
          <w:numId w:val="2"/>
        </w:numPr>
        <w:spacing w:after="80" w:line="300"/>
        <w:jc w:val="both"/>
      </w:pPr>
      <w:r>
        <w:rPr>
          <w:sz w:val="20"/>
          <w:szCs w:val="20"/>
        </w:rPr>
        <w:t xml:space="preserve">Home Credit Default Risk, competencia y datos: kaggle.com/competitions/home-credit-default-risk</w:t>
      </w:r>
    </w:p>
    <w:p>
      <w:pPr>
        <w:pStyle w:val="ListParagraph"/>
        <w:numPr>
          <w:ilvl w:val="0"/>
          <w:numId w:val="2"/>
        </w:numPr>
        <w:spacing w:after="80" w:line="300"/>
        <w:jc w:val="both"/>
      </w:pPr>
      <w:r>
        <w:rPr>
          <w:sz w:val="20"/>
          <w:szCs w:val="20"/>
        </w:rPr>
        <w:t xml:space="preserve">Properati Argentina Dataset: kaggle.com/datasets/alejandroczernikier/properati-argentina-dataset</w:t>
      </w:r>
    </w:p>
    <w:p>
      <w:pPr>
        <w:pStyle w:val="ListParagraph"/>
        <w:numPr>
          <w:ilvl w:val="0"/>
          <w:numId w:val="2"/>
        </w:numPr>
        <w:spacing w:after="80" w:line="300"/>
        <w:jc w:val="both"/>
      </w:pPr>
      <w:r>
        <w:rPr>
          <w:sz w:val="20"/>
          <w:szCs w:val="20"/>
        </w:rPr>
        <w:t xml:space="preserve">Brecha entre precio de publicación y precio real de cierre (−5,14%, enero 2026): Reporte Inmobiliario, “Precio real de cierre por m²”, reporteinmobiliario.com</w:t>
      </w:r>
    </w:p>
    <w:p>
      <w:pPr>
        <w:pStyle w:val="ListParagraph"/>
        <w:numPr>
          <w:ilvl w:val="0"/>
          <w:numId w:val="2"/>
        </w:numPr>
        <w:spacing w:after="80" w:line="300"/>
        <w:jc w:val="both"/>
      </w:pPr>
      <w:r>
        <w:rPr>
          <w:sz w:val="20"/>
          <w:szCs w:val="20"/>
        </w:rPr>
        <w:t xml:space="preserve">Precio promedio del m² y de unidades tipo en CABA (agosto 2026): informe de Zonaprop publicado el 8 de septiembre de 2026, mercado.com.ar</w:t>
      </w:r>
    </w:p>
    <w:p>
      <w:pPr>
        <w:pStyle w:val="ListParagraph"/>
        <w:numPr>
          <w:ilvl w:val="0"/>
          <w:numId w:val="2"/>
        </w:numPr>
        <w:spacing w:after="80" w:line="300"/>
        <w:jc w:val="both"/>
      </w:pPr>
      <w:r>
        <w:rPr>
          <w:sz w:val="20"/>
          <w:szCs w:val="20"/>
        </w:rPr>
        <w:t xml:space="preserve">Costos de refacción por ambiente (enero 2026): Reporte Inmobiliario, reproducido en La Nación, “Uno por uno: estos son los costos para hacer una remodelación”, 29 de marzo de 2026</w:t>
      </w:r>
    </w:p>
    <w:p>
      <w:pPr>
        <w:pStyle w:val="ListParagraph"/>
        <w:numPr>
          <w:ilvl w:val="0"/>
          <w:numId w:val="2"/>
        </w:numPr>
        <w:spacing w:after="80" w:line="300"/>
        <w:jc w:val="both"/>
      </w:pPr>
      <w:r>
        <w:rPr>
          <w:sz w:val="20"/>
          <w:szCs w:val="20"/>
        </w:rPr>
        <w:t xml:space="preserve">Gastos de escrituración y comisiones en CABA: La Nación, “Escritura de una propiedad: qué gastos hay que pagar”, abril de 2026</w:t>
      </w:r>
    </w:p>
    <w:p>
      <w:pPr>
        <w:pStyle w:val="Heading1"/>
        <w:pBdr>
          <w:bottom w:val="single" w:color="D8D8D3" w:sz="6" w:space="6"/>
        </w:pBdr>
        <w:spacing w:after="160" w:before="340"/>
      </w:pPr>
      <w:r>
        <w:t xml:space="preserve">Anexo · Estructura del código</w:t>
      </w:r>
    </w:p>
    <w:tbl>
      <w:tblPr>
        <w:tblW w:type="dxa" w:w="9026"/>
        <w:tblBorders>
          <w:top w:val="single" w:color="BFBFBA" w:sz="2"/>
          <w:left w:val="none"/>
          <w:bottom w:val="single" w:color="BFBFBA" w:sz="2"/>
          <w:right w:val="none"/>
          <w:insideH w:val="single" w:color="DEDEDA" w:sz="1"/>
          <w:insideV w:val="none"/>
        </w:tblBorders>
      </w:tblPr>
      <w:tblGrid>
        <w:gridCol w:w="2979"/>
        <w:gridCol w:w="6047"/>
      </w:tblGrid>
      <w:tr>
        <w:trPr>
          <w:tblHeader/>
        </w:trPr>
        <w:tc>
          <w:tcPr>
            <w:tcW w:type="dxa" w:w="2979"/>
            <w:shd w:fill="F2F2EF" w:color="auto" w:val="clear"/>
            <w:tcMar>
              <w:top w:type="dxa" w:w="60"/>
              <w:left w:type="dxa" w:w="90"/>
              <w:bottom w:type="dxa" w:w="60"/>
              <w:right w:type="dxa" w:w="90"/>
            </w:tcMar>
          </w:tcPr>
          <w:p>
            <w:pPr>
              <w:spacing w:after="0" w:line="240"/>
            </w:pPr>
            <w:r>
              <w:rPr>
                <w:b/>
                <w:bCs/>
                <w:sz w:val="18"/>
                <w:szCs w:val="18"/>
              </w:rPr>
              <w:t xml:space="preserve">Archivo</w:t>
            </w:r>
          </w:p>
        </w:tc>
        <w:tc>
          <w:tcPr>
            <w:tcW w:type="dxa" w:w="6047"/>
            <w:shd w:fill="F2F2EF" w:color="auto" w:val="clear"/>
            <w:tcMar>
              <w:top w:type="dxa" w:w="60"/>
              <w:left w:type="dxa" w:w="90"/>
              <w:bottom w:type="dxa" w:w="60"/>
              <w:right w:type="dxa" w:w="90"/>
            </w:tcMar>
          </w:tcPr>
          <w:p>
            <w:pPr>
              <w:spacing w:after="0" w:line="240"/>
            </w:pPr>
            <w:r>
              <w:rPr>
                <w:b/>
                <w:bCs/>
                <w:sz w:val="18"/>
                <w:szCs w:val="18"/>
              </w:rPr>
              <w:t xml:space="preserve">Qué hace</w:t>
            </w:r>
          </w:p>
        </w:tc>
      </w:tr>
      <w:tr>
        <w:tc>
          <w:tcPr>
            <w:tcW w:type="dxa" w:w="2979"/>
            <w:tcMar>
              <w:top w:type="dxa" w:w="60"/>
              <w:left w:type="dxa" w:w="90"/>
              <w:bottom w:type="dxa" w:w="60"/>
              <w:right w:type="dxa" w:w="90"/>
            </w:tcMar>
          </w:tcPr>
          <w:p>
            <w:pPr>
              <w:spacing w:after="0" w:line="240"/>
            </w:pPr>
            <w:r>
              <w:rPr>
                <w:sz w:val="18"/>
                <w:szCs w:val="18"/>
              </w:rPr>
              <w:t xml:space="preserve">src/features.py</w:t>
            </w:r>
          </w:p>
        </w:tc>
        <w:tc>
          <w:tcPr>
            <w:tcW w:type="dxa" w:w="6047"/>
            <w:tcMar>
              <w:top w:type="dxa" w:w="60"/>
              <w:left w:type="dxa" w:w="90"/>
              <w:bottom w:type="dxa" w:w="60"/>
              <w:right w:type="dxa" w:w="90"/>
            </w:tcMar>
          </w:tcPr>
          <w:p>
            <w:pPr>
              <w:spacing w:after="0" w:line="240"/>
            </w:pPr>
            <w:r>
              <w:rPr>
                <w:sz w:val="18"/>
                <w:szCs w:val="18"/>
              </w:rPr>
              <w:t xml:space="preserve">Feature engineering de la Parte 1 (application, bureau, previous, installments)</w:t>
            </w:r>
          </w:p>
        </w:tc>
      </w:tr>
      <w:tr>
        <w:tc>
          <w:tcPr>
            <w:tcW w:type="dxa" w:w="2979"/>
            <w:tcMar>
              <w:top w:type="dxa" w:w="60"/>
              <w:left w:type="dxa" w:w="90"/>
              <w:bottom w:type="dxa" w:w="60"/>
              <w:right w:type="dxa" w:w="90"/>
            </w:tcMar>
          </w:tcPr>
          <w:p>
            <w:pPr>
              <w:spacing w:after="0" w:line="240"/>
            </w:pPr>
            <w:r>
              <w:rPr>
                <w:sz w:val="18"/>
                <w:szCs w:val="18"/>
              </w:rPr>
              <w:t xml:space="preserve">src/models.py</w:t>
            </w:r>
          </w:p>
        </w:tc>
        <w:tc>
          <w:tcPr>
            <w:tcW w:type="dxa" w:w="6047"/>
            <w:tcMar>
              <w:top w:type="dxa" w:w="60"/>
              <w:left w:type="dxa" w:w="90"/>
              <w:bottom w:type="dxa" w:w="60"/>
              <w:right w:type="dxa" w:w="90"/>
            </w:tcMar>
          </w:tcPr>
          <w:p>
            <w:pPr>
              <w:spacing w:after="0" w:line="240"/>
            </w:pPr>
            <w:r>
              <w:rPr>
                <w:sz w:val="18"/>
                <w:szCs w:val="18"/>
              </w:rPr>
              <w:t xml:space="preserve">Logística baseline y LightGBM (categóricas nativas u one-hot)</w:t>
            </w:r>
          </w:p>
        </w:tc>
      </w:tr>
      <w:tr>
        <w:tc>
          <w:tcPr>
            <w:tcW w:type="dxa" w:w="2979"/>
            <w:tcMar>
              <w:top w:type="dxa" w:w="60"/>
              <w:left w:type="dxa" w:w="90"/>
              <w:bottom w:type="dxa" w:w="60"/>
              <w:right w:type="dxa" w:w="90"/>
            </w:tcMar>
          </w:tcPr>
          <w:p>
            <w:pPr>
              <w:spacing w:after="0" w:line="240"/>
            </w:pPr>
            <w:r>
              <w:rPr>
                <w:sz w:val="18"/>
                <w:szCs w:val="18"/>
              </w:rPr>
              <w:t xml:space="preserve">src/cv.py</w:t>
            </w:r>
          </w:p>
        </w:tc>
        <w:tc>
          <w:tcPr>
            <w:tcW w:type="dxa" w:w="6047"/>
            <w:tcMar>
              <w:top w:type="dxa" w:w="60"/>
              <w:left w:type="dxa" w:w="90"/>
              <w:bottom w:type="dxa" w:w="60"/>
              <w:right w:type="dxa" w:w="90"/>
            </w:tcMar>
          </w:tcPr>
          <w:p>
            <w:pPr>
              <w:spacing w:after="0" w:line="240"/>
            </w:pPr>
            <w:r>
              <w:rPr>
                <w:sz w:val="18"/>
                <w:szCs w:val="18"/>
              </w:rPr>
              <w:t xml:space="preserve">Validación cruzada con los folds fijos (OOF, AUC y predicción de test)</w:t>
            </w:r>
          </w:p>
        </w:tc>
      </w:tr>
      <w:tr>
        <w:tc>
          <w:tcPr>
            <w:tcW w:type="dxa" w:w="2979"/>
            <w:tcMar>
              <w:top w:type="dxa" w:w="60"/>
              <w:left w:type="dxa" w:w="90"/>
              <w:bottom w:type="dxa" w:w="60"/>
              <w:right w:type="dxa" w:w="90"/>
            </w:tcMar>
          </w:tcPr>
          <w:p>
            <w:pPr>
              <w:spacing w:after="0" w:line="240"/>
            </w:pPr>
            <w:r>
              <w:rPr>
                <w:sz w:val="18"/>
                <w:szCs w:val="18"/>
              </w:rPr>
              <w:t xml:space="preserve">src/make_folds.py</w:t>
            </w:r>
          </w:p>
        </w:tc>
        <w:tc>
          <w:tcPr>
            <w:tcW w:type="dxa" w:w="6047"/>
            <w:tcMar>
              <w:top w:type="dxa" w:w="60"/>
              <w:left w:type="dxa" w:w="90"/>
              <w:bottom w:type="dxa" w:w="60"/>
              <w:right w:type="dxa" w:w="90"/>
            </w:tcMar>
          </w:tcPr>
          <w:p>
            <w:pPr>
              <w:spacing w:after="0" w:line="240"/>
            </w:pPr>
            <w:r>
              <w:rPr>
                <w:sz w:val="18"/>
                <w:szCs w:val="18"/>
              </w:rPr>
              <w:t xml:space="preserve">Genera y versiona la partición en 5 folds estratificados</w:t>
            </w:r>
          </w:p>
        </w:tc>
      </w:tr>
      <w:tr>
        <w:tc>
          <w:tcPr>
            <w:tcW w:type="dxa" w:w="2979"/>
            <w:tcMar>
              <w:top w:type="dxa" w:w="60"/>
              <w:left w:type="dxa" w:w="90"/>
              <w:bottom w:type="dxa" w:w="60"/>
              <w:right w:type="dxa" w:w="90"/>
            </w:tcMar>
          </w:tcPr>
          <w:p>
            <w:pPr>
              <w:spacing w:after="0" w:line="240"/>
            </w:pPr>
            <w:r>
              <w:rPr>
                <w:sz w:val="18"/>
                <w:szCs w:val="18"/>
              </w:rPr>
              <w:t xml:space="preserve">src/tuning.py</w:t>
            </w:r>
          </w:p>
        </w:tc>
        <w:tc>
          <w:tcPr>
            <w:tcW w:type="dxa" w:w="6047"/>
            <w:tcMar>
              <w:top w:type="dxa" w:w="60"/>
              <w:left w:type="dxa" w:w="90"/>
              <w:bottom w:type="dxa" w:w="60"/>
              <w:right w:type="dxa" w:w="90"/>
            </w:tcMar>
          </w:tcPr>
          <w:p>
            <w:pPr>
              <w:spacing w:after="0" w:line="240"/>
            </w:pPr>
            <w:r>
              <w:rPr>
                <w:sz w:val="18"/>
                <w:szCs w:val="18"/>
              </w:rPr>
              <w:t xml:space="preserve">Optimización de hiperparámetros con Optuna</w:t>
            </w:r>
          </w:p>
        </w:tc>
      </w:tr>
      <w:tr>
        <w:tc>
          <w:tcPr>
            <w:tcW w:type="dxa" w:w="2979"/>
            <w:tcMar>
              <w:top w:type="dxa" w:w="60"/>
              <w:left w:type="dxa" w:w="90"/>
              <w:bottom w:type="dxa" w:w="60"/>
              <w:right w:type="dxa" w:w="90"/>
            </w:tcMar>
          </w:tcPr>
          <w:p>
            <w:pPr>
              <w:spacing w:after="0" w:line="240"/>
            </w:pPr>
            <w:r>
              <w:rPr>
                <w:sz w:val="18"/>
                <w:szCs w:val="18"/>
              </w:rPr>
              <w:t xml:space="preserve">src/interpretability.py</w:t>
            </w:r>
          </w:p>
        </w:tc>
        <w:tc>
          <w:tcPr>
            <w:tcW w:type="dxa" w:w="6047"/>
            <w:tcMar>
              <w:top w:type="dxa" w:w="60"/>
              <w:left w:type="dxa" w:w="90"/>
              <w:bottom w:type="dxa" w:w="60"/>
              <w:right w:type="dxa" w:w="90"/>
            </w:tcMar>
          </w:tcPr>
          <w:p>
            <w:pPr>
              <w:spacing w:after="0" w:line="240"/>
            </w:pPr>
            <w:r>
              <w:rPr>
                <w:sz w:val="18"/>
                <w:szCs w:val="18"/>
              </w:rPr>
              <w:t xml:space="preserve">Importancia por ganancia y valores SHAP</w:t>
            </w:r>
          </w:p>
        </w:tc>
      </w:tr>
      <w:tr>
        <w:tc>
          <w:tcPr>
            <w:tcW w:type="dxa" w:w="2979"/>
            <w:tcMar>
              <w:top w:type="dxa" w:w="60"/>
              <w:left w:type="dxa" w:w="90"/>
              <w:bottom w:type="dxa" w:w="60"/>
              <w:right w:type="dxa" w:w="90"/>
            </w:tcMar>
          </w:tcPr>
          <w:p>
            <w:pPr>
              <w:spacing w:after="0" w:line="240"/>
            </w:pPr>
            <w:r>
              <w:rPr>
                <w:sz w:val="18"/>
                <w:szCs w:val="18"/>
              </w:rPr>
              <w:t xml:space="preserve">src/parte2_properati.py</w:t>
            </w:r>
          </w:p>
        </w:tc>
        <w:tc>
          <w:tcPr>
            <w:tcW w:type="dxa" w:w="6047"/>
            <w:tcMar>
              <w:top w:type="dxa" w:w="60"/>
              <w:left w:type="dxa" w:w="90"/>
              <w:bottom w:type="dxa" w:w="60"/>
              <w:right w:type="dxa" w:w="90"/>
            </w:tcMar>
          </w:tcPr>
          <w:p>
            <w:pPr>
              <w:spacing w:after="0" w:line="240"/>
            </w:pPr>
            <w:r>
              <w:rPr>
                <w:sz w:val="18"/>
                <w:szCs w:val="18"/>
              </w:rPr>
              <w:t xml:space="preserve">Parte 2 completa: filtros, partición temporal, baseline, prototipo y diagnósticos</w:t>
            </w:r>
          </w:p>
        </w:tc>
      </w:tr>
      <w:tr>
        <w:tc>
          <w:tcPr>
            <w:tcW w:type="dxa" w:w="2979"/>
            <w:tcMar>
              <w:top w:type="dxa" w:w="60"/>
              <w:left w:type="dxa" w:w="90"/>
              <w:bottom w:type="dxa" w:w="60"/>
              <w:right w:type="dxa" w:w="90"/>
            </w:tcMar>
          </w:tcPr>
          <w:p>
            <w:pPr>
              <w:spacing w:after="0" w:line="240"/>
            </w:pPr>
            <w:r>
              <w:rPr>
                <w:sz w:val="18"/>
                <w:szCs w:val="18"/>
              </w:rPr>
              <w:t xml:space="preserve">resultados/ y resultados_parte2/</w:t>
            </w:r>
          </w:p>
        </w:tc>
        <w:tc>
          <w:tcPr>
            <w:tcW w:type="dxa" w:w="6047"/>
            <w:tcMar>
              <w:top w:type="dxa" w:w="60"/>
              <w:left w:type="dxa" w:w="90"/>
              <w:bottom w:type="dxa" w:w="60"/>
              <w:right w:type="dxa" w:w="90"/>
            </w:tcMar>
          </w:tcPr>
          <w:p>
            <w:pPr>
              <w:spacing w:after="0" w:line="240"/>
            </w:pPr>
            <w:r>
              <w:rPr>
                <w:sz w:val="18"/>
                <w:szCs w:val="18"/>
              </w:rPr>
              <w:t xml:space="preserve">Tablas y figuras que se citan en este informe</w:t>
            </w:r>
          </w:p>
        </w:tc>
      </w:tr>
    </w:tbl>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2222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Helvetica" w:cs="Helvetica" w:eastAsia="Helvetica" w:hAnsi="Helvetica"/>
      <w:b/>
      <w:bCs/>
      <w:color w:val="1F5FA9"/>
      <w:sz w:val="27"/>
      <w:szCs w:val="27"/>
    </w:rPr>
  </w:style>
  <w:style w:type="paragraph" w:styleId="Heading2">
    <w:name w:val="Heading 2"/>
    <w:basedOn w:val="Normal"/>
    <w:next w:val="Normal"/>
    <w:qFormat/>
    <w:rPr>
      <w:rFonts w:ascii="Helvetica" w:cs="Helvetica" w:eastAsia="Helvetica" w:hAnsi="Helvetica"/>
      <w:b/>
      <w:bCs/>
      <w:color w:val="2B2B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4f30f1d0e8c6dfc2fcfe8111785f692df3a7ca.png"/><Relationship Id="rId9" Type="http://schemas.openxmlformats.org/officeDocument/2006/relationships/image" Target="media/472590ed2609cdf140f10fda0535e5ccf095828a.png"/><Relationship Id="rId10" Type="http://schemas.openxmlformats.org/officeDocument/2006/relationships/image" Target="media/5c6bf4d0e9d8764ccf88a71293c2d46124219507.png"/><Relationship Id="rId11" Type="http://schemas.openxmlformats.org/officeDocument/2006/relationships/image" Target="media/f4940cb2f6315d220bf93d6c21a14c72667062b3.png"/><Relationship Id="rId12" Type="http://schemas.openxmlformats.org/officeDocument/2006/relationships/image" Target="media/e118f54575402baa7d6e5de80299e23d5ad19f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Machine Learning — MiM+Analytics UTDT 2026</dc:title>
  <dc:creator>Lucía Koopmann, María Florencia Grimaldi, Alber</dc:creator>
  <cp:lastModifiedBy>Un-named</cp:lastModifiedBy>
  <cp:revision>1</cp:revision>
  <dcterms:created xsi:type="dcterms:W3CDTF">2026-10-01T22:45:17.202Z</dcterms:created>
  <dcterms:modified xsi:type="dcterms:W3CDTF">2026-10-01T22:45:17.205Z</dcterms:modified>
</cp:coreProperties>
</file>

<file path=docProps/custom.xml><?xml version="1.0" encoding="utf-8"?>
<Properties xmlns="http://schemas.openxmlformats.org/officeDocument/2006/custom-properties" xmlns:vt="http://schemas.openxmlformats.org/officeDocument/2006/docPropsVTypes"/>
</file>