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2460" w14:textId="1A726F04" w:rsidR="00236A6B" w:rsidRDefault="001A52BF">
      <w:pPr>
        <w:rPr>
          <w:b/>
          <w:bCs/>
        </w:rPr>
      </w:pPr>
      <w:r>
        <w:rPr>
          <w:b/>
          <w:bCs/>
        </w:rPr>
        <w:t>Supporting information: S1</w:t>
      </w:r>
    </w:p>
    <w:p w14:paraId="6831A3E2" w14:textId="77777777" w:rsidR="001A52BF" w:rsidRDefault="001A52BF" w:rsidP="001A52BF">
      <w:pPr>
        <w:spacing w:line="480" w:lineRule="auto"/>
      </w:pPr>
      <w:r>
        <w:t xml:space="preserve">Estimating species occupancy across multiple sampling seasons with temporal </w:t>
      </w:r>
      <w:proofErr w:type="spellStart"/>
      <w:r>
        <w:t>autologistic</w:t>
      </w:r>
      <w:proofErr w:type="spellEnd"/>
      <w:r>
        <w:t xml:space="preserve"> occupancy models via the </w:t>
      </w:r>
      <w:proofErr w:type="spellStart"/>
      <w:r w:rsidRPr="00FD008D">
        <w:rPr>
          <w:rFonts w:ascii="Lucida Console" w:hAnsi="Lucida Console"/>
        </w:rPr>
        <w:t>autoOcc</w:t>
      </w:r>
      <w:proofErr w:type="spellEnd"/>
      <w:r>
        <w:t xml:space="preserve"> R package </w:t>
      </w:r>
    </w:p>
    <w:p w14:paraId="79E835D1" w14:textId="525B4FB1" w:rsidR="001A52BF" w:rsidRDefault="001A52BF">
      <w:r>
        <w:t xml:space="preserve">&lt;Author information has been removed for the review </w:t>
      </w:r>
      <w:proofErr w:type="gramStart"/>
      <w:r>
        <w:t>process,</w:t>
      </w:r>
      <w:proofErr w:type="gramEnd"/>
      <w:r>
        <w:t xml:space="preserve"> it will be added in the event the manuscript is accepted for publication&gt;</w:t>
      </w:r>
    </w:p>
    <w:p w14:paraId="566D2930" w14:textId="77777777" w:rsidR="001A52BF" w:rsidRDefault="001A52BF"/>
    <w:p w14:paraId="74748B8A" w14:textId="4B61FEDD" w:rsidR="001A52BF" w:rsidRDefault="001A52BF" w:rsidP="001A52BF">
      <w:pPr>
        <w:pStyle w:val="Heading2"/>
      </w:pPr>
      <w:r>
        <w:t xml:space="preserve">The </w:t>
      </w:r>
      <w:proofErr w:type="spellStart"/>
      <w:r>
        <w:t>autologistic</w:t>
      </w:r>
      <w:proofErr w:type="spellEnd"/>
      <w:r>
        <w:t xml:space="preserve"> occupancy model is a simplification of the dynamic occupancy model</w:t>
      </w:r>
    </w:p>
    <w:p w14:paraId="5869FF07" w14:textId="7ED67CEC" w:rsidR="001A52BF" w:rsidRDefault="001A52BF" w:rsidP="001A52BF">
      <w:pPr>
        <w:rPr>
          <w:vertAlign w:val="subscript"/>
        </w:rPr>
      </w:pPr>
      <w:r>
        <w:t xml:space="preserve">The </w:t>
      </w:r>
      <w:proofErr w:type="spellStart"/>
      <w:r>
        <w:t>autologistic</w:t>
      </w:r>
      <w:proofErr w:type="spellEnd"/>
      <w:r>
        <w:t xml:space="preserve"> occupancy model is a special case of the dynamic occupancy model. To show this I will </w:t>
      </w:r>
      <w:proofErr w:type="gramStart"/>
      <w:r>
        <w:t>begin</w:t>
      </w:r>
      <w:proofErr w:type="gramEnd"/>
      <w:r>
        <w:t xml:space="preserve"> explaining the standard formulation of the dynamic model and then show the assumptions that must be made to reduce the dynamic model to an </w:t>
      </w:r>
      <w:proofErr w:type="spellStart"/>
      <w:r>
        <w:t>autologistic</w:t>
      </w:r>
      <w:proofErr w:type="spellEnd"/>
      <w:r>
        <w:t xml:space="preserve">. Thus, 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in </w:t>
      </w:r>
      <w:proofErr w:type="gramStart"/>
      <w:r>
        <w:t>1,…</w:t>
      </w:r>
      <w:proofErr w:type="gramEnd"/>
      <w:r>
        <w:t>,</w:t>
      </w:r>
      <w:r w:rsidRPr="001A52BF">
        <w:rPr>
          <w:i/>
          <w:iCs/>
        </w:rPr>
        <w:t>I</w:t>
      </w:r>
      <w:r>
        <w:t xml:space="preserve"> </w:t>
      </w:r>
      <w:proofErr w:type="gramStart"/>
      <w:r>
        <w:t>sites</w:t>
      </w:r>
      <w:proofErr w:type="gramEnd"/>
      <w:r>
        <w:t xml:space="preserve"> and </w:t>
      </w:r>
      <w:r w:rsidRPr="001A52BF">
        <w:rPr>
          <w:i/>
          <w:iCs/>
        </w:rPr>
        <w:t>t</w:t>
      </w:r>
      <w:r>
        <w:t xml:space="preserve"> in </w:t>
      </w:r>
      <w:proofErr w:type="gramStart"/>
      <w:r>
        <w:t>1,…</w:t>
      </w:r>
      <w:proofErr w:type="gramEnd"/>
      <w:r>
        <w:t>,</w:t>
      </w:r>
      <w:r w:rsidRPr="001A52BF">
        <w:rPr>
          <w:i/>
          <w:iCs/>
        </w:rPr>
        <w:t>T</w:t>
      </w:r>
      <w:r>
        <w:t xml:space="preserve"> primary sampling periods (hereafter seasons), let </w:t>
      </w:r>
      <w:proofErr w:type="spellStart"/>
      <w:proofErr w:type="gramStart"/>
      <w:r w:rsidRPr="001A52BF">
        <w:rPr>
          <w:i/>
          <w:iCs/>
        </w:rPr>
        <w:t>z</w:t>
      </w:r>
      <w:r w:rsidRPr="001A52BF">
        <w:rPr>
          <w:i/>
          <w:iCs/>
          <w:vertAlign w:val="subscript"/>
        </w:rPr>
        <w:t>i,t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be the latent binary occupancy status of a species at site </w:t>
      </w:r>
      <w:proofErr w:type="spellStart"/>
      <w:r>
        <w:rPr>
          <w:i/>
          <w:iCs/>
        </w:rPr>
        <w:t>i</w:t>
      </w:r>
      <w:proofErr w:type="spellEnd"/>
      <w:r>
        <w:t xml:space="preserve"> and time </w:t>
      </w:r>
      <w:r>
        <w:rPr>
          <w:i/>
          <w:iCs/>
        </w:rPr>
        <w:t>t</w:t>
      </w:r>
      <w:r>
        <w:t xml:space="preserve">. During the first season we have no knowledge of the occupancy status before. Thus, we estimate occupancy in the </w:t>
      </w:r>
      <w:proofErr w:type="gramStart"/>
      <w:r>
        <w:t>first time</w:t>
      </w:r>
      <w:proofErr w:type="gramEnd"/>
      <w:r>
        <w:t xml:space="preserve"> step, which we refer to as the initial occupancy probability </w:t>
      </w:r>
      <w:r w:rsidRPr="00130DF5">
        <w:rPr>
          <w:i/>
          <w:iCs/>
        </w:rPr>
        <w:t>ψ</w:t>
      </w:r>
      <w:r>
        <w:rPr>
          <w:vertAlign w:val="subscrip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A52BF" w14:paraId="10560D92" w14:textId="77777777" w:rsidTr="00BA2224">
        <w:tc>
          <w:tcPr>
            <w:tcW w:w="805" w:type="dxa"/>
          </w:tcPr>
          <w:p w14:paraId="3FF31E38" w14:textId="77777777" w:rsidR="001A52BF" w:rsidRDefault="001A52BF" w:rsidP="00BA2224">
            <w:pPr>
              <w:spacing w:line="480" w:lineRule="auto"/>
            </w:pPr>
          </w:p>
        </w:tc>
        <w:tc>
          <w:tcPr>
            <w:tcW w:w="7650" w:type="dxa"/>
          </w:tcPr>
          <w:p w14:paraId="3018D8F4" w14:textId="1E8277A5" w:rsidR="001A52BF" w:rsidRPr="00130DF5" w:rsidRDefault="001A52BF" w:rsidP="00BA2224">
            <w:pPr>
              <w:spacing w:line="480" w:lineRule="auto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 xml:space="preserve"> ~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Bernoulli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  <w:i/>
              </w:rPr>
              <w:t>,</w:t>
            </w:r>
          </w:p>
        </w:tc>
        <w:tc>
          <w:tcPr>
            <w:tcW w:w="895" w:type="dxa"/>
            <w:vAlign w:val="center"/>
          </w:tcPr>
          <w:p w14:paraId="4447C4CF" w14:textId="676391D5" w:rsidR="001A52BF" w:rsidRDefault="001A52BF" w:rsidP="00BA2224">
            <w:pPr>
              <w:spacing w:line="480" w:lineRule="auto"/>
              <w:jc w:val="center"/>
            </w:pPr>
            <w:r>
              <w:t xml:space="preserve">Eq. </w:t>
            </w:r>
            <w:r w:rsidR="001C4DFD">
              <w:t>S</w:t>
            </w:r>
            <w:r>
              <w:t>1</w:t>
            </w:r>
          </w:p>
        </w:tc>
      </w:tr>
    </w:tbl>
    <w:p w14:paraId="64A8EF59" w14:textId="77777777" w:rsidR="001A52BF" w:rsidRDefault="001A52BF" w:rsidP="001A52BF"/>
    <w:p w14:paraId="02E6C56F" w14:textId="199BDB8F" w:rsidR="001C4DFD" w:rsidRDefault="001C4DFD" w:rsidP="001A52BF">
      <w:r>
        <w:t xml:space="preserve">Following the first season we condition the occupancy status, </w:t>
      </w:r>
      <w:proofErr w:type="spellStart"/>
      <w:proofErr w:type="gramStart"/>
      <w:r w:rsidRPr="001A52BF">
        <w:rPr>
          <w:i/>
          <w:iCs/>
        </w:rPr>
        <w:t>z</w:t>
      </w:r>
      <w:r w:rsidRPr="001A52BF">
        <w:rPr>
          <w:i/>
          <w:iCs/>
          <w:vertAlign w:val="subscript"/>
        </w:rPr>
        <w:t>i,t</w:t>
      </w:r>
      <w:proofErr w:type="spellEnd"/>
      <w:proofErr w:type="gramEnd"/>
      <w:r>
        <w:rPr>
          <w:i/>
          <w:iCs/>
        </w:rPr>
        <w:t>,</w:t>
      </w:r>
      <w:r>
        <w:rPr>
          <w:i/>
          <w:iCs/>
          <w:vertAlign w:val="subscript"/>
        </w:rPr>
        <w:t xml:space="preserve"> </w:t>
      </w:r>
      <w:r>
        <w:t xml:space="preserve">on the occupancy status in the previous season, </w:t>
      </w:r>
      <w:proofErr w:type="gramStart"/>
      <w:r w:rsidRPr="001A52BF">
        <w:rPr>
          <w:i/>
          <w:iCs/>
        </w:rPr>
        <w:t>z</w:t>
      </w:r>
      <w:r w:rsidRPr="001A52BF">
        <w:rPr>
          <w:i/>
          <w:iCs/>
          <w:vertAlign w:val="subscript"/>
        </w:rPr>
        <w:t>i,t</w:t>
      </w:r>
      <w:proofErr w:type="gramEnd"/>
      <w:r>
        <w:rPr>
          <w:i/>
          <w:iCs/>
          <w:vertAlign w:val="subscript"/>
        </w:rPr>
        <w:t>-1</w:t>
      </w:r>
      <w:r>
        <w:t>. Doing so allows us to separately estimate local colonization (</w:t>
      </w:r>
      <w:proofErr w:type="spellStart"/>
      <w:r>
        <w:t>γ</w:t>
      </w:r>
      <w:r>
        <w:rPr>
          <w:vertAlign w:val="subscript"/>
        </w:rPr>
        <w:t>i</w:t>
      </w:r>
      <w:proofErr w:type="spellEnd"/>
      <w:r>
        <w:t>) and extinction (</w:t>
      </w:r>
      <w:proofErr w:type="spellStart"/>
      <w:r>
        <w:t>ε</w:t>
      </w:r>
      <w:r>
        <w:rPr>
          <w:vertAlign w:val="subscript"/>
        </w:rPr>
        <w:t>i</w:t>
      </w:r>
      <w:proofErr w:type="spellEnd"/>
      <w:r>
        <w:t xml:space="preserve">) probabilities. Thus, </w:t>
      </w:r>
      <w:proofErr w:type="spellStart"/>
      <w:r>
        <w:t xml:space="preserve">for </w:t>
      </w:r>
      <w:r>
        <w:rPr>
          <w:i/>
          <w:iCs/>
        </w:rPr>
        <w:t>t</w:t>
      </w:r>
      <w:proofErr w:type="spellEnd"/>
      <w:r>
        <w:rPr>
          <w:i/>
          <w:iCs/>
        </w:rPr>
        <w:t>&gt;1</w:t>
      </w:r>
      <w:r>
        <w:t>, the latent state model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C4DFD" w14:paraId="2E8ABD7F" w14:textId="77777777" w:rsidTr="00BA2224">
        <w:tc>
          <w:tcPr>
            <w:tcW w:w="805" w:type="dxa"/>
          </w:tcPr>
          <w:p w14:paraId="021EE1D5" w14:textId="77777777" w:rsidR="001C4DFD" w:rsidRDefault="001C4DFD" w:rsidP="00BA2224">
            <w:pPr>
              <w:spacing w:line="480" w:lineRule="auto"/>
            </w:pPr>
          </w:p>
        </w:tc>
        <w:tc>
          <w:tcPr>
            <w:tcW w:w="7650" w:type="dxa"/>
          </w:tcPr>
          <w:p w14:paraId="75CA527C" w14:textId="00DE09DD" w:rsidR="001C4DFD" w:rsidRPr="00130DF5" w:rsidRDefault="001C4DFD" w:rsidP="00BA2224">
            <w:pPr>
              <w:spacing w:line="480" w:lineRule="auto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 xml:space="preserve"> ~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Bernoulli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(1 -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i,t-1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  <w:i/>
              </w:rPr>
              <w:t>,</w:t>
            </w:r>
          </w:p>
        </w:tc>
        <w:tc>
          <w:tcPr>
            <w:tcW w:w="895" w:type="dxa"/>
            <w:vAlign w:val="center"/>
          </w:tcPr>
          <w:p w14:paraId="6DCB6265" w14:textId="28491CAC" w:rsidR="001C4DFD" w:rsidRDefault="001C4DFD" w:rsidP="00BA2224">
            <w:pPr>
              <w:spacing w:line="480" w:lineRule="auto"/>
              <w:jc w:val="center"/>
            </w:pPr>
            <w:r>
              <w:t>Eq. S</w:t>
            </w:r>
            <w:r>
              <w:t>2</w:t>
            </w:r>
          </w:p>
        </w:tc>
      </w:tr>
    </w:tbl>
    <w:p w14:paraId="3EB15C2C" w14:textId="020A7F33" w:rsidR="001C4DFD" w:rsidRDefault="00866017" w:rsidP="001A52BF">
      <w:r>
        <w:t xml:space="preserve">Thus, the occupancy status in the previous timestep serves as an indicator variable. If the species is present in the previous timestep then the probability in Eq. S2 simplifies to </w:t>
      </w:r>
      <m:oMath>
        <m:r>
          <w:rPr>
            <w:rFonts w:ascii="Cambria Math" w:hAnsi="Cambria Math"/>
          </w:rPr>
          <m:t xml:space="preserve">1 -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, which is also known as the persistence probability, </w:t>
      </w:r>
      <w:proofErr w:type="spellStart"/>
      <w:r>
        <w:rPr>
          <w:rFonts w:eastAsiaTheme="minorEastAsia"/>
          <w:sz w:val="22"/>
          <w:szCs w:val="22"/>
        </w:rPr>
        <w:t>φ</w:t>
      </w:r>
      <w:r>
        <w:rPr>
          <w:rFonts w:eastAsiaTheme="minorEastAsia"/>
          <w:sz w:val="22"/>
          <w:szCs w:val="22"/>
          <w:vertAlign w:val="subscript"/>
        </w:rPr>
        <w:t>i</w:t>
      </w:r>
      <w:proofErr w:type="spellEnd"/>
      <w:r>
        <w:rPr>
          <w:rFonts w:eastAsiaTheme="minorEastAsia"/>
          <w:sz w:val="22"/>
          <w:szCs w:val="22"/>
        </w:rPr>
        <w:t xml:space="preserve">. Conversely, if the species is not present, then Eq. S2 simplifies to estimating local colonization, </w:t>
      </w:r>
      <w:proofErr w:type="spellStart"/>
      <w:r>
        <w:t>γ</w:t>
      </w:r>
      <w:r>
        <w:rPr>
          <w:vertAlign w:val="subscript"/>
        </w:rPr>
        <w:t>i</w:t>
      </w:r>
      <w:proofErr w:type="spellEnd"/>
      <w:r w:rsidRPr="00866017">
        <w:t>.</w:t>
      </w:r>
      <w:r>
        <w:t xml:space="preserve"> </w:t>
      </w:r>
    </w:p>
    <w:p w14:paraId="11004CDC" w14:textId="6C0B9A97" w:rsidR="00866017" w:rsidRPr="00866017" w:rsidRDefault="00EC7DCD" w:rsidP="001A52BF">
      <w:r>
        <w:t xml:space="preserve">If we define </w:t>
      </w:r>
    </w:p>
    <w:sectPr w:rsidR="00866017" w:rsidRPr="0086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F"/>
    <w:rsid w:val="001A52BF"/>
    <w:rsid w:val="001C4DFD"/>
    <w:rsid w:val="00236A6B"/>
    <w:rsid w:val="0065165D"/>
    <w:rsid w:val="007C714C"/>
    <w:rsid w:val="00835ECC"/>
    <w:rsid w:val="00866017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36B"/>
  <w15:chartTrackingRefBased/>
  <w15:docId w15:val="{1AF14A3A-2650-4EFC-A006-DF58FC0B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2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52B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2025-09-03T18:09:00Z</dcterms:created>
  <dcterms:modified xsi:type="dcterms:W3CDTF">2025-09-04T12:15:00Z</dcterms:modified>
</cp:coreProperties>
</file>