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B2460" w14:textId="1A726F04" w:rsidR="00236A6B" w:rsidRPr="00C52583" w:rsidRDefault="001A52BF">
      <w:pPr>
        <w:rPr>
          <w:b/>
          <w:bCs/>
        </w:rPr>
      </w:pPr>
      <w:r w:rsidRPr="00C52583">
        <w:rPr>
          <w:b/>
          <w:bCs/>
        </w:rPr>
        <w:t>Supporting information: S1</w:t>
      </w:r>
    </w:p>
    <w:p w14:paraId="6831A3E2" w14:textId="77777777" w:rsidR="001A52BF" w:rsidRPr="00C52583" w:rsidRDefault="001A52BF" w:rsidP="001A52BF">
      <w:pPr>
        <w:spacing w:line="480" w:lineRule="auto"/>
      </w:pPr>
      <w:r w:rsidRPr="00C52583">
        <w:t xml:space="preserve">Estimating species occupancy across multiple sampling seasons with temporal </w:t>
      </w:r>
      <w:proofErr w:type="spellStart"/>
      <w:r w:rsidRPr="00C52583">
        <w:t>autologistic</w:t>
      </w:r>
      <w:proofErr w:type="spellEnd"/>
      <w:r w:rsidRPr="00C52583">
        <w:t xml:space="preserve"> occupancy models via the </w:t>
      </w:r>
      <w:proofErr w:type="spellStart"/>
      <w:r w:rsidRPr="00C52583">
        <w:rPr>
          <w:rFonts w:ascii="Lucida Console" w:hAnsi="Lucida Console"/>
        </w:rPr>
        <w:t>autoOcc</w:t>
      </w:r>
      <w:proofErr w:type="spellEnd"/>
      <w:r w:rsidRPr="00C52583">
        <w:t xml:space="preserve"> R package </w:t>
      </w:r>
    </w:p>
    <w:p w14:paraId="79E835D1" w14:textId="525B4FB1" w:rsidR="001A52BF" w:rsidRPr="00C52583" w:rsidRDefault="001A52BF">
      <w:r w:rsidRPr="00C52583">
        <w:t xml:space="preserve">&lt;Author information has been removed for the review </w:t>
      </w:r>
      <w:proofErr w:type="gramStart"/>
      <w:r w:rsidRPr="00C52583">
        <w:t>process,</w:t>
      </w:r>
      <w:proofErr w:type="gramEnd"/>
      <w:r w:rsidRPr="00C52583">
        <w:t xml:space="preserve"> it will be added in the event the manuscript is accepted for publication&gt;</w:t>
      </w:r>
    </w:p>
    <w:p w14:paraId="566D2930" w14:textId="77777777" w:rsidR="001A52BF" w:rsidRPr="00C52583" w:rsidRDefault="001A52BF"/>
    <w:p w14:paraId="74748B8A" w14:textId="4B61FEDD" w:rsidR="001A52BF" w:rsidRPr="00C52583" w:rsidRDefault="001A52BF" w:rsidP="001A52BF">
      <w:pPr>
        <w:pStyle w:val="Heading2"/>
        <w:rPr>
          <w:color w:val="auto"/>
          <w:sz w:val="28"/>
          <w:szCs w:val="28"/>
        </w:rPr>
      </w:pPr>
      <w:r w:rsidRPr="00C52583">
        <w:rPr>
          <w:color w:val="auto"/>
          <w:sz w:val="28"/>
          <w:szCs w:val="28"/>
        </w:rPr>
        <w:t xml:space="preserve">The </w:t>
      </w:r>
      <w:proofErr w:type="spellStart"/>
      <w:r w:rsidRPr="00C52583">
        <w:rPr>
          <w:color w:val="auto"/>
          <w:sz w:val="28"/>
          <w:szCs w:val="28"/>
        </w:rPr>
        <w:t>autologistic</w:t>
      </w:r>
      <w:proofErr w:type="spellEnd"/>
      <w:r w:rsidRPr="00C52583">
        <w:rPr>
          <w:color w:val="auto"/>
          <w:sz w:val="28"/>
          <w:szCs w:val="28"/>
        </w:rPr>
        <w:t xml:space="preserve"> occupancy model is a simplification of the dynamic occupancy model</w:t>
      </w:r>
    </w:p>
    <w:p w14:paraId="7ECF2BB8" w14:textId="31895319" w:rsidR="006E522C" w:rsidRPr="00C52583" w:rsidRDefault="001A52BF" w:rsidP="001A52BF">
      <w:r w:rsidRPr="00C52583">
        <w:t xml:space="preserve">The </w:t>
      </w:r>
      <w:proofErr w:type="spellStart"/>
      <w:r w:rsidRPr="00C52583">
        <w:t>autologistic</w:t>
      </w:r>
      <w:proofErr w:type="spellEnd"/>
      <w:r w:rsidRPr="00C52583">
        <w:t xml:space="preserve"> occupancy model is a special case of the dynamic occupancy model. To show this I will explain the standard formulation of the dynamic model and then sh</w:t>
      </w:r>
      <w:r w:rsidR="00C52583" w:rsidRPr="00C52583">
        <w:t>are</w:t>
      </w:r>
      <w:r w:rsidRPr="00C52583">
        <w:t xml:space="preserve"> the assumptions that must be made to reduce the dynamic model to an </w:t>
      </w:r>
      <w:proofErr w:type="spellStart"/>
      <w:r w:rsidRPr="00C52583">
        <w:t>autologistic</w:t>
      </w:r>
      <w:proofErr w:type="spellEnd"/>
      <w:r w:rsidR="00C52583" w:rsidRPr="00C52583">
        <w:t xml:space="preserve"> parameterization</w:t>
      </w:r>
      <w:r w:rsidRPr="00C52583">
        <w:t xml:space="preserve">. </w:t>
      </w:r>
      <w:r w:rsidR="006E522C" w:rsidRPr="00C52583">
        <w:t xml:space="preserve">As the detection part of the model is identical to a standard dynamic occupancy model, and is already explained within the manuscript itself, I will skip over it in this supporting information. </w:t>
      </w:r>
    </w:p>
    <w:p w14:paraId="5869FF07" w14:textId="74947C5A" w:rsidR="001A52BF" w:rsidRPr="00C52583" w:rsidRDefault="001A52BF" w:rsidP="006E522C">
      <w:pPr>
        <w:ind w:firstLine="720"/>
        <w:rPr>
          <w:vertAlign w:val="subscript"/>
        </w:rPr>
      </w:pPr>
      <w:r w:rsidRPr="00C52583">
        <w:t xml:space="preserve">Thus, for </w:t>
      </w:r>
      <w:proofErr w:type="spellStart"/>
      <w:r w:rsidRPr="00C52583">
        <w:rPr>
          <w:i/>
          <w:iCs/>
        </w:rPr>
        <w:t>i</w:t>
      </w:r>
      <w:proofErr w:type="spellEnd"/>
      <w:r w:rsidRPr="00C52583">
        <w:rPr>
          <w:i/>
          <w:iCs/>
        </w:rPr>
        <w:t xml:space="preserve"> </w:t>
      </w:r>
      <w:r w:rsidRPr="00C52583">
        <w:t xml:space="preserve">in </w:t>
      </w:r>
      <w:proofErr w:type="gramStart"/>
      <w:r w:rsidRPr="00C52583">
        <w:t>1,…</w:t>
      </w:r>
      <w:proofErr w:type="gramEnd"/>
      <w:r w:rsidRPr="00C52583">
        <w:t>,</w:t>
      </w:r>
      <w:r w:rsidRPr="00C52583">
        <w:rPr>
          <w:i/>
          <w:iCs/>
        </w:rPr>
        <w:t>I</w:t>
      </w:r>
      <w:r w:rsidRPr="00C52583">
        <w:t xml:space="preserve"> </w:t>
      </w:r>
      <w:proofErr w:type="gramStart"/>
      <w:r w:rsidRPr="00C52583">
        <w:t>sites</w:t>
      </w:r>
      <w:proofErr w:type="gramEnd"/>
      <w:r w:rsidRPr="00C52583">
        <w:t xml:space="preserve"> and </w:t>
      </w:r>
      <w:r w:rsidRPr="00C52583">
        <w:rPr>
          <w:i/>
          <w:iCs/>
        </w:rPr>
        <w:t>t</w:t>
      </w:r>
      <w:r w:rsidRPr="00C52583">
        <w:t xml:space="preserve"> in </w:t>
      </w:r>
      <w:proofErr w:type="gramStart"/>
      <w:r w:rsidRPr="00C52583">
        <w:t>1,…</w:t>
      </w:r>
      <w:proofErr w:type="gramEnd"/>
      <w:r w:rsidRPr="00C52583">
        <w:t>,</w:t>
      </w:r>
      <w:r w:rsidRPr="00C52583">
        <w:rPr>
          <w:i/>
          <w:iCs/>
        </w:rPr>
        <w:t>T</w:t>
      </w:r>
      <w:r w:rsidRPr="00C52583">
        <w:t xml:space="preserve"> primary sampling periods (hereafter seasons), let </w:t>
      </w:r>
      <w:proofErr w:type="spellStart"/>
      <w:proofErr w:type="gramStart"/>
      <w:r w:rsidRPr="00C52583">
        <w:rPr>
          <w:i/>
          <w:iCs/>
        </w:rPr>
        <w:t>z</w:t>
      </w:r>
      <w:r w:rsidRPr="00C52583">
        <w:rPr>
          <w:i/>
          <w:iCs/>
          <w:vertAlign w:val="subscript"/>
        </w:rPr>
        <w:t>i,t</w:t>
      </w:r>
      <w:proofErr w:type="spellEnd"/>
      <w:proofErr w:type="gramEnd"/>
      <w:r w:rsidRPr="00C52583">
        <w:rPr>
          <w:vertAlign w:val="subscript"/>
        </w:rPr>
        <w:t xml:space="preserve"> </w:t>
      </w:r>
      <w:r w:rsidRPr="00C52583">
        <w:t xml:space="preserve">be the latent binary occupancy status of a species at site </w:t>
      </w:r>
      <w:proofErr w:type="spellStart"/>
      <w:r w:rsidRPr="00C52583">
        <w:rPr>
          <w:i/>
          <w:iCs/>
        </w:rPr>
        <w:t>i</w:t>
      </w:r>
      <w:proofErr w:type="spellEnd"/>
      <w:r w:rsidRPr="00C52583">
        <w:t xml:space="preserve"> and time </w:t>
      </w:r>
      <w:r w:rsidRPr="00C52583">
        <w:rPr>
          <w:i/>
          <w:iCs/>
        </w:rPr>
        <w:t>t</w:t>
      </w:r>
      <w:r w:rsidRPr="00C52583">
        <w:t xml:space="preserve">. During the first season we </w:t>
      </w:r>
      <w:proofErr w:type="gramStart"/>
      <w:r w:rsidRPr="00C52583">
        <w:t>have</w:t>
      </w:r>
      <w:proofErr w:type="gramEnd"/>
      <w:r w:rsidRPr="00C52583">
        <w:t xml:space="preserve"> no knowledge of the occupancy status before</w:t>
      </w:r>
      <w:r w:rsidR="00C52583" w:rsidRPr="00C52583">
        <w:t xml:space="preserve"> sampling began</w:t>
      </w:r>
      <w:r w:rsidRPr="00C52583">
        <w:t xml:space="preserve">. Thus, we estimate occupancy in the </w:t>
      </w:r>
      <w:proofErr w:type="gramStart"/>
      <w:r w:rsidR="006E522C" w:rsidRPr="00C52583">
        <w:t>first time</w:t>
      </w:r>
      <w:proofErr w:type="gramEnd"/>
      <w:r w:rsidRPr="00C52583">
        <w:t xml:space="preserve"> step, which we refer to as the initial occupancy probability </w:t>
      </w:r>
      <w:r w:rsidR="006E522C" w:rsidRPr="00C52583">
        <w:rPr>
          <w:i/>
          <w:iCs/>
        </w:rPr>
        <w:t>ψ</w:t>
      </w:r>
      <w:r w:rsidRPr="00C52583">
        <w:rPr>
          <w:vertAlign w:val="subscrip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1A52BF" w:rsidRPr="00C52583" w14:paraId="10560D92" w14:textId="77777777" w:rsidTr="006E522C">
        <w:tc>
          <w:tcPr>
            <w:tcW w:w="805" w:type="dxa"/>
          </w:tcPr>
          <w:p w14:paraId="3FF31E38" w14:textId="77777777" w:rsidR="001A52BF" w:rsidRPr="00C52583" w:rsidRDefault="001A52BF" w:rsidP="00BA222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2FFE2509" w14:textId="35778465" w:rsidR="001A52BF" w:rsidRPr="00C52583" w:rsidRDefault="006E522C" w:rsidP="00BA222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Bernoulli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for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t=1</m:t>
                </m:r>
              </m:oMath>
            </m:oMathPara>
          </w:p>
          <w:p w14:paraId="5752F674" w14:textId="711E5306" w:rsidR="006E522C" w:rsidRPr="00C52583" w:rsidRDefault="006E522C" w:rsidP="00BA222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3018D8F4" w14:textId="72CD78B1" w:rsidR="006E522C" w:rsidRPr="00C52583" w:rsidRDefault="006E522C" w:rsidP="006E522C">
            <w:pPr>
              <w:spacing w:line="48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95" w:type="dxa"/>
          </w:tcPr>
          <w:p w14:paraId="4447C4CF" w14:textId="676391D5" w:rsidR="001A52BF" w:rsidRPr="00C52583" w:rsidRDefault="001A52BF" w:rsidP="006E522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C52583">
              <w:rPr>
                <w:sz w:val="24"/>
                <w:szCs w:val="24"/>
              </w:rPr>
              <w:t xml:space="preserve">Eq. </w:t>
            </w:r>
            <w:r w:rsidR="001C4DFD" w:rsidRPr="00C52583">
              <w:rPr>
                <w:sz w:val="24"/>
                <w:szCs w:val="24"/>
              </w:rPr>
              <w:t>S</w:t>
            </w:r>
            <w:r w:rsidRPr="00C52583">
              <w:rPr>
                <w:sz w:val="24"/>
                <w:szCs w:val="24"/>
              </w:rPr>
              <w:t>1</w:t>
            </w:r>
          </w:p>
        </w:tc>
      </w:tr>
    </w:tbl>
    <w:p w14:paraId="64A8EF59" w14:textId="7F7389A5" w:rsidR="001A52BF" w:rsidRPr="00C52583" w:rsidRDefault="006E522C" w:rsidP="001A52BF">
      <w:pPr>
        <w:rPr>
          <w:bCs/>
        </w:rPr>
      </w:pPr>
      <w:r w:rsidRPr="00C52583">
        <w:t xml:space="preserve">Where </w:t>
      </w:r>
      <w:r w:rsidRPr="00C52583">
        <w:rPr>
          <w:i/>
          <w:iCs/>
        </w:rPr>
        <w:t>ψ</w:t>
      </w:r>
      <w:r w:rsidRPr="00C52583">
        <w:rPr>
          <w:i/>
          <w:iCs/>
        </w:rPr>
        <w:t xml:space="preserve"> </w:t>
      </w:r>
      <w:r w:rsidRPr="00C52583">
        <w:t>can be made a function of covariates using the logit link. I</w:t>
      </w:r>
      <w:r w:rsidR="00C52583" w:rsidRPr="00C52583">
        <w:t>n</w:t>
      </w:r>
      <w:r w:rsidRPr="00C52583">
        <w:t xml:space="preserve"> Eq. S1, </w:t>
      </w:r>
      <w:r w:rsidRPr="00C52583">
        <w:rPr>
          <w:i/>
          <w:iCs/>
        </w:rPr>
        <w:t>a</w:t>
      </w:r>
      <w:r w:rsidRPr="00C52583">
        <w:rPr>
          <w:i/>
          <w:iCs/>
          <w:vertAlign w:val="subscript"/>
        </w:rPr>
        <w:t>0</w:t>
      </w:r>
      <w:r w:rsidRPr="00C52583">
        <w:t xml:space="preserve"> represents the intercept,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C52583">
        <w:rPr>
          <w:rFonts w:eastAsiaTheme="minorEastAsia"/>
          <w:b/>
          <w:bCs/>
        </w:rPr>
        <w:t xml:space="preserve"> </w:t>
      </w:r>
      <w:r w:rsidRPr="00C52583">
        <w:rPr>
          <w:rFonts w:eastAsiaTheme="minorEastAsia"/>
        </w:rPr>
        <w:t xml:space="preserve">is a vector of slope terms, and </w:t>
      </w:r>
      <w:r w:rsidRPr="00C52583">
        <w:rPr>
          <w:rFonts w:eastAsiaTheme="minorEastAsia"/>
          <w:b/>
          <w:bCs/>
          <w:i/>
          <w:iCs/>
        </w:rPr>
        <w:t>q</w:t>
      </w:r>
      <w:r w:rsidRPr="00C52583">
        <w:rPr>
          <w:rFonts w:eastAsiaTheme="minorEastAsia"/>
          <w:b/>
          <w:bCs/>
          <w:i/>
          <w:iCs/>
          <w:vertAlign w:val="subscript"/>
        </w:rPr>
        <w:t>i</w:t>
      </w:r>
      <w:r w:rsidRPr="00C52583">
        <w:rPr>
          <w:rFonts w:eastAsiaTheme="minorEastAsia"/>
          <w:bCs/>
          <w:iCs/>
        </w:rPr>
        <w:t xml:space="preserve"> a conformable vector of covariates to be multiplied by each respective slope term.</w:t>
      </w:r>
    </w:p>
    <w:p w14:paraId="02E6C56F" w14:textId="199BDB8F" w:rsidR="001C4DFD" w:rsidRPr="00C52583" w:rsidRDefault="001C4DFD" w:rsidP="006E522C">
      <w:pPr>
        <w:ind w:firstLine="720"/>
      </w:pPr>
      <w:r w:rsidRPr="00C52583">
        <w:t xml:space="preserve">Following the first season we condition the occupancy status, </w:t>
      </w:r>
      <w:proofErr w:type="spellStart"/>
      <w:proofErr w:type="gramStart"/>
      <w:r w:rsidRPr="00C52583">
        <w:rPr>
          <w:i/>
          <w:iCs/>
        </w:rPr>
        <w:t>z</w:t>
      </w:r>
      <w:r w:rsidRPr="00C52583">
        <w:rPr>
          <w:i/>
          <w:iCs/>
          <w:vertAlign w:val="subscript"/>
        </w:rPr>
        <w:t>i,t</w:t>
      </w:r>
      <w:proofErr w:type="spellEnd"/>
      <w:proofErr w:type="gramEnd"/>
      <w:r w:rsidRPr="00C52583">
        <w:rPr>
          <w:i/>
          <w:iCs/>
        </w:rPr>
        <w:t>,</w:t>
      </w:r>
      <w:r w:rsidRPr="00C52583">
        <w:rPr>
          <w:i/>
          <w:iCs/>
          <w:vertAlign w:val="subscript"/>
        </w:rPr>
        <w:t xml:space="preserve"> </w:t>
      </w:r>
      <w:r w:rsidRPr="00C52583">
        <w:t xml:space="preserve">on the occupancy status in the previous season, </w:t>
      </w:r>
      <w:proofErr w:type="gramStart"/>
      <w:r w:rsidRPr="00C52583">
        <w:rPr>
          <w:i/>
          <w:iCs/>
        </w:rPr>
        <w:t>z</w:t>
      </w:r>
      <w:r w:rsidRPr="00C52583">
        <w:rPr>
          <w:i/>
          <w:iCs/>
          <w:vertAlign w:val="subscript"/>
        </w:rPr>
        <w:t>i,t</w:t>
      </w:r>
      <w:proofErr w:type="gramEnd"/>
      <w:r w:rsidRPr="00C52583">
        <w:rPr>
          <w:i/>
          <w:iCs/>
          <w:vertAlign w:val="subscript"/>
        </w:rPr>
        <w:t>-1</w:t>
      </w:r>
      <w:r w:rsidRPr="00C52583">
        <w:t>. Doing so allows us to separately estimate local colonization (</w:t>
      </w:r>
      <w:proofErr w:type="spellStart"/>
      <w:r w:rsidRPr="00C52583">
        <w:t>γ</w:t>
      </w:r>
      <w:r w:rsidRPr="00C52583">
        <w:rPr>
          <w:vertAlign w:val="subscript"/>
        </w:rPr>
        <w:t>i</w:t>
      </w:r>
      <w:proofErr w:type="spellEnd"/>
      <w:r w:rsidRPr="00C52583">
        <w:t>) and extinction (</w:t>
      </w:r>
      <w:proofErr w:type="spellStart"/>
      <w:r w:rsidRPr="00C52583">
        <w:t>ε</w:t>
      </w:r>
      <w:r w:rsidRPr="00C52583">
        <w:rPr>
          <w:vertAlign w:val="subscript"/>
        </w:rPr>
        <w:t>i</w:t>
      </w:r>
      <w:proofErr w:type="spellEnd"/>
      <w:r w:rsidRPr="00C52583">
        <w:t xml:space="preserve">) probabilities. Thus, </w:t>
      </w:r>
      <w:proofErr w:type="spellStart"/>
      <w:r w:rsidRPr="00C52583">
        <w:t xml:space="preserve">for </w:t>
      </w:r>
      <w:r w:rsidRPr="00C52583">
        <w:rPr>
          <w:i/>
          <w:iCs/>
        </w:rPr>
        <w:t>t</w:t>
      </w:r>
      <w:proofErr w:type="spellEnd"/>
      <w:r w:rsidRPr="00C52583">
        <w:rPr>
          <w:i/>
          <w:iCs/>
        </w:rPr>
        <w:t>&gt;1</w:t>
      </w:r>
      <w:r w:rsidRPr="00C52583">
        <w:t>, the latent state model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1C4DFD" w:rsidRPr="00C52583" w14:paraId="2E8ABD7F" w14:textId="77777777" w:rsidTr="00BA2224">
        <w:tc>
          <w:tcPr>
            <w:tcW w:w="805" w:type="dxa"/>
          </w:tcPr>
          <w:p w14:paraId="021EE1D5" w14:textId="77777777" w:rsidR="001C4DFD" w:rsidRPr="00C52583" w:rsidRDefault="001C4DFD" w:rsidP="00BA222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29AC9CFF" w14:textId="3139C3D0" w:rsidR="001C4DFD" w:rsidRPr="00C52583" w:rsidRDefault="00000000" w:rsidP="00BA2224">
            <w:pPr>
              <w:spacing w:line="480" w:lineRule="auto"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Bernoulli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((1 -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for t &gt; 1</m:t>
                </m:r>
              </m:oMath>
            </m:oMathPara>
          </w:p>
          <w:p w14:paraId="427B4407" w14:textId="52F446BB" w:rsidR="00D97AD1" w:rsidRPr="00C52583" w:rsidRDefault="00D97AD1" w:rsidP="00BA2224">
            <w:pPr>
              <w:spacing w:line="480" w:lineRule="auto"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ν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46860280" w14:textId="36340AFE" w:rsidR="00D97AD1" w:rsidRPr="00C52583" w:rsidRDefault="00D97AD1" w:rsidP="00BA2224">
            <w:pPr>
              <w:spacing w:line="480" w:lineRule="auto"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75CA527C" w14:textId="5621E088" w:rsidR="00D97AD1" w:rsidRPr="00C52583" w:rsidRDefault="00D97AD1" w:rsidP="00BA2224">
            <w:pPr>
              <w:spacing w:line="4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95" w:type="dxa"/>
            <w:vAlign w:val="center"/>
          </w:tcPr>
          <w:p w14:paraId="6DCB6265" w14:textId="28491CAC" w:rsidR="001C4DFD" w:rsidRPr="00C52583" w:rsidRDefault="001C4DFD" w:rsidP="00BA2224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C52583">
              <w:rPr>
                <w:sz w:val="24"/>
                <w:szCs w:val="24"/>
              </w:rPr>
              <w:lastRenderedPageBreak/>
              <w:t>Eq. S2</w:t>
            </w:r>
          </w:p>
        </w:tc>
      </w:tr>
    </w:tbl>
    <w:p w14:paraId="43B83BEC" w14:textId="0EC0097C" w:rsidR="00D97AD1" w:rsidRPr="00C52583" w:rsidRDefault="00D97AD1" w:rsidP="001A52BF">
      <w:r w:rsidRPr="00C52583">
        <w:t xml:space="preserve">Thus, the occupancy status in the previous timestep serves as an indicator variable. If the species is present in the previous timestep then the probability in Eq. S2 simplifies to </w:t>
      </w:r>
      <m:oMath>
        <m:r>
          <w:rPr>
            <w:rFonts w:ascii="Cambria Math" w:hAnsi="Cambria Math"/>
          </w:rPr>
          <m:t xml:space="preserve">1 -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52583">
        <w:rPr>
          <w:rFonts w:eastAsiaTheme="minorEastAsia"/>
        </w:rPr>
        <w:t xml:space="preserve">, which is also known as the persistence probability, </w:t>
      </w:r>
      <w:proofErr w:type="spellStart"/>
      <w:r w:rsidRPr="00C52583">
        <w:rPr>
          <w:rFonts w:eastAsiaTheme="minorEastAsia"/>
        </w:rPr>
        <w:t>φ</w:t>
      </w:r>
      <w:r w:rsidRPr="00C52583">
        <w:rPr>
          <w:rFonts w:eastAsiaTheme="minorEastAsia"/>
          <w:vertAlign w:val="subscript"/>
        </w:rPr>
        <w:t>i</w:t>
      </w:r>
      <w:proofErr w:type="spellEnd"/>
      <w:r w:rsidRPr="00C52583">
        <w:rPr>
          <w:rFonts w:eastAsiaTheme="minorEastAsia"/>
        </w:rPr>
        <w:t xml:space="preserve">. Conversely, if the species is not present, then Eq. S2 simplifies to estimating local colonization, </w:t>
      </w:r>
      <w:proofErr w:type="spellStart"/>
      <w:r w:rsidRPr="00C52583">
        <w:t>γ</w:t>
      </w:r>
      <w:r w:rsidRPr="00C52583">
        <w:rPr>
          <w:vertAlign w:val="subscript"/>
        </w:rPr>
        <w:t>i</w:t>
      </w:r>
      <w:proofErr w:type="spellEnd"/>
      <w:r w:rsidRPr="00C52583">
        <w:t xml:space="preserve">. </w:t>
      </w:r>
      <w:r w:rsidRPr="00C52583">
        <w:t xml:space="preserve">As with Eq. S1, both </w:t>
      </w:r>
      <w:proofErr w:type="spellStart"/>
      <w:r w:rsidRPr="00C52583">
        <w:t>γ</w:t>
      </w:r>
      <w:r w:rsidRPr="00C52583">
        <w:rPr>
          <w:vertAlign w:val="subscript"/>
        </w:rPr>
        <w:t>i</w:t>
      </w:r>
      <w:proofErr w:type="spellEnd"/>
      <w:r w:rsidRPr="00C52583">
        <w:t xml:space="preserve"> and extinction </w:t>
      </w:r>
      <w:proofErr w:type="spellStart"/>
      <w:r w:rsidRPr="00C52583">
        <w:t>ε</w:t>
      </w:r>
      <w:r w:rsidRPr="00C52583">
        <w:rPr>
          <w:vertAlign w:val="subscript"/>
        </w:rPr>
        <w:t>i</w:t>
      </w:r>
      <w:proofErr w:type="spellEnd"/>
      <w:r w:rsidRPr="00C52583">
        <w:t xml:space="preserve"> can be made a function of covariates. For </w:t>
      </w:r>
      <w:proofErr w:type="spellStart"/>
      <w:r w:rsidRPr="00C52583">
        <w:t>γ</w:t>
      </w:r>
      <w:r w:rsidRPr="00C52583">
        <w:rPr>
          <w:vertAlign w:val="subscript"/>
        </w:rPr>
        <w:t>i</w:t>
      </w:r>
      <w:proofErr w:type="spellEnd"/>
      <w:r w:rsidRPr="00C52583">
        <w:t xml:space="preserve">, </w:t>
      </w:r>
      <w:r w:rsidRPr="00C52583">
        <w:rPr>
          <w:i/>
          <w:iCs/>
        </w:rPr>
        <w:t>b</w:t>
      </w:r>
      <w:r w:rsidRPr="00C52583">
        <w:rPr>
          <w:i/>
          <w:iCs/>
          <w:vertAlign w:val="subscript"/>
        </w:rPr>
        <w:t>0</w:t>
      </w:r>
      <w:r w:rsidRPr="00C52583">
        <w:t xml:space="preserve"> is the colonization intercept, </w:t>
      </w:r>
      <w:r w:rsidRPr="00C52583">
        <w:rPr>
          <w:i/>
          <w:iCs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ν</m:t>
        </m:r>
      </m:oMath>
      <w:r w:rsidRPr="00C52583">
        <w:rPr>
          <w:rFonts w:eastAsiaTheme="minorEastAsia"/>
          <w:b/>
          <w:bCs/>
          <w:i/>
        </w:rPr>
        <w:t xml:space="preserve"> </w:t>
      </w:r>
      <w:r w:rsidRPr="00C52583">
        <w:rPr>
          <w:rFonts w:eastAsiaTheme="minorEastAsia"/>
          <w:iCs/>
        </w:rPr>
        <w:t xml:space="preserve">a vector of slope terms, and </w:t>
      </w:r>
      <w:r w:rsidRPr="00C52583">
        <w:rPr>
          <w:rFonts w:eastAsiaTheme="minorEastAsia"/>
          <w:b/>
          <w:bCs/>
          <w:i/>
        </w:rPr>
        <w:t>x</w:t>
      </w:r>
      <w:r w:rsidRPr="00C52583">
        <w:rPr>
          <w:rFonts w:eastAsiaTheme="minorEastAsia"/>
          <w:b/>
          <w:bCs/>
          <w:i/>
          <w:vertAlign w:val="subscript"/>
        </w:rPr>
        <w:t>i</w:t>
      </w:r>
      <w:r w:rsidRPr="00C52583">
        <w:rPr>
          <w:rFonts w:eastAsiaTheme="minorEastAsia"/>
          <w:b/>
          <w:bCs/>
          <w:iCs/>
        </w:rPr>
        <w:t xml:space="preserve"> </w:t>
      </w:r>
      <w:r w:rsidRPr="00C52583">
        <w:rPr>
          <w:rFonts w:eastAsiaTheme="minorEastAsia"/>
          <w:iCs/>
        </w:rPr>
        <w:t xml:space="preserve">a </w:t>
      </w:r>
      <w:r w:rsidR="00C52583">
        <w:rPr>
          <w:rFonts w:eastAsiaTheme="minorEastAsia"/>
          <w:iCs/>
        </w:rPr>
        <w:t xml:space="preserve">conformable </w:t>
      </w:r>
      <w:r w:rsidRPr="00C52583">
        <w:rPr>
          <w:rFonts w:eastAsiaTheme="minorEastAsia"/>
          <w:iCs/>
        </w:rPr>
        <w:t xml:space="preserve">vector of covariates. Likewise,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52583">
        <w:rPr>
          <w:rFonts w:eastAsiaTheme="minorEastAsia"/>
        </w:rPr>
        <w:t xml:space="preserve">, </w:t>
      </w:r>
      <w:r w:rsidRPr="00C52583">
        <w:rPr>
          <w:i/>
          <w:iCs/>
        </w:rPr>
        <w:t>c</w:t>
      </w:r>
      <w:r w:rsidRPr="00C52583">
        <w:rPr>
          <w:i/>
          <w:iCs/>
          <w:vertAlign w:val="subscript"/>
        </w:rPr>
        <w:t>0</w:t>
      </w:r>
      <w:r w:rsidRPr="00C52583">
        <w:t xml:space="preserve"> is the colonization intercept, </w:t>
      </w:r>
      <w:r w:rsidRPr="00C52583">
        <w:rPr>
          <w:i/>
          <w:iCs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vertAlign w:val="subscript"/>
          </w:rPr>
          <m:t>η</m:t>
        </m:r>
      </m:oMath>
      <w:r w:rsidRPr="00C52583">
        <w:rPr>
          <w:rFonts w:eastAsiaTheme="minorEastAsia"/>
          <w:b/>
          <w:bCs/>
          <w:i/>
        </w:rPr>
        <w:t xml:space="preserve"> </w:t>
      </w:r>
      <w:r w:rsidRPr="00C52583">
        <w:rPr>
          <w:rFonts w:eastAsiaTheme="minorEastAsia"/>
          <w:iCs/>
        </w:rPr>
        <w:t xml:space="preserve">a vector of slope terms, and </w:t>
      </w:r>
      <w:proofErr w:type="spellStart"/>
      <w:r w:rsidRPr="00C52583">
        <w:rPr>
          <w:rFonts w:eastAsiaTheme="minorEastAsia"/>
          <w:b/>
          <w:bCs/>
          <w:i/>
        </w:rPr>
        <w:t>y</w:t>
      </w:r>
      <w:r w:rsidRPr="00C52583">
        <w:rPr>
          <w:rFonts w:eastAsiaTheme="minorEastAsia"/>
          <w:b/>
          <w:bCs/>
          <w:i/>
          <w:vertAlign w:val="subscript"/>
        </w:rPr>
        <w:t>i</w:t>
      </w:r>
      <w:proofErr w:type="spellEnd"/>
      <w:r w:rsidRPr="00C52583">
        <w:rPr>
          <w:rFonts w:eastAsiaTheme="minorEastAsia"/>
          <w:b/>
          <w:bCs/>
          <w:iCs/>
        </w:rPr>
        <w:t xml:space="preserve"> </w:t>
      </w:r>
      <w:r w:rsidRPr="00C52583">
        <w:rPr>
          <w:rFonts w:eastAsiaTheme="minorEastAsia"/>
          <w:iCs/>
        </w:rPr>
        <w:t xml:space="preserve">a </w:t>
      </w:r>
      <w:r w:rsidR="00C52583">
        <w:rPr>
          <w:rFonts w:eastAsiaTheme="minorEastAsia"/>
          <w:iCs/>
        </w:rPr>
        <w:t xml:space="preserve">conformable </w:t>
      </w:r>
      <w:r w:rsidRPr="00C52583">
        <w:rPr>
          <w:rFonts w:eastAsiaTheme="minorEastAsia"/>
          <w:iCs/>
        </w:rPr>
        <w:t>vector of covariates</w:t>
      </w:r>
      <w:r w:rsidRPr="00C52583">
        <w:rPr>
          <w:rFonts w:eastAsiaTheme="minorEastAsia"/>
          <w:iCs/>
        </w:rPr>
        <w:t xml:space="preserve">. Note that while I only index the covariates by site, the model does allow for temporal or spatiotemporal covariates, which would just require adding a </w:t>
      </w:r>
      <w:r w:rsidRPr="00C52583">
        <w:rPr>
          <w:rFonts w:eastAsiaTheme="minorEastAsia"/>
          <w:i/>
        </w:rPr>
        <w:t>t</w:t>
      </w:r>
      <w:r w:rsidRPr="00C52583">
        <w:rPr>
          <w:rFonts w:eastAsiaTheme="minorEastAsia"/>
          <w:iCs/>
        </w:rPr>
        <w:t xml:space="preserve"> subscript to those covariate </w:t>
      </w:r>
      <w:r w:rsidR="00C52583">
        <w:rPr>
          <w:rFonts w:eastAsiaTheme="minorEastAsia"/>
          <w:iCs/>
        </w:rPr>
        <w:t>vectors</w:t>
      </w:r>
      <w:r w:rsidRPr="00C52583">
        <w:rPr>
          <w:rFonts w:eastAsiaTheme="minorEastAsia"/>
          <w:iCs/>
        </w:rPr>
        <w:t xml:space="preserve">. </w:t>
      </w:r>
    </w:p>
    <w:p w14:paraId="11004CDC" w14:textId="43F4F1D9" w:rsidR="00866017" w:rsidRPr="00B26F0F" w:rsidRDefault="00B97B6D" w:rsidP="00B26F0F">
      <w:r w:rsidRPr="00C52583">
        <w:t>Eq. S1 and S2 represent the entire latent state of the standard dynamic occupancy model.</w:t>
      </w:r>
      <w:r w:rsidR="00DA21AD" w:rsidRPr="00C52583">
        <w:t xml:space="preserve"> Furthermore, </w:t>
      </w:r>
      <w:r w:rsidR="00C52583">
        <w:t xml:space="preserve">unlike the </w:t>
      </w:r>
      <w:proofErr w:type="spellStart"/>
      <w:r w:rsidR="00C52583">
        <w:t>autologistic</w:t>
      </w:r>
      <w:proofErr w:type="spellEnd"/>
      <w:r w:rsidR="00C52583">
        <w:t xml:space="preserve"> model, Eq. S2</w:t>
      </w:r>
      <w:r w:rsidR="00DA21AD" w:rsidRPr="00C52583">
        <w:t xml:space="preserve"> represents a means parameterization as it models the absolute levels of the logit-scale colonization and extinction probabilities. </w:t>
      </w:r>
      <w:r w:rsidRPr="00C52583">
        <w:t xml:space="preserve">For an </w:t>
      </w:r>
      <w:proofErr w:type="spellStart"/>
      <w:r w:rsidRPr="00C52583">
        <w:t>autologistic</w:t>
      </w:r>
      <w:proofErr w:type="spellEnd"/>
      <w:r w:rsidRPr="00C52583">
        <w:t xml:space="preserve"> model, Eq. S1 is unchanged, we only modify the dynamic equation of S2. First, we replace</w:t>
      </w:r>
      <w:r w:rsidR="00B26F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52583">
        <w:rPr>
          <w:rFonts w:eastAsiaTheme="minorEastAsia"/>
        </w:rPr>
        <w:t xml:space="preserve"> in Eq. S2 with </w:t>
      </w:r>
      <w:proofErr w:type="spellStart"/>
      <w:r w:rsidRPr="00C52583">
        <w:rPr>
          <w:rFonts w:eastAsiaTheme="minorEastAsia"/>
        </w:rPr>
        <w:t>it’s</w:t>
      </w:r>
      <w:proofErr w:type="spellEnd"/>
      <w:r w:rsidRPr="00C52583">
        <w:rPr>
          <w:rFonts w:eastAsiaTheme="minorEastAsia"/>
        </w:rPr>
        <w:t xml:space="preserve"> complement, </w:t>
      </w:r>
      <w:proofErr w:type="spellStart"/>
      <w:r w:rsidRPr="00C52583">
        <w:rPr>
          <w:rFonts w:eastAsiaTheme="minorEastAsia"/>
        </w:rPr>
        <w:t>φ</w:t>
      </w:r>
      <w:r w:rsidRPr="00C52583">
        <w:rPr>
          <w:rFonts w:eastAsiaTheme="minorEastAsia"/>
          <w:vertAlign w:val="subscript"/>
        </w:rPr>
        <w:t>i</w:t>
      </w:r>
      <w:proofErr w:type="spellEnd"/>
      <w:r w:rsidRPr="00C52583">
        <w:rPr>
          <w:rFonts w:eastAsiaTheme="minorEastAsia"/>
        </w:rPr>
        <w:t xml:space="preserve"> so that the equation becomes.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B97B6D" w:rsidRPr="00C52583" w14:paraId="604AB861" w14:textId="77777777" w:rsidTr="00737445">
        <w:tc>
          <w:tcPr>
            <w:tcW w:w="805" w:type="dxa"/>
          </w:tcPr>
          <w:p w14:paraId="4A09692C" w14:textId="77777777" w:rsidR="00B97B6D" w:rsidRPr="00C52583" w:rsidRDefault="00B97B6D" w:rsidP="00737445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6614A535" w14:textId="4C2FCCF7" w:rsidR="00B97B6D" w:rsidRPr="00C52583" w:rsidRDefault="00B97B6D" w:rsidP="00737445">
            <w:pPr>
              <w:spacing w:line="480" w:lineRule="auto"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Bernoulli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)), for t &gt; 1</m:t>
                </m:r>
              </m:oMath>
            </m:oMathPara>
          </w:p>
          <w:p w14:paraId="4112D57E" w14:textId="77777777" w:rsidR="00B97B6D" w:rsidRPr="00C52583" w:rsidRDefault="00B97B6D" w:rsidP="00737445">
            <w:pPr>
              <w:spacing w:line="480" w:lineRule="auto"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ν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178E2CA8" w14:textId="57E22848" w:rsidR="00B97B6D" w:rsidRPr="00C52583" w:rsidRDefault="00B97B6D" w:rsidP="00B97B6D">
            <w:pPr>
              <w:spacing w:line="480" w:lineRule="auto"/>
              <w:jc w:val="center"/>
              <w:rPr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κ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5" w:type="dxa"/>
            <w:vAlign w:val="center"/>
          </w:tcPr>
          <w:p w14:paraId="4453DCCF" w14:textId="26055CE8" w:rsidR="00B97B6D" w:rsidRPr="00C52583" w:rsidRDefault="00B97B6D" w:rsidP="0073744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C52583">
              <w:rPr>
                <w:sz w:val="24"/>
                <w:szCs w:val="24"/>
              </w:rPr>
              <w:t>Eq. S</w:t>
            </w:r>
            <w:r w:rsidR="006C2F10" w:rsidRPr="00C52583">
              <w:rPr>
                <w:sz w:val="24"/>
                <w:szCs w:val="24"/>
              </w:rPr>
              <w:t>3</w:t>
            </w:r>
          </w:p>
        </w:tc>
      </w:tr>
    </w:tbl>
    <w:p w14:paraId="6076D655" w14:textId="28933335" w:rsidR="00B97B6D" w:rsidRPr="00C52583" w:rsidRDefault="00905DDA" w:rsidP="001A52BF">
      <w:pPr>
        <w:rPr>
          <w:rFonts w:eastAsiaTheme="minorEastAsia"/>
        </w:rPr>
      </w:pPr>
      <w:r w:rsidRPr="00C52583">
        <w:rPr>
          <w:rFonts w:eastAsiaTheme="minorEastAsia"/>
        </w:rPr>
        <w:t xml:space="preserve">Where </w:t>
      </w:r>
      <w:r w:rsidRPr="00C52583">
        <w:rPr>
          <w:rFonts w:eastAsiaTheme="minorEastAsia"/>
          <w:i/>
          <w:iCs/>
        </w:rPr>
        <w:t>d</w:t>
      </w:r>
      <w:r w:rsidRPr="00C52583">
        <w:rPr>
          <w:rFonts w:eastAsiaTheme="minorEastAsia"/>
          <w:i/>
          <w:iCs/>
          <w:vertAlign w:val="subscript"/>
        </w:rPr>
        <w:t>0</w:t>
      </w:r>
      <w:r w:rsidRPr="00C52583">
        <w:rPr>
          <w:rFonts w:eastAsiaTheme="minorEastAsia"/>
          <w:iCs/>
        </w:rPr>
        <w:t xml:space="preserve"> is the persistence intercept, </w:t>
      </w:r>
      <m:oMath>
        <m:r>
          <m:rPr>
            <m:sty m:val="bi"/>
          </m:rPr>
          <w:rPr>
            <w:rFonts w:ascii="Cambria Math" w:hAnsi="Cambria Math"/>
          </w:rPr>
          <m:t>κ</m:t>
        </m:r>
      </m:oMath>
      <w:r w:rsidRPr="00C52583">
        <w:rPr>
          <w:rFonts w:eastAsiaTheme="minorEastAsia"/>
          <w:b/>
          <w:bCs/>
        </w:rPr>
        <w:t xml:space="preserve"> </w:t>
      </w:r>
      <w:r w:rsidRPr="00C52583">
        <w:rPr>
          <w:rFonts w:eastAsiaTheme="minorEastAsia"/>
        </w:rPr>
        <w:t xml:space="preserve">is a vector of slope terms, and </w:t>
      </w:r>
      <w:proofErr w:type="spellStart"/>
      <w:r w:rsidRPr="00C52583">
        <w:rPr>
          <w:rFonts w:eastAsiaTheme="minorEastAsia"/>
          <w:b/>
          <w:bCs/>
          <w:i/>
          <w:iCs/>
        </w:rPr>
        <w:t>y</w:t>
      </w:r>
      <w:r w:rsidRPr="00C52583">
        <w:rPr>
          <w:rFonts w:eastAsiaTheme="minorEastAsia"/>
          <w:b/>
          <w:bCs/>
          <w:i/>
          <w:iCs/>
          <w:vertAlign w:val="subscript"/>
        </w:rPr>
        <w:t>i</w:t>
      </w:r>
      <w:proofErr w:type="spellEnd"/>
      <w:r w:rsidR="00DA21AD" w:rsidRPr="00C52583">
        <w:rPr>
          <w:rFonts w:eastAsiaTheme="minorEastAsia"/>
        </w:rPr>
        <w:t xml:space="preserve"> is a conformable vector of covariates. </w:t>
      </w:r>
      <w:r w:rsidRPr="00C52583">
        <w:rPr>
          <w:rFonts w:eastAsiaTheme="minorEastAsia"/>
        </w:rPr>
        <w:t xml:space="preserve">At this stage, we have the pieces in place to construct the </w:t>
      </w:r>
      <w:proofErr w:type="spellStart"/>
      <w:r w:rsidRPr="00C52583">
        <w:rPr>
          <w:rFonts w:eastAsiaTheme="minorEastAsia"/>
        </w:rPr>
        <w:t>autologistic</w:t>
      </w:r>
      <w:proofErr w:type="spellEnd"/>
      <w:r w:rsidRPr="00C52583">
        <w:rPr>
          <w:rFonts w:eastAsiaTheme="minorEastAsia"/>
        </w:rPr>
        <w:t xml:space="preserve"> term in our model. </w:t>
      </w:r>
      <w:r w:rsidR="00DA21AD" w:rsidRPr="00C52583">
        <w:rPr>
          <w:rFonts w:eastAsiaTheme="minorEastAsia"/>
        </w:rPr>
        <w:t xml:space="preserve">First, we need to change the model to move from a means parameterization to a </w:t>
      </w:r>
      <w:proofErr w:type="gramStart"/>
      <w:r w:rsidR="00DA21AD" w:rsidRPr="00C52583">
        <w:rPr>
          <w:rFonts w:eastAsiaTheme="minorEastAsia"/>
        </w:rPr>
        <w:t>difference</w:t>
      </w:r>
      <w:proofErr w:type="gramEnd"/>
      <w:r w:rsidR="00DA21AD" w:rsidRPr="00C52583">
        <w:rPr>
          <w:rFonts w:eastAsiaTheme="minorEastAsia"/>
        </w:rPr>
        <w:t xml:space="preserve"> parameterization. Thus, l</w:t>
      </w:r>
      <w:r w:rsidRPr="00C52583">
        <w:rPr>
          <w:rFonts w:eastAsiaTheme="minorEastAsia"/>
        </w:rPr>
        <w:t>et</w:t>
      </w:r>
      <w:r w:rsidR="00DA21AD" w:rsidRPr="00C52583">
        <w:rPr>
          <w:rFonts w:eastAsiaTheme="minorEastAsia"/>
        </w:rPr>
        <w:t xml:space="preserve"> our </w:t>
      </w:r>
      <w:proofErr w:type="spellStart"/>
      <w:r w:rsidR="00DA21AD" w:rsidRPr="00C52583">
        <w:rPr>
          <w:rFonts w:eastAsiaTheme="minorEastAsia"/>
        </w:rPr>
        <w:t>autologistic</w:t>
      </w:r>
      <w:proofErr w:type="spellEnd"/>
      <w:r w:rsidR="00DA21AD" w:rsidRPr="00C52583">
        <w:rPr>
          <w:rFonts w:eastAsiaTheme="minorEastAsia"/>
        </w:rPr>
        <w:t xml:space="preserve"> term</w:t>
      </w:r>
      <w:r w:rsidRPr="00C52583">
        <w:rPr>
          <w:rFonts w:eastAsiaTheme="minorEastAsia"/>
        </w:rPr>
        <w:t xml:space="preserve"> ϑ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A21AD" w:rsidRPr="00C52583">
        <w:rPr>
          <w:rFonts w:eastAsiaTheme="minorEastAsia"/>
        </w:rPr>
        <w:t>.</w:t>
      </w:r>
      <w:r w:rsidR="00B26F0F">
        <w:rPr>
          <w:rFonts w:eastAsiaTheme="minorEastAsia"/>
        </w:rPr>
        <w:t xml:space="preserve"> In other words,</w:t>
      </w:r>
      <w:r w:rsidR="00B26F0F" w:rsidRPr="00B26F0F">
        <w:rPr>
          <w:rFonts w:eastAsiaTheme="minorEastAsia"/>
        </w:rPr>
        <w:t xml:space="preserve"> </w:t>
      </w:r>
      <w:r w:rsidR="00B26F0F" w:rsidRPr="00C52583">
        <w:rPr>
          <w:rFonts w:eastAsiaTheme="minorEastAsia"/>
        </w:rPr>
        <w:t>ϑ</w:t>
      </w:r>
      <w:r w:rsidR="00B26F0F">
        <w:rPr>
          <w:rFonts w:eastAsiaTheme="minorEastAsia"/>
        </w:rPr>
        <w:t xml:space="preserve"> represents the difference between the colonization intercept and the persistence intercept, hence the term difference parameterization. </w:t>
      </w:r>
      <w:r w:rsidR="00DA21AD" w:rsidRPr="00C52583">
        <w:rPr>
          <w:rFonts w:eastAsiaTheme="minorEastAsia"/>
        </w:rPr>
        <w:t xml:space="preserve"> Second, we assume that covariates affect colonization and persistence in identical ways. As such,  </w:t>
      </w:r>
      <m:oMath>
        <m:r>
          <m:rPr>
            <m:sty m:val="bi"/>
          </m:rPr>
          <w:rPr>
            <w:rFonts w:ascii="Cambria Math" w:hAnsi="Cambria Math"/>
          </w:rPr>
          <m:t>ν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</w:rPr>
          <m:t>κ</m:t>
        </m:r>
      </m:oMath>
      <w:r w:rsidR="008A1AA7" w:rsidRPr="00C52583">
        <w:rPr>
          <w:rFonts w:eastAsiaTheme="minorEastAsia"/>
          <w:b/>
          <w:bCs/>
        </w:rPr>
        <w:t xml:space="preserve"> </w:t>
      </w:r>
      <w:r w:rsidR="008A1AA7" w:rsidRPr="00C5258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8A1AA7" w:rsidRPr="00C52583">
        <w:rPr>
          <w:rFonts w:eastAsiaTheme="minorEastAsia"/>
          <w:b/>
          <w:bCs/>
        </w:rPr>
        <w:t xml:space="preserve"> </w:t>
      </w:r>
      <w:r w:rsidR="008A1AA7" w:rsidRPr="00C52583">
        <w:rPr>
          <w:rFonts w:eastAsiaTheme="minorEastAsia"/>
        </w:rPr>
        <w:t>=</w:t>
      </w:r>
      <w:r w:rsidR="008A1AA7" w:rsidRPr="00C52583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8A1AA7" w:rsidRPr="00C52583">
        <w:rPr>
          <w:rFonts w:eastAsiaTheme="minorEastAsia"/>
        </w:rPr>
        <w:t xml:space="preserve">. In other words, we use the same covariates for colonization and persistence. </w:t>
      </w:r>
      <w:r w:rsidR="00B26F0F">
        <w:rPr>
          <w:rFonts w:eastAsiaTheme="minorEastAsia"/>
        </w:rPr>
        <w:t>W</w:t>
      </w:r>
      <w:r w:rsidR="008A1AA7" w:rsidRPr="00C52583">
        <w:rPr>
          <w:rFonts w:eastAsiaTheme="minorEastAsia"/>
        </w:rPr>
        <w:t xml:space="preserve">ith a few algebraic manipulations the model </w:t>
      </w:r>
      <w:r w:rsidR="00C52583" w:rsidRPr="00C52583">
        <w:rPr>
          <w:rFonts w:eastAsiaTheme="minorEastAsia"/>
        </w:rPr>
        <w:t xml:space="preserve">moves from </w:t>
      </w:r>
      <w:proofErr w:type="spellStart"/>
      <w:proofErr w:type="gramStart"/>
      <w:r w:rsidR="00C52583" w:rsidRPr="00C52583">
        <w:rPr>
          <w:rFonts w:eastAsiaTheme="minorEastAsia"/>
        </w:rPr>
        <w:t>it’s</w:t>
      </w:r>
      <w:proofErr w:type="spellEnd"/>
      <w:proofErr w:type="gramEnd"/>
      <w:r w:rsidR="00C52583" w:rsidRPr="00C52583">
        <w:rPr>
          <w:rFonts w:eastAsiaTheme="minorEastAsia"/>
        </w:rPr>
        <w:t xml:space="preserve"> standard dynamic parameterization to an </w:t>
      </w:r>
      <w:proofErr w:type="spellStart"/>
      <w:r w:rsidR="00C52583" w:rsidRPr="00C52583">
        <w:rPr>
          <w:rFonts w:eastAsiaTheme="minorEastAsia"/>
        </w:rPr>
        <w:t>autologistic</w:t>
      </w:r>
      <w:proofErr w:type="spellEnd"/>
      <w:r w:rsidR="00C52583" w:rsidRPr="00C52583">
        <w:rPr>
          <w:rFonts w:eastAsiaTheme="minorEastAsia"/>
        </w:rPr>
        <w:t xml:space="preserve">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8A1AA7" w:rsidRPr="00C52583" w14:paraId="278CF57F" w14:textId="77777777" w:rsidTr="00737445">
        <w:tc>
          <w:tcPr>
            <w:tcW w:w="805" w:type="dxa"/>
          </w:tcPr>
          <w:p w14:paraId="573B6D56" w14:textId="77777777" w:rsidR="008A1AA7" w:rsidRPr="00C52583" w:rsidRDefault="008A1AA7" w:rsidP="00737445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0E44C597" w14:textId="173EC3B1" w:rsidR="008A1AA7" w:rsidRPr="00C52583" w:rsidRDefault="00B26F0F" w:rsidP="00737445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 standard parameterization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Bernoulli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(1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for t &gt; 1</m:t>
                </m:r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</m:oMathPara>
            <w:r>
              <w:rPr>
                <w:rFonts w:eastAsiaTheme="minorEastAsia"/>
                <w:sz w:val="24"/>
                <w:szCs w:val="24"/>
              </w:rPr>
              <w:t xml:space="preserve">Multiply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through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(1 -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i,t-1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5E21C148" w14:textId="544E30A7" w:rsidR="008A1AA7" w:rsidRPr="00C52583" w:rsidRDefault="008A1AA7" w:rsidP="008A1AA7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Bernoulli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for t &gt; 1</m:t>
                </m:r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</m:oMathPara>
            <w:r w:rsidR="00B26F0F">
              <w:rPr>
                <w:rFonts w:eastAsiaTheme="minorEastAsia"/>
                <w:sz w:val="24"/>
                <w:szCs w:val="24"/>
              </w:rPr>
              <w:t xml:space="preserve">Factor the terms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i,t-1</m:t>
                  </m:r>
                </m:sub>
              </m:sSub>
            </m:oMath>
          </w:p>
          <w:p w14:paraId="1DDE5FF9" w14:textId="15712067" w:rsidR="008A1AA7" w:rsidRPr="00C52583" w:rsidRDefault="008A1AA7" w:rsidP="00737445">
            <w:pPr>
              <w:spacing w:line="480" w:lineRule="auto"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Bernoulli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 for t &gt; 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</m:oMathPara>
          </w:p>
          <w:p w14:paraId="7714A43A" w14:textId="1C4423A1" w:rsidR="008A1AA7" w:rsidRPr="00C52583" w:rsidRDefault="008A1AA7" w:rsidP="00737445">
            <w:pPr>
              <w:spacing w:line="480" w:lineRule="auto"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ν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6DED3DED" w14:textId="1BC9833B" w:rsidR="008A1AA7" w:rsidRPr="00C52583" w:rsidRDefault="008A1AA7" w:rsidP="00737445">
            <w:pPr>
              <w:spacing w:line="480" w:lineRule="auto"/>
              <w:jc w:val="center"/>
              <w:rPr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895" w:type="dxa"/>
            <w:vAlign w:val="center"/>
          </w:tcPr>
          <w:p w14:paraId="416DACDA" w14:textId="2A54619E" w:rsidR="008A1AA7" w:rsidRPr="00C52583" w:rsidRDefault="008A1AA7" w:rsidP="0073744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C52583">
              <w:rPr>
                <w:sz w:val="24"/>
                <w:szCs w:val="24"/>
              </w:rPr>
              <w:t>Eq. S</w:t>
            </w:r>
            <w:r w:rsidR="00C52583" w:rsidRPr="00C52583">
              <w:rPr>
                <w:sz w:val="24"/>
                <w:szCs w:val="24"/>
              </w:rPr>
              <w:t>$</w:t>
            </w:r>
          </w:p>
        </w:tc>
      </w:tr>
    </w:tbl>
    <w:p w14:paraId="38029C85" w14:textId="0E8543E5" w:rsidR="008A1AA7" w:rsidRDefault="00C52583" w:rsidP="001A52BF">
      <w:pPr>
        <w:rPr>
          <w:rFonts w:eastAsiaTheme="minorEastAsia"/>
        </w:rPr>
      </w:pPr>
      <w:r w:rsidRPr="00C52583">
        <w:rPr>
          <w:rFonts w:eastAsiaTheme="minorEastAsia"/>
        </w:rPr>
        <w:t xml:space="preserve">Inputting the logit-linear predictors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+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i,t-1</m:t>
            </m:r>
          </m:sub>
        </m:sSub>
      </m:oMath>
      <w:r w:rsidRPr="00C52583">
        <w:rPr>
          <w:rFonts w:eastAsiaTheme="minorEastAsia"/>
        </w:rPr>
        <w:t xml:space="preserve"> </w:t>
      </w:r>
      <w:r w:rsidR="00B26F0F">
        <w:rPr>
          <w:rFonts w:eastAsiaTheme="minorEastAsia"/>
        </w:rPr>
        <w:t xml:space="preserve">and canceling out the additional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26F0F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ν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26F0F">
        <w:rPr>
          <w:rFonts w:eastAsiaTheme="minorEastAsia"/>
          <w:b/>
          <w:bCs/>
        </w:rPr>
        <w:t xml:space="preserve"> </w:t>
      </w:r>
      <w:r w:rsidR="00B26F0F">
        <w:rPr>
          <w:rFonts w:eastAsiaTheme="minorEastAsia"/>
        </w:rPr>
        <w:t xml:space="preserve">terms </w:t>
      </w:r>
      <w:r w:rsidRPr="00C52583">
        <w:rPr>
          <w:rFonts w:eastAsiaTheme="minorEastAsia"/>
        </w:rPr>
        <w:t xml:space="preserve">results in a logit-linear predictor that is </w:t>
      </w:r>
      <w:r w:rsidR="00B26F0F">
        <w:rPr>
          <w:rFonts w:eastAsiaTheme="minorEastAsia"/>
        </w:rPr>
        <w:t xml:space="preserve">essentially </w:t>
      </w:r>
      <w:r w:rsidRPr="00C52583">
        <w:rPr>
          <w:rFonts w:eastAsiaTheme="minorEastAsia"/>
        </w:rPr>
        <w:t xml:space="preserve">identical to the </w:t>
      </w:r>
      <w:proofErr w:type="spellStart"/>
      <w:r w:rsidRPr="00C52583">
        <w:rPr>
          <w:rFonts w:eastAsiaTheme="minorEastAsia"/>
        </w:rPr>
        <w:t>autologistic</w:t>
      </w:r>
      <w:proofErr w:type="spellEnd"/>
      <w:r w:rsidRPr="00C52583">
        <w:rPr>
          <w:rFonts w:eastAsiaTheme="minorEastAsia"/>
        </w:rPr>
        <w:t xml:space="preserve"> parameterization of the manuscript</w:t>
      </w:r>
      <w:r w:rsidR="00B26F0F">
        <w:rPr>
          <w:rFonts w:eastAsiaTheme="minorEastAsia"/>
        </w:rPr>
        <w:t xml:space="preserve"> (Eq. S2)</w:t>
      </w:r>
      <w:r w:rsidRPr="00C5258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r>
          <m:rPr>
            <m:sty m:val="bi"/>
          </m:rP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i,t-1</m:t>
            </m:r>
          </m:sub>
        </m:sSub>
      </m:oMath>
      <w:r w:rsidRPr="00C52583">
        <w:rPr>
          <w:rFonts w:eastAsiaTheme="minorEastAsia"/>
        </w:rPr>
        <w:t>.</w:t>
      </w:r>
      <w:r w:rsidR="00B26F0F">
        <w:rPr>
          <w:rFonts w:eastAsiaTheme="minorEastAsia"/>
        </w:rPr>
        <w:t xml:space="preserve"> To make it fully identical, the </w:t>
      </w:r>
      <w:proofErr w:type="gramStart"/>
      <w:r w:rsidR="00B26F0F">
        <w:rPr>
          <w:rFonts w:eastAsiaTheme="minorEastAsia"/>
        </w:rPr>
        <w:t>intercept</w:t>
      </w:r>
      <w:proofErr w:type="gramEnd"/>
      <w:r w:rsidR="00B26F0F">
        <w:rPr>
          <w:rFonts w:eastAsiaTheme="minorEastAsia"/>
        </w:rPr>
        <w:t xml:space="preserve"> would need to be included within the vector of slope terms and a 1 would be added to the start of the covariate vector.</w:t>
      </w:r>
    </w:p>
    <w:p w14:paraId="656BCDA1" w14:textId="77777777" w:rsidR="000B0B8C" w:rsidRDefault="000B0B8C" w:rsidP="001A52BF">
      <w:pPr>
        <w:rPr>
          <w:rFonts w:eastAsiaTheme="minorEastAsia"/>
        </w:rPr>
      </w:pPr>
    </w:p>
    <w:p w14:paraId="0F2A10B1" w14:textId="6A0D2222" w:rsidR="00C52583" w:rsidRPr="00C52583" w:rsidRDefault="00C52583" w:rsidP="001A52BF">
      <w:pPr>
        <w:rPr>
          <w:rFonts w:eastAsiaTheme="minorEastAsia"/>
        </w:rPr>
      </w:pPr>
    </w:p>
    <w:sectPr w:rsidR="00C52583" w:rsidRPr="00C5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BF"/>
    <w:rsid w:val="000B0B8C"/>
    <w:rsid w:val="001A52BF"/>
    <w:rsid w:val="001C4DFD"/>
    <w:rsid w:val="00236A6B"/>
    <w:rsid w:val="003D5F09"/>
    <w:rsid w:val="0065165D"/>
    <w:rsid w:val="006C2F10"/>
    <w:rsid w:val="006E522C"/>
    <w:rsid w:val="007B4962"/>
    <w:rsid w:val="007C714C"/>
    <w:rsid w:val="00835ECC"/>
    <w:rsid w:val="00866017"/>
    <w:rsid w:val="008A1AA7"/>
    <w:rsid w:val="00905DDA"/>
    <w:rsid w:val="00B26F0F"/>
    <w:rsid w:val="00B97B6D"/>
    <w:rsid w:val="00C52583"/>
    <w:rsid w:val="00D97AD1"/>
    <w:rsid w:val="00DA21AD"/>
    <w:rsid w:val="00E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936B"/>
  <w15:chartTrackingRefBased/>
  <w15:docId w15:val="{1AF14A3A-2650-4EFC-A006-DF58FC0B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2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52B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2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3</cp:revision>
  <dcterms:created xsi:type="dcterms:W3CDTF">2025-09-03T18:09:00Z</dcterms:created>
  <dcterms:modified xsi:type="dcterms:W3CDTF">2025-09-05T18:20:00Z</dcterms:modified>
</cp:coreProperties>
</file>