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6273D453" w:rsidR="00693AFB" w:rsidRDefault="00F36728">
      <w:r>
        <w:t xml:space="preserve">Estimating species occupancy </w:t>
      </w:r>
      <w:r w:rsidR="00FD008D">
        <w:t>across multiple sampling seasons</w:t>
      </w:r>
      <w:r>
        <w:t xml:space="preserve"> with the </w:t>
      </w:r>
      <w:proofErr w:type="spellStart"/>
      <w:r w:rsidRPr="00FD008D">
        <w:rPr>
          <w:rFonts w:ascii="Lucida Console" w:hAnsi="Lucida Console"/>
        </w:rP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22E4331C" w14:textId="64188633" w:rsidR="00D75B7E" w:rsidRDefault="00AB341E" w:rsidP="00C26CE2">
      <w:r>
        <w:t xml:space="preserve">The sampling protocol for </w:t>
      </w:r>
      <w:proofErr w:type="spellStart"/>
      <w:r>
        <w:t>a</w:t>
      </w:r>
      <w:r w:rsidR="005F5D59">
        <w:t>utologistic</w:t>
      </w:r>
      <w:proofErr w:type="spellEnd"/>
      <w:r w:rsidR="005F5D59">
        <w:t xml:space="preserve"> occupancy models </w:t>
      </w:r>
      <w:r>
        <w:t>is identical to the multi-season protocol developed by</w:t>
      </w:r>
      <w:r w:rsidR="005F5D59">
        <w:t xml:space="preserve"> </w:t>
      </w:r>
      <w:proofErr w:type="spellStart"/>
      <w:r w:rsidR="005F5D59">
        <w:t>MacKenzie</w:t>
      </w:r>
      <w:proofErr w:type="spellEnd"/>
      <w:r w:rsidR="005F5D59">
        <w:t xml:space="preserve"> et al. </w:t>
      </w:r>
      <w:r>
        <w:t>(</w:t>
      </w:r>
      <w:r w:rsidR="005F5D59">
        <w:t>2003)</w:t>
      </w:r>
      <w:r>
        <w:t>, where</w:t>
      </w:r>
      <w:r w:rsidR="005F5D59">
        <w:t xml:space="preserve"> </w:t>
      </w:r>
      <w:r>
        <w:t>d</w:t>
      </w:r>
      <w:r w:rsidR="005F5D59">
        <w:t xml:space="preserve">ata is collected by surveying some number of sites over </w:t>
      </w:r>
      <w:r w:rsidR="00DD1D2D">
        <w:t>multiple sampling periods (e.g., years)</w:t>
      </w:r>
      <w:r w:rsidR="005F5D59">
        <w:t xml:space="preserve"> to collect information on the presence or absence of the species of interest at those sites</w:t>
      </w:r>
      <w:r w:rsidR="00DD1D2D">
        <w:t xml:space="preserve"> over time</w:t>
      </w:r>
      <w:r w:rsidR="005F5D59">
        <w:t xml:space="preserve">. We assume that while the occupancy status of the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 survey at a site.</w:t>
      </w:r>
      <w:r>
        <w:t xml:space="preserve"> </w:t>
      </w:r>
      <w:r w:rsidR="005F5D59">
        <w:t xml:space="preserve"> We assume that the techniques used to sample the species of interest can result in </w:t>
      </w:r>
      <w:r>
        <w:t>false negatives</w:t>
      </w:r>
      <w:r w:rsidR="005F5D59">
        <w:t xml:space="preserve"> (i.e., a species is present but not detected) but does not </w:t>
      </w:r>
      <w:r>
        <w:t xml:space="preserve">false positives (i.e., the species is not present but was </w:t>
      </w:r>
      <w:r w:rsidR="00DD1D2D">
        <w:t>mistakenly</w:t>
      </w:r>
      <w:r>
        <w:t xml:space="preserve"> detected). </w:t>
      </w:r>
    </w:p>
    <w:p w14:paraId="4610F26F" w14:textId="08D4C80F" w:rsidR="00605B10" w:rsidRPr="00605B10" w:rsidRDefault="00755356" w:rsidP="00B212BE">
      <w:pPr>
        <w:ind w:firstLine="720"/>
      </w:pPr>
      <w:proofErr w:type="spellStart"/>
      <w:r>
        <w:t>A</w:t>
      </w:r>
      <w:r w:rsidR="00DD1D2D">
        <w:t>utologistic</w:t>
      </w:r>
      <w:proofErr w:type="spellEnd"/>
      <w:r w:rsidR="00DD1D2D">
        <w:t xml:space="preserve"> occupancy models </w:t>
      </w:r>
      <w:r w:rsidR="0044412C">
        <w:t>three more</w:t>
      </w:r>
      <w:r>
        <w:t xml:space="preserve"> </w:t>
      </w:r>
      <w:r>
        <w:t xml:space="preserve">assumptions </w:t>
      </w:r>
      <w:r>
        <w:t xml:space="preserve">in addition to those </w:t>
      </w:r>
      <w:r>
        <w:t>listed above,</w:t>
      </w:r>
      <w:r w:rsidR="00DD1D2D">
        <w:t>.</w:t>
      </w:r>
      <w:r w:rsidR="00B212BE">
        <w:t xml:space="preserve"> First</w:t>
      </w:r>
      <w:r w:rsidR="00605B10">
        <w:t xml:space="preserve">, we assume all sampled sites are </w:t>
      </w:r>
      <w:r w:rsidR="00DD1D2D">
        <w:t xml:space="preserve">spatially </w:t>
      </w:r>
      <w:r w:rsidR="00605B10">
        <w:t>independent</w:t>
      </w:r>
      <w:r w:rsidR="00DD1D2D">
        <w:t>. Thus, the presence of a species at a site does not influence species presence at other locations nor does the detection of a species at a site have an influence on detecting the species on other surveys</w:t>
      </w:r>
      <w:r w:rsidR="00605B10">
        <w:t>.</w:t>
      </w:r>
      <w:r w:rsidR="006019C0">
        <w:t xml:space="preserve"> </w:t>
      </w:r>
      <w:r w:rsidR="00B212BE">
        <w:t>Second</w:t>
      </w:r>
      <w:r w:rsidR="00605B10">
        <w:t xml:space="preserve">, </w:t>
      </w:r>
      <w:r w:rsidR="00DD1D2D">
        <w:t xml:space="preserve">while </w:t>
      </w:r>
      <w:proofErr w:type="spellStart"/>
      <w:r w:rsidR="00DD1D2D">
        <w:t>autologisistic</w:t>
      </w:r>
      <w:proofErr w:type="spellEnd"/>
      <w:r w:rsidR="00DD1D2D">
        <w:t xml:space="preserve"> occupancy models assume spatial independence, </w:t>
      </w:r>
      <w:r w:rsidR="0044412C">
        <w:t>it does account for some</w:t>
      </w:r>
      <w:r w:rsidR="00DD1D2D">
        <w:t xml:space="preserve"> temporal dependence within the data. More specifically, </w:t>
      </w:r>
      <w:proofErr w:type="spellStart"/>
      <w:r w:rsidR="00605B10">
        <w:t>autologistic</w:t>
      </w:r>
      <w:proofErr w:type="spellEnd"/>
      <w:r w:rsidR="00605B10">
        <w:t xml:space="preserve"> occupancy models include a first-order autoregressive term to account for whether the presence of a species in one time period </w:t>
      </w:r>
      <w:r w:rsidR="00B212BE">
        <w:t xml:space="preserve">influences the occupancy status </w:t>
      </w:r>
      <w:r w:rsidR="00605B10">
        <w:t xml:space="preserve">in the following time period. </w:t>
      </w:r>
      <w:r w:rsidR="0044412C">
        <w:t>However, we still assume</w:t>
      </w:r>
      <w:r w:rsidR="00605B10">
        <w:t xml:space="preserve"> 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 second</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B212BE">
        <w:t>Third</w:t>
      </w:r>
      <w:r w:rsidR="00D75B7E">
        <w:t xml:space="preserve">, </w:t>
      </w:r>
      <w:proofErr w:type="spellStart"/>
      <w:r w:rsidR="00CF39D0">
        <w:t>autologistic</w:t>
      </w:r>
      <w:proofErr w:type="spellEnd"/>
      <w:r w:rsidR="00CF39D0">
        <w:t xml:space="preserve">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38F140F7" w:rsidR="00F36728" w:rsidRDefault="00F36728" w:rsidP="00F36728">
      <w:r>
        <w:t xml:space="preserve">The simplest way to describe this class of statistical model is with a latent binary variable that denotes whether the species of interest is present </w:t>
      </w:r>
      <w:r w:rsidR="00130DF5">
        <w:t xml:space="preserve">or not </w:t>
      </w:r>
      <w:r>
        <w:t xml:space="preserve">at a sampled location.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rsidR="00FD008D">
        <w:t>,</w:t>
      </w:r>
      <w:r w:rsidR="00755356">
        <w:t xml:space="preserve"> </w:t>
      </w:r>
      <w:r w:rsidR="00FD008D">
        <w:t xml:space="preserve">this is the simplest way to understand how </w:t>
      </w:r>
      <w:r>
        <w:t xml:space="preserve">the </w:t>
      </w:r>
      <w:proofErr w:type="spellStart"/>
      <w:r>
        <w:t>autologistic</w:t>
      </w:r>
      <w:proofErr w:type="spellEnd"/>
      <w:r>
        <w:t xml:space="preserve"> term, </w:t>
      </w:r>
      <w:r w:rsidR="008B5549" w:rsidRPr="00F36728">
        <w:rPr>
          <w:i/>
          <w:iCs/>
        </w:rPr>
        <w:t>θ</w:t>
      </w:r>
      <w:r>
        <w:t>, is used</w:t>
      </w:r>
      <w:r w:rsidR="00FD008D">
        <w:t xml:space="preserve"> in the model</w:t>
      </w:r>
      <w:r>
        <w:t xml:space="preserve">. Thus, for </w:t>
      </w:r>
      <w:proofErr w:type="spellStart"/>
      <w:r>
        <w:rPr>
          <w:i/>
          <w:iCs/>
        </w:rPr>
        <w:t>i</w:t>
      </w:r>
      <w:proofErr w:type="spellEnd"/>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 </w:t>
      </w:r>
      <w:r w:rsidR="00FD008D">
        <w:t xml:space="preserve">binary </w:t>
      </w:r>
      <w:r w:rsidR="00130DF5">
        <w:t xml:space="preserve">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6D22054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5277AEFB"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459786D4"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w:t>
      </w:r>
      <w:r w:rsidR="00FD008D">
        <w:rPr>
          <w:rFonts w:eastAsiaTheme="minorEastAsia"/>
        </w:rPr>
        <w:t>is</w:t>
      </w:r>
      <w:r w:rsidR="004A7AC7">
        <w:rPr>
          <w:rFonts w:eastAsiaTheme="minorEastAsia"/>
        </w:rPr>
        <w:t xml:space="preserv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w:t>
      </w:r>
      <w:proofErr w:type="spellStart"/>
      <w:r w:rsidR="004A7AC7">
        <w:rPr>
          <w:rFonts w:eastAsiaTheme="minorEastAsia"/>
        </w:rPr>
        <w:t>autologistic</w:t>
      </w:r>
      <w:proofErr w:type="spellEnd"/>
      <w:r w:rsidR="004A7AC7">
        <w:rPr>
          <w:rFonts w:eastAsiaTheme="minorEastAsia"/>
        </w:rPr>
        <w:t xml:space="preserve">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00E0E1F7"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3CED8E3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3B7E5C8D" w:rsidR="00792F04" w:rsidRPr="00A57D9C" w:rsidRDefault="00A57D9C" w:rsidP="00693AFB">
      <w:pPr>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r w:rsidR="004050B6">
        <w:rPr>
          <w:rFonts w:eastAsiaTheme="minorEastAsia"/>
          <w:i/>
          <w:vertAlign w:val="subscript"/>
        </w:rPr>
        <w:t>i,t</w:t>
      </w:r>
      <w:proofErr w:type="spell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w:t>
      </w:r>
      <w:proofErr w:type="spellStart"/>
      <w:r>
        <w:rPr>
          <w:rFonts w:eastAsiaTheme="minorEastAsia"/>
          <w:iCs/>
        </w:rPr>
        <w:t>autologistic</w:t>
      </w:r>
      <w:proofErr w:type="spellEnd"/>
      <w:r>
        <w:rPr>
          <w:rFonts w:eastAsiaTheme="minorEastAsia"/>
          <w:iCs/>
        </w:rPr>
        <w:t xml:space="preserve">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p>
    <w:p w14:paraId="08A0466F" w14:textId="1E93FB25" w:rsidR="004050B6" w:rsidRDefault="00792F04" w:rsidP="00693AFB">
      <w:pPr>
        <w:rPr>
          <w:rFonts w:eastAsiaTheme="minorEastAsia"/>
          <w:iCs/>
        </w:rPr>
      </w:pPr>
      <w:r>
        <w:rPr>
          <w:rFonts w:eastAsiaTheme="minorEastAsia"/>
          <w:iCs/>
        </w:rPr>
        <w:t xml:space="preserve">For the data model let </w:t>
      </w:r>
      <w:proofErr w:type="spellStart"/>
      <w:r>
        <w:rPr>
          <w:rFonts w:eastAsiaTheme="minorEastAsia"/>
          <w:i/>
        </w:rPr>
        <w:t>p</w:t>
      </w:r>
      <w:r w:rsidR="00A57D9C">
        <w:rPr>
          <w:rFonts w:eastAsiaTheme="minorEastAsia"/>
          <w:i/>
          <w:vertAlign w:val="subscript"/>
        </w:rPr>
        <w:t>i,t,j</w:t>
      </w:r>
      <w:proofErr w:type="spellEnd"/>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presence. Further,</w:t>
      </w:r>
      <w:r w:rsidR="00670065">
        <w:rPr>
          <w:rFonts w:eastAsiaTheme="minorEastAsia"/>
          <w:iCs/>
        </w:rPr>
        <w:t xml:space="preserve"> let</w:t>
      </w:r>
      <w:r>
        <w:rPr>
          <w:rFonts w:eastAsiaTheme="minorEastAsia"/>
          <w:iCs/>
        </w:rPr>
        <w:t xml:space="preserve"> </w:t>
      </w:r>
      <w:proofErr w:type="spellStart"/>
      <w:r w:rsidRPr="00A57D9C">
        <w:rPr>
          <w:rFonts w:eastAsiaTheme="minorEastAsia"/>
          <w:i/>
        </w:rPr>
        <w:t>y</w:t>
      </w:r>
      <w:r>
        <w:rPr>
          <w:rFonts w:eastAsiaTheme="minorEastAsia"/>
          <w:iCs/>
          <w:vertAlign w:val="subscript"/>
        </w:rPr>
        <w:t>i,t,j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4DAE3EE7"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363B67E4"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is a vector of regression coefficients and their associated covariates 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 xml:space="preserve">you can see that </w:t>
      </w:r>
      <w:proofErr w:type="spellStart"/>
      <w:r w:rsidR="00C1572D">
        <w:rPr>
          <w:rFonts w:eastAsiaTheme="minorEastAsia"/>
        </w:rPr>
        <w:t>autologistic</w:t>
      </w:r>
      <w:proofErr w:type="spellEnd"/>
      <w:r w:rsidR="00C1572D">
        <w:rPr>
          <w:rFonts w:eastAsiaTheme="minorEastAsia"/>
        </w:rPr>
        <w:t xml:space="preserve">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4CFDEB73" w:rsidR="001A1BAF" w:rsidRDefault="00B5638B" w:rsidP="00B5638B">
      <w:pPr>
        <w:ind w:firstLine="720"/>
        <w:rPr>
          <w:rFonts w:eastAsiaTheme="minorEastAsia"/>
        </w:rPr>
      </w:pPr>
      <w:r>
        <w:rPr>
          <w:rFonts w:eastAsiaTheme="minorEastAsia"/>
        </w:rPr>
        <w:lastRenderedPageBreak/>
        <w:t xml:space="preserve">The latent variable approach described above is perhaps the easiest way to understand </w:t>
      </w:r>
      <w:proofErr w:type="spellStart"/>
      <w:r>
        <w:rPr>
          <w:rFonts w:eastAsiaTheme="minorEastAsia"/>
        </w:rPr>
        <w:t>autologistic</w:t>
      </w:r>
      <w:proofErr w:type="spellEnd"/>
      <w:r>
        <w:rPr>
          <w:rFonts w:eastAsiaTheme="minorEastAsia"/>
        </w:rPr>
        <w:t xml:space="preserve">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proofErr w:type="spellStart"/>
      <w:r w:rsidRPr="00B5638B">
        <w:rPr>
          <w:rFonts w:ascii="Lucida Console" w:eastAsiaTheme="minorEastAsia" w:hAnsi="Lucida Console"/>
        </w:rPr>
        <w:t>autoOcc</w:t>
      </w:r>
      <w:proofErr w:type="spellEnd"/>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make it easier to follow along with how the</w:t>
      </w:r>
      <w:r w:rsidR="00EB3F61">
        <w:rPr>
          <w:rFonts w:eastAsiaTheme="minorEastAsia"/>
        </w:rPr>
        <w:t xml:space="preserve"> </w:t>
      </w:r>
      <w:proofErr w:type="spellStart"/>
      <w:r w:rsidR="00EB3F61">
        <w:rPr>
          <w:rFonts w:eastAsiaTheme="minorEastAsia"/>
        </w:rPr>
        <w:t>autologistic</w:t>
      </w:r>
      <w:proofErr w:type="spellEnd"/>
      <w:r w:rsidR="00EB3F61">
        <w:rPr>
          <w:rFonts w:eastAsiaTheme="minorEastAsia"/>
        </w:rPr>
        <w:t xml:space="preserve"> model</w:t>
      </w:r>
      <w:r w:rsidR="001A1BAF">
        <w:rPr>
          <w:rFonts w:eastAsiaTheme="minorEastAsia"/>
        </w:rPr>
        <w:t xml:space="preserve"> is written</w:t>
      </w:r>
      <w:r w:rsidR="00EB3F61">
        <w:rPr>
          <w:rFonts w:eastAsiaTheme="minorEastAsia"/>
        </w:rPr>
        <w:t xml:space="preserve"> </w:t>
      </w:r>
      <w:r w:rsidR="0063559C">
        <w:rPr>
          <w:rFonts w:eastAsiaTheme="minorEastAsia"/>
        </w:rPr>
        <w:t>in matrix notation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proofErr w:type="spellStart"/>
      <w:r w:rsidR="009312AC">
        <w:rPr>
          <w:rFonts w:eastAsiaTheme="minorEastAsia"/>
          <w:i/>
          <w:iCs/>
        </w:rPr>
        <w:t>η</w:t>
      </w:r>
      <w:r w:rsidR="0063559C">
        <w:rPr>
          <w:rFonts w:eastAsiaTheme="minorEastAsia"/>
          <w:i/>
          <w:iCs/>
          <w:vertAlign w:val="subscript"/>
        </w:rPr>
        <w:t>t</w:t>
      </w:r>
      <w:proofErr w:type="spellEnd"/>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 share parameters such that logit(</w:t>
      </w:r>
      <w:proofErr w:type="spellStart"/>
      <w:r w:rsidR="009312AC">
        <w:rPr>
          <w:rFonts w:eastAsiaTheme="minorEastAsia"/>
          <w:i/>
          <w:iCs/>
        </w:rPr>
        <w:t>η</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proofErr w:type="spellStart"/>
      <w:r w:rsidR="007130D2">
        <w:rPr>
          <w:rFonts w:eastAsiaTheme="minorEastAsia"/>
          <w:i/>
          <w:iCs/>
        </w:rPr>
        <w:t>ω</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both of which could be extended to </w:t>
      </w:r>
      <w:r w:rsidR="00642113">
        <w:rPr>
          <w:rFonts w:eastAsiaTheme="minorEastAsia"/>
        </w:rPr>
        <w:t xml:space="preserve">accommodate </w:t>
      </w:r>
      <w:proofErr w:type="spellStart"/>
      <w:r w:rsidR="00642113">
        <w:rPr>
          <w:rFonts w:eastAsiaTheme="minorEastAsia"/>
        </w:rPr>
        <w:t>coviates</w:t>
      </w:r>
      <w:proofErr w:type="spellEnd"/>
      <w:r w:rsidR="007130D2">
        <w:rPr>
          <w:rFonts w:eastAsiaTheme="minorEastAsia"/>
        </w:rPr>
        <w:t xml:space="preserve">.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12AFA8C9"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last season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4B8B11B0"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6933EC" w:rsidRPr="006933EC">
        <w:rPr>
          <w:rFonts w:eastAsiaTheme="minorEastAsia"/>
          <w:i/>
          <w:iCs/>
        </w:rPr>
        <w:t>ψ</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0F69A2B1" w:rsidR="004A6CCF" w:rsidRPr="00D501C8" w:rsidRDefault="0003759C" w:rsidP="00EB3F61">
      <w:pPr>
        <w:rPr>
          <w:rFonts w:eastAsiaTheme="minorEastAsia"/>
        </w:rPr>
      </w:pPr>
      <w:r>
        <w:rPr>
          <w:rFonts w:eastAsiaTheme="minorEastAsia"/>
        </w:rPr>
        <w:t>A verbal description of Eq. 6 is “the species either was or was not present in season 2 and was detected on the first survey of season 3, not detected the second survey , and detected again on the third survey.“ 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 from either side of the addition</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FE7392A" w:rsidR="00EB5FE6" w:rsidRPr="00CA2425" w:rsidRDefault="00EB5FE6" w:rsidP="00EB3F61">
      <w:pPr>
        <w:rPr>
          <w:rFonts w:eastAsiaTheme="minorEastAsia"/>
        </w:rPr>
      </w:pPr>
      <w:r>
        <w:rPr>
          <w:rFonts w:eastAsiaTheme="minorEastAsia"/>
        </w:rPr>
        <w:lastRenderedPageBreak/>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proofErr w:type="spellStart"/>
      <w:r w:rsidR="00CA2425">
        <w:rPr>
          <w:rFonts w:eastAsiaTheme="minorEastAsia"/>
        </w:rPr>
        <w:t>MacKenzie</w:t>
      </w:r>
      <w:proofErr w:type="spellEnd"/>
      <w:r w:rsidR="00CA2425">
        <w:rPr>
          <w:rFonts w:eastAsiaTheme="minorEastAsia"/>
        </w:rPr>
        <w:t xml:space="preserv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proofErr w:type="spellStart"/>
      <w:r w:rsidR="00381DB8" w:rsidRPr="00381DB8">
        <w:rPr>
          <w:rFonts w:ascii="Lucida Console" w:eastAsiaTheme="minorEastAsia" w:hAnsi="Lucida Console"/>
        </w:rPr>
        <w:t>autoOcc</w:t>
      </w:r>
      <w:proofErr w:type="spellEnd"/>
      <w:r w:rsidR="00CA2425">
        <w:rPr>
          <w:rFonts w:eastAsiaTheme="minorEastAsia"/>
        </w:rPr>
        <w:t>.</w:t>
      </w:r>
      <w:r w:rsidR="005842B5">
        <w:rPr>
          <w:rFonts w:eastAsiaTheme="minorEastAsia"/>
        </w:rPr>
        <w:t xml:space="preserve">  </w:t>
      </w:r>
      <w:r w:rsidR="00381DB8">
        <w:rPr>
          <w:rFonts w:eastAsiaTheme="minorEastAsia"/>
        </w:rPr>
        <w:t xml:space="preserve">Borrowing from </w:t>
      </w:r>
      <w:proofErr w:type="spellStart"/>
      <w:r w:rsidR="00381DB8">
        <w:rPr>
          <w:rFonts w:eastAsiaTheme="minorEastAsia"/>
        </w:rPr>
        <w:t>MacKenzie</w:t>
      </w:r>
      <w:proofErr w:type="spellEnd"/>
      <w:r w:rsidR="00381DB8">
        <w:rPr>
          <w:rFonts w:eastAsiaTheme="minorEastAsia"/>
        </w:rPr>
        <w:t xml:space="preserve"> et al. (2003),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693AFB">
      <w:pPr>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15FE47FB" w:rsidR="00335159" w:rsidRDefault="00335159" w:rsidP="00693AFB">
      <w:pPr>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proofErr w:type="spellStart"/>
      <w:r w:rsidR="009312AC">
        <w:rPr>
          <w:rFonts w:eastAsiaTheme="minorEastAsia"/>
          <w:i/>
          <w:iCs/>
        </w:rPr>
        <w:t>η</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proofErr w:type="spellStart"/>
      <w:r w:rsidR="007F0603" w:rsidRPr="005842B5">
        <w:rPr>
          <w:rFonts w:eastAsiaTheme="minorEastAsia"/>
          <w:b/>
          <w:bCs/>
          <w:i/>
          <w:iCs/>
        </w:rPr>
        <w:t>ϕ</w:t>
      </w:r>
      <w:r w:rsidR="007F0603">
        <w:rPr>
          <w:rFonts w:eastAsiaTheme="minorEastAsia"/>
          <w:i/>
          <w:iCs/>
          <w:vertAlign w:val="subscript"/>
        </w:rPr>
        <w:t>t</w:t>
      </w:r>
      <w:proofErr w:type="spellEnd"/>
      <w:r w:rsidR="007F0603">
        <w:rPr>
          <w:rFonts w:eastAsiaTheme="minorEastAsia"/>
        </w:rPr>
        <w:t xml:space="preserve"> </w:t>
      </w:r>
      <w:r w:rsidR="009312AC">
        <w:rPr>
          <w:rFonts w:eastAsiaTheme="minorEastAsia"/>
        </w:rPr>
        <w:t xml:space="preserve">in Eq. 9 is the primary difference between </w:t>
      </w:r>
      <w:proofErr w:type="spellStart"/>
      <w:r w:rsidR="009312AC">
        <w:rPr>
          <w:rFonts w:eastAsiaTheme="minorEastAsia"/>
        </w:rPr>
        <w:t>autologistic</w:t>
      </w:r>
      <w:proofErr w:type="spellEnd"/>
      <w:r w:rsidR="009312AC">
        <w:rPr>
          <w:rFonts w:eastAsiaTheme="minorEastAsia"/>
        </w:rPr>
        <w:t xml:space="preserve">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proofErr w:type="spellStart"/>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proofErr w:type="spell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imagine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381DB8">
        <w:rPr>
          <w:rFonts w:eastAsiaTheme="minorEastAsia"/>
        </w:rPr>
        <w:t>include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693AFB">
      <w:pPr>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0DE50146" w:rsidR="00993373" w:rsidRDefault="00993373" w:rsidP="00693AFB">
      <w:pPr>
        <w:rPr>
          <w:rFonts w:eastAsiaTheme="minorEastAsia"/>
        </w:rPr>
      </w:pPr>
      <w:r>
        <w:rPr>
          <w:rFonts w:eastAsiaTheme="minorEastAsia"/>
        </w:rPr>
        <w:t>In Eq. 11,  the D(</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function indicates that the elements in the column vector </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are placed along the main diagonal of a diagonal matrix. This transformation is done to ensure that all the elements of Eq. 11 are conformable and that the appropriate likelihood is calculated. See supplemental </w:t>
      </w:r>
      <w:r>
        <w:rPr>
          <w:rFonts w:eastAsiaTheme="minorEastAsia"/>
        </w:rPr>
        <w:lastRenderedPageBreak/>
        <w:t xml:space="preserve">material 1 for a worked example of Eq. 11 with the four-season detection history we used for Eq. 4 – 7. </w:t>
      </w:r>
      <w:r w:rsidR="00F54C92">
        <w:rPr>
          <w:rFonts w:eastAsiaTheme="minorEastAsia"/>
        </w:rPr>
        <w:t>As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1A8A1794" w:rsidR="00993373" w:rsidRDefault="00F54C92" w:rsidP="00693AFB">
      <w:pPr>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w:t>
      </w:r>
      <w:proofErr w:type="spellStart"/>
      <w:r>
        <w:rPr>
          <w:rFonts w:eastAsiaTheme="minorEastAsia"/>
        </w:rPr>
        <w:t>MacKenzie</w:t>
      </w:r>
      <w:proofErr w:type="spellEnd"/>
      <w:r>
        <w:rPr>
          <w:rFonts w:eastAsiaTheme="minorEastAsia"/>
        </w:rPr>
        <w:t xml:space="preserve"> et al. (2003), the </w:t>
      </w:r>
      <w:proofErr w:type="spellStart"/>
      <w:r>
        <w:rPr>
          <w:rFonts w:eastAsiaTheme="minorEastAsia"/>
        </w:rPr>
        <w:t>autologistic</w:t>
      </w:r>
      <w:proofErr w:type="spellEnd"/>
      <w:r>
        <w:rPr>
          <w:rFonts w:eastAsiaTheme="minorEastAsia"/>
        </w:rPr>
        <w:t xml:space="preserve">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proofErr w:type="spellStart"/>
      <w:r w:rsidR="00566D2F" w:rsidRPr="00566D2F">
        <w:rPr>
          <w:rFonts w:ascii="Lucida Console" w:eastAsiaTheme="minorEastAsia" w:hAnsi="Lucida Console"/>
        </w:rPr>
        <w:t>autoOcc</w:t>
      </w:r>
      <w:proofErr w:type="spellEnd"/>
      <w:r w:rsidR="00566D2F">
        <w:rPr>
          <w:rFonts w:eastAsiaTheme="minorEastAsia"/>
        </w:rPr>
        <w:t xml:space="preserve"> and are demonstrated in the worked examples below.</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proofErr w:type="spellStart"/>
      <w:r w:rsidR="00AA383C">
        <w:t>autologistic</w:t>
      </w:r>
      <w:proofErr w:type="spellEnd"/>
      <w:r w:rsidR="00AA383C">
        <w:t xml:space="preserve"> occupancy models</w:t>
      </w:r>
    </w:p>
    <w:p w14:paraId="468017EE" w14:textId="43287E35" w:rsidR="00447722" w:rsidRDefault="00EA10FA" w:rsidP="00693AFB">
      <w:pPr>
        <w:rPr>
          <w:rFonts w:eastAsiaTheme="minorEastAsia"/>
        </w:rPr>
      </w:pPr>
      <w:r>
        <w:t>Expected o</w:t>
      </w:r>
      <w:r w:rsidR="000A3810">
        <w:t xml:space="preserve">ccupancy estimates from </w:t>
      </w:r>
      <w:proofErr w:type="spellStart"/>
      <w:r w:rsidR="000A3810">
        <w:t>autologistic</w:t>
      </w:r>
      <w:proofErr w:type="spellEnd"/>
      <w:r w:rsidR="000A3810">
        <w:t xml:space="preserve">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w:t>
      </w:r>
      <w:proofErr w:type="spellStart"/>
      <w:r>
        <w:rPr>
          <w:rFonts w:eastAsiaTheme="minorEastAsia"/>
        </w:rPr>
        <w:t>autologistic</w:t>
      </w:r>
      <w:proofErr w:type="spellEnd"/>
      <w:r>
        <w:rPr>
          <w:rFonts w:eastAsiaTheme="minorEastAsia"/>
        </w:rPr>
        <w:t xml:space="preserve">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326D351E"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proofErr w:type="spellStart"/>
      <w:r w:rsidRPr="00AB6698">
        <w:rPr>
          <w:rFonts w:ascii="Lucida Console" w:eastAsiaTheme="minorEastAsia" w:hAnsi="Lucida Console"/>
        </w:rPr>
        <w:t>autoOcc</w:t>
      </w:r>
      <w:proofErr w:type="spellEnd"/>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 xml:space="preserve">Where </w:t>
      </w:r>
      <w:proofErr w:type="spellStart"/>
      <w:r>
        <w:rPr>
          <w:rFonts w:eastAsiaTheme="minorEastAsia"/>
        </w:rPr>
        <w:t>ilogit</w:t>
      </w:r>
      <w:proofErr w:type="spellEnd"/>
      <w:r>
        <w:rPr>
          <w:rFonts w:eastAsiaTheme="minorEastAsia"/>
        </w:rPr>
        <w: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w:t>
      </w:r>
      <w:proofErr w:type="spellStart"/>
      <w:r>
        <w:rPr>
          <w:rFonts w:eastAsiaTheme="minorEastAsia"/>
        </w:rPr>
        <w:t>autologistic</w:t>
      </w:r>
      <w:proofErr w:type="spellEnd"/>
      <w:r>
        <w:rPr>
          <w:rFonts w:eastAsiaTheme="minorEastAsia"/>
        </w:rPr>
        <w:t xml:space="preserve">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w:t>
      </w:r>
      <w:proofErr w:type="spellStart"/>
      <w:r w:rsidR="0003142F">
        <w:rPr>
          <w:rFonts w:eastAsiaTheme="minorEastAsia"/>
        </w:rPr>
        <w:t>autologistic</w:t>
      </w:r>
      <w:proofErr w:type="spellEnd"/>
      <w:r w:rsidR="0003142F">
        <w:rPr>
          <w:rFonts w:eastAsiaTheme="minorEastAsia"/>
        </w:rPr>
        <w:t xml:space="preserve">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A961ED2" w14:textId="23F97AC9" w:rsidR="0023159C" w:rsidRDefault="00412B19" w:rsidP="00755356">
      <w:r>
        <w:t xml:space="preserve">To demonstrate how much data should be collected before using </w:t>
      </w:r>
      <w:proofErr w:type="spellStart"/>
      <w:r w:rsidR="00E61F22" w:rsidRPr="00E61F22">
        <w:rPr>
          <w:rFonts w:ascii="Lucida Console" w:hAnsi="Lucida Console"/>
        </w:rPr>
        <w:t>autoOcc</w:t>
      </w:r>
      <w:proofErr w:type="spellEnd"/>
      <w:r>
        <w:t xml:space="preserve"> </w:t>
      </w:r>
      <w:r w:rsidR="0023159C">
        <w:t>and illustrate how it performs to other</w:t>
      </w:r>
      <w:r w:rsidR="005F2C70">
        <w:t xml:space="preserve"> techniques a researcher may use with similar data</w:t>
      </w:r>
      <w:r w:rsidR="0023159C">
        <w:t xml:space="preserve"> </w:t>
      </w:r>
      <w:r>
        <w:t xml:space="preserve">I conducted a simulation study to compare the accuracy and precision of </w:t>
      </w:r>
      <w:proofErr w:type="spellStart"/>
      <w:r>
        <w:t>autologistic</w:t>
      </w:r>
      <w:proofErr w:type="spellEnd"/>
      <w:r w:rsidR="009C3F28">
        <w:t xml:space="preserve"> occupancy models to</w:t>
      </w:r>
      <w:r w:rsidR="005F2C70">
        <w:t xml:space="preserve"> </w:t>
      </w:r>
      <w:r>
        <w:t>dynamic occupancy models.</w:t>
      </w:r>
      <w:r w:rsidR="0023159C">
        <w:t xml:space="preserve"> I chose dynamic occupancy models for comparison instead of </w:t>
      </w:r>
      <w:r w:rsidR="005F2C70">
        <w:t>other techniques (e.g., a stacked design</w:t>
      </w:r>
      <w:r w:rsidR="00043EB3">
        <w:t xml:space="preserve"> occupancy model</w:t>
      </w:r>
      <w:r w:rsidR="005F2C70">
        <w:t>)</w:t>
      </w:r>
      <w:r w:rsidR="0023159C">
        <w:t xml:space="preserve"> because</w:t>
      </w:r>
      <w:r w:rsidR="005F2C70">
        <w:t xml:space="preserve"> dynamic occupancy models do not require random effects to estimate</w:t>
      </w:r>
      <w:r w:rsidR="009C3F28">
        <w:t>, making them a simpler choice</w:t>
      </w:r>
      <w:r w:rsidR="005F2C70">
        <w:t xml:space="preserve">. For each class of model, </w:t>
      </w:r>
      <w:r w:rsidR="005F2C70">
        <w:lastRenderedPageBreak/>
        <w:t>simulations varied in how common a species was, number of sites sampled, and 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w:t>
      </w:r>
      <w:proofErr w:type="spellStart"/>
      <w:r w:rsidR="00E61F22">
        <w:t>autologistic</w:t>
      </w:r>
      <w:proofErr w:type="spellEnd"/>
      <w:r w:rsidR="00E61F22">
        <w:t xml:space="preserve">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9C3F28">
        <w:t>a given</w:t>
      </w:r>
      <w:r w:rsidR="00E61F22">
        <w:t xml:space="preserve"> expected occupancy probability. After determining possible solutions</w:t>
      </w:r>
      <w:r w:rsidR="009C3F28">
        <w:t>, I chose</w:t>
      </w:r>
      <w:r w:rsidR="00E61F22">
        <w:t xml:space="preserve"> one</w:t>
      </w:r>
      <w:r w:rsidR="009C3F28">
        <w:t xml:space="preserve"> solution at random</w:t>
      </w:r>
      <w:r w:rsidR="0023159C">
        <w:t>.</w:t>
      </w:r>
      <w:r w:rsidR="009C3F28">
        <w:t xml:space="preserve"> Number of s</w:t>
      </w:r>
      <w:r w:rsidR="0023159C">
        <w:t xml:space="preserve">ites ranged from 30 to 100 locations sampled in intervals of 10 while seasons sampled ranged from 4 to 12 in intervals of 2. Thus for the four expected occupancy, seven site, and six season scenarios there was a total of 160 different combinations to simulate for both the </w:t>
      </w:r>
      <w:proofErr w:type="spellStart"/>
      <w:r w:rsidR="0023159C">
        <w:t>autologistic</w:t>
      </w:r>
      <w:proofErr w:type="spellEnd"/>
      <w:r w:rsidR="0023159C">
        <w:t xml:space="preserve"> and dynamic occupancy models. Every combination was simulated and fitted 550 times</w:t>
      </w:r>
      <w:r w:rsidR="009C3F28">
        <w:t>.</w:t>
      </w:r>
    </w:p>
    <w:p w14:paraId="518D63BE" w14:textId="5EE959D6"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w:t>
      </w:r>
      <w:proofErr w:type="spellStart"/>
      <w:r>
        <w:t>autologistic</w:t>
      </w:r>
      <w:proofErr w:type="spellEnd"/>
      <w:r>
        <w:t xml:space="preserve">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w:t>
      </w:r>
      <w:r w:rsidR="00877401">
        <w:t xml:space="preserve">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he</w:t>
      </w:r>
      <w:r w:rsidR="00694010">
        <w:t xml:space="preserv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 With</w:t>
      </w:r>
      <w:r w:rsidR="008B655C">
        <w:t xml:space="preserve"> the</w:t>
      </w:r>
      <w:r w:rsidR="00944614">
        <w:t xml:space="preserve"> addition of these slope terms</w:t>
      </w:r>
      <w:r w:rsidR="00877401">
        <w:t xml:space="preserve">, </w:t>
      </w:r>
      <w:r w:rsidR="00944614">
        <w:t xml:space="preserve">the </w:t>
      </w:r>
      <w:proofErr w:type="spellStart"/>
      <w:r w:rsidR="00944614">
        <w:t>autologistic</w:t>
      </w:r>
      <w:proofErr w:type="spellEnd"/>
      <w:r w:rsidR="00944614">
        <w:t xml:space="preserve">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scenarios,</w:t>
      </w:r>
      <w:r w:rsidR="008B655C">
        <w:t xml:space="preserve"> I calculated the relative bias and precision (i.e., width of 95% confidence </w:t>
      </w:r>
      <w:r w:rsidR="00944614">
        <w:t>intervals</w:t>
      </w:r>
      <w:r w:rsidR="008B655C">
        <w:t xml:space="preserve">) of latent state parameters. </w:t>
      </w:r>
    </w:p>
    <w:p w14:paraId="18875F35" w14:textId="24CECFC6" w:rsidR="008B655C" w:rsidRDefault="008B655C" w:rsidP="00771582">
      <w:pPr>
        <w:ind w:firstLine="720"/>
      </w:pPr>
      <w:r>
        <w:t xml:space="preserve">Overall, </w:t>
      </w:r>
      <w:proofErr w:type="spellStart"/>
      <w:r>
        <w:t>autologistic</w:t>
      </w:r>
      <w:proofErr w:type="spellEnd"/>
      <w:r>
        <w:t xml:space="preserve"> occupancy models had less bias</w:t>
      </w:r>
      <w:r w:rsidR="00771582">
        <w:t xml:space="preserve"> than dynamic occupancy models</w:t>
      </w:r>
      <w:r w:rsidR="00944614">
        <w:t xml:space="preserve">. </w:t>
      </w:r>
      <w:r w:rsidR="00771582">
        <w:t>A</w:t>
      </w:r>
      <w:r w:rsidR="00944614">
        <w:t xml:space="preserve">veraged across scenarios the relative bias of the </w:t>
      </w:r>
      <w:proofErr w:type="spellStart"/>
      <w:r w:rsidR="00944614">
        <w:t>autologistic</w:t>
      </w:r>
      <w:proofErr w:type="spellEnd"/>
      <w:r w:rsidR="00944614">
        <w:t xml:space="preserve"> </w:t>
      </w:r>
      <w:r w:rsidR="00877401">
        <w:t xml:space="preserve">model </w:t>
      </w:r>
      <w:r w:rsidR="00944614">
        <w:t xml:space="preserve">intercept was about 6.5 times less than the dynamic colonization intercept but </w:t>
      </w:r>
      <w:r w:rsidR="00771582">
        <w:t xml:space="preserve">was </w:t>
      </w:r>
      <w:r w:rsidR="00944614">
        <w:t xml:space="preserve">about 1.45 times greater than the dynamic extinction intercept (Figure 1). The </w:t>
      </w:r>
      <w:proofErr w:type="spellStart"/>
      <w:r w:rsidR="00944614">
        <w:t>autologistic</w:t>
      </w:r>
      <w:proofErr w:type="spellEnd"/>
      <w:r w:rsidR="00944614">
        <w:t xml:space="preserve"> term, θ, term had consistently less bias though and was respectively 51 and 5.4 times smaller than the dynamic colonization and extinction intercepts. When considering different scenarios, the dynamic model colonization intercept had the greatest bias when</w:t>
      </w:r>
      <w:r w:rsidR="00771582">
        <w:t xml:space="preserve"> small sample sizes were used (Figure 1K, Fig 1O). Averaged across scenarios, the relative bias in the </w:t>
      </w:r>
      <w:proofErr w:type="spellStart"/>
      <w:r w:rsidR="00771582">
        <w:t>autologistic</w:t>
      </w:r>
      <w:proofErr w:type="spellEnd"/>
      <w:r w:rsidR="00771582">
        <w:t xml:space="preserve"> </w:t>
      </w:r>
      <w:r w:rsidR="00877401">
        <w:t xml:space="preserve">model </w:t>
      </w:r>
      <w:r w:rsidR="00771582">
        <w:t xml:space="preserve">slope term was 4.2 times smaller than the </w:t>
      </w:r>
      <w:r w:rsidR="00877401">
        <w:t xml:space="preserve">dynamic model </w:t>
      </w:r>
      <w:r w:rsidR="00771582">
        <w:t>colonization slope term and 1.6 times smaller than the extinction slope term (Figure 2). Furthermore, the relative bias in colonization slope terms increased the expected occupancy of the species and, like the colonization intercept, was highest when small sample sizes were used (Figure 2.K).</w:t>
      </w:r>
    </w:p>
    <w:p w14:paraId="35FAD7F1" w14:textId="17BFD5AD" w:rsidR="00771582" w:rsidRDefault="00771582" w:rsidP="00771582">
      <w:pPr>
        <w:ind w:firstLine="720"/>
      </w:pPr>
      <w:proofErr w:type="spellStart"/>
      <w:r>
        <w:t>Autologistic</w:t>
      </w:r>
      <w:proofErr w:type="spellEnd"/>
      <w:r>
        <w:t xml:space="preserve"> occupancy models were</w:t>
      </w:r>
      <w:r w:rsidR="00877401">
        <w:t xml:space="preserve"> </w:t>
      </w:r>
      <w:r>
        <w:t xml:space="preserve">also more precise than dynamic occupancy models. Averaged across scenarios the average 95% CI width of the </w:t>
      </w:r>
      <w:proofErr w:type="spellStart"/>
      <w:r>
        <w:t>autologistic</w:t>
      </w:r>
      <w:proofErr w:type="spellEnd"/>
      <w:r>
        <w:t xml:space="preserve">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However the </w:t>
      </w:r>
      <w:proofErr w:type="spellStart"/>
      <w:r w:rsidR="0096503C">
        <w:t>autologistic</w:t>
      </w:r>
      <w:proofErr w:type="spellEnd"/>
      <w:r w:rsidR="0096503C">
        <w:t xml:space="preserve"> term, </w:t>
      </w:r>
      <w:r w:rsidR="0096503C">
        <w:t>θ</w:t>
      </w:r>
      <w:r w:rsidR="0096503C">
        <w:t>, had greater uncertainty</w:t>
      </w:r>
      <w:r w:rsidR="00877401">
        <w:t xml:space="preserve"> under some scenarios</w:t>
      </w:r>
      <w:r w:rsidR="0096503C">
        <w:t xml:space="preserve">. The average 95% CI width for </w:t>
      </w:r>
      <w:r w:rsidR="0096503C">
        <w:t>θ</w:t>
      </w:r>
      <w:r w:rsidR="0096503C">
        <w:t xml:space="preserve"> was roughly 1.09 times larger than the dynamic </w:t>
      </w:r>
      <w:r w:rsidR="0096503C">
        <w:lastRenderedPageBreak/>
        <w:t xml:space="preserve">colonization intercept and 1.6 times larger than the dynamic extinction intercept. This difference was largely driven by the 0.4 and 0.5 expected occupancy scenarios, which had relatively wide 95% CI widths for both </w:t>
      </w:r>
      <w:r w:rsidR="0096503C">
        <w:t>θ</w:t>
      </w:r>
      <w:r w:rsidR="0096503C">
        <w:t xml:space="preserve"> (Figure 3N) and the colonization intercept (Figure 3.O). Averaged across scenarios, the </w:t>
      </w:r>
      <w:proofErr w:type="spellStart"/>
      <w:r w:rsidR="0096503C">
        <w:t>autologistic</w:t>
      </w:r>
      <w:proofErr w:type="spellEnd"/>
      <w:r w:rsidR="0096503C">
        <w:t xml:space="preserve"> </w:t>
      </w:r>
      <w:r w:rsidR="00156831">
        <w:t xml:space="preserve">model </w:t>
      </w:r>
      <w:r w:rsidR="0096503C">
        <w:t xml:space="preserve">slope term was 2.67 and 1.56 times narrower than </w:t>
      </w:r>
      <w:r w:rsidR="00156831">
        <w:t xml:space="preserve">the dynamic model </w:t>
      </w:r>
      <w:r w:rsidR="0096503C">
        <w:t xml:space="preserve">colonization and extinction slope terms, respectively (Figure 4). The </w:t>
      </w:r>
      <w:r w:rsidR="009F386F">
        <w:t>largest difference between models was when the expected occupancy of the species was 0.5, especially at small sample sizes.</w:t>
      </w:r>
    </w:p>
    <w:p w14:paraId="6B81ABD0" w14:textId="77777777" w:rsidR="000E5D5D" w:rsidRDefault="009F386F" w:rsidP="00771582">
      <w:pPr>
        <w:ind w:firstLine="720"/>
      </w:pPr>
      <w:r>
        <w:t>When consider</w:t>
      </w:r>
      <w:r w:rsidR="00156831">
        <w:t>ed</w:t>
      </w:r>
      <w:r>
        <w:t xml:space="preserve"> together</w:t>
      </w:r>
      <w:r w:rsidR="00156831">
        <w:t>,</w:t>
      </w:r>
      <w:r>
        <w:t xml:space="preserve"> </w:t>
      </w:r>
      <w:proofErr w:type="spellStart"/>
      <w:r>
        <w:t>autologistic</w:t>
      </w:r>
      <w:proofErr w:type="spellEnd"/>
      <w:r>
        <w:t xml:space="preserve"> occupancy models </w:t>
      </w:r>
      <w:r w:rsidR="00156831">
        <w:t>had less bias and more precision</w:t>
      </w:r>
      <w:r>
        <w:t xml:space="preserve"> than dynamic occupancy models across a wider range of sample sizes.</w:t>
      </w:r>
      <w:r w:rsidR="00694010">
        <w:t xml:space="preserve"> </w:t>
      </w:r>
      <w:r w:rsidR="00156831">
        <w:t xml:space="preserve">Notably, across all scenarios </w:t>
      </w:r>
      <w:proofErr w:type="spellStart"/>
      <w:r w:rsidR="00156831">
        <w:t>a</w:t>
      </w:r>
      <w:r w:rsidR="00694010">
        <w:t>utologistic</w:t>
      </w:r>
      <w:proofErr w:type="spellEnd"/>
      <w:r w:rsidR="00694010">
        <w:t xml:space="preserve"> occupancy models </w:t>
      </w:r>
      <w:r w:rsidR="00156831">
        <w:t xml:space="preserve">had relatively low bias for all latent state parameters.  This was not true for dynamic models, which especially struggled when the species was more common and a smaller number of sites were sampled. Increasing sample size did deliver a notable increase in precision for both models, especially with respect to </w:t>
      </w:r>
      <w:r w:rsidR="00156831">
        <w:t>θ</w:t>
      </w:r>
      <w:r w:rsidR="00156831">
        <w:t xml:space="preserve"> in the </w:t>
      </w:r>
      <w:proofErr w:type="spellStart"/>
      <w:r w:rsidR="00156831">
        <w:t>autologistic</w:t>
      </w:r>
      <w:proofErr w:type="spellEnd"/>
      <w:r w:rsidR="00156831">
        <w:t xml:space="preserve"> model.</w:t>
      </w:r>
      <w:r w:rsidR="002A0CED">
        <w:t xml:space="preserve"> Most importantly, </w:t>
      </w:r>
      <w:proofErr w:type="spellStart"/>
      <w:r w:rsidR="002A0CED">
        <w:t>autologistic</w:t>
      </w:r>
      <w:proofErr w:type="spellEnd"/>
      <w:r w:rsidR="002A0CED">
        <w:t xml:space="preserve"> model slope terms were far more precise than dynamic model slope terms, which showcases that </w:t>
      </w:r>
      <w:proofErr w:type="spellStart"/>
      <w:r w:rsidR="002A0CED" w:rsidRPr="002A0CED">
        <w:rPr>
          <w:rFonts w:ascii="Lucida Console" w:hAnsi="Lucida Console"/>
        </w:rPr>
        <w:t>autoOcc</w:t>
      </w:r>
      <w:proofErr w:type="spellEnd"/>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1C2006B4"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w:t>
      </w:r>
      <w:proofErr w:type="spellStart"/>
      <w:r>
        <w:t>autologistic</w:t>
      </w:r>
      <w:proofErr w:type="spellEnd"/>
      <w:r>
        <w:t xml:space="preserve"> occupancy models. </w:t>
      </w:r>
      <w:r w:rsidR="00827036">
        <w:t>The natural world is, after all, far more complex than the computer I coded up for these simulations</w:t>
      </w:r>
      <w:r w:rsidR="00043EB3">
        <w:t xml:space="preserve"> in</w:t>
      </w:r>
      <w:r w:rsidR="00827036">
        <w:t>.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w:t>
      </w:r>
      <w:proofErr w:type="spellStart"/>
      <w:r>
        <w:t>autologistic</w:t>
      </w:r>
      <w:proofErr w:type="spellEnd"/>
      <w:r>
        <w:t xml:space="preserve">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3B87AFC5" w:rsidR="00043EB3" w:rsidRPr="00043EB3" w:rsidRDefault="00043EB3" w:rsidP="00332A39">
      <w:r>
        <w:t xml:space="preserve">To demonstrate how models can be fitted within </w:t>
      </w:r>
      <w:proofErr w:type="spellStart"/>
      <w:r w:rsidRPr="00043EB3">
        <w:rPr>
          <w:rFonts w:ascii="Lucida Console" w:hAnsi="Lucida Console"/>
        </w:rPr>
        <w:t>autoOcc</w:t>
      </w:r>
      <w:proofErr w:type="spellEnd"/>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the analysis conducted by Stillman et al. (2023), who used an </w:t>
      </w:r>
      <w:proofErr w:type="spellStart"/>
      <w:r w:rsidR="003735B4">
        <w:t>autologistic</w:t>
      </w:r>
      <w:proofErr w:type="spellEnd"/>
      <w:r w:rsidR="003735B4">
        <w:t xml:space="preserve"> occupancy model to analyze survey data for black-backed woodpecker (</w:t>
      </w:r>
      <w:proofErr w:type="spellStart"/>
      <w:r w:rsidR="003735B4" w:rsidRPr="003735B4">
        <w:rPr>
          <w:i/>
          <w:iCs/>
        </w:rPr>
        <w:t>Picoides</w:t>
      </w:r>
      <w:proofErr w:type="spellEnd"/>
      <w:r w:rsidR="003735B4" w:rsidRPr="003735B4">
        <w:rPr>
          <w:i/>
          <w:iCs/>
        </w:rPr>
        <w:t xml:space="preserve"> arcticus</w:t>
      </w:r>
      <w:r w:rsidR="003735B4">
        <w:t xml:space="preserve">) collected throughout the montane forests in California to determine how </w:t>
      </w:r>
      <w:proofErr w:type="spellStart"/>
      <w:r w:rsidR="003735B4">
        <w:t>pyrodiversity</w:t>
      </w:r>
      <w:proofErr w:type="spellEnd"/>
      <w:r w:rsidR="003735B4">
        <w:t xml:space="preserve">, or the spatial and temporal variation in fire characteristics, affects woodpecker occupancy. </w:t>
      </w:r>
      <w:r w:rsidR="00F32AA3">
        <w:t xml:space="preserve">Across </w:t>
      </w:r>
      <w:r w:rsidR="00152850">
        <w:t>both</w:t>
      </w:r>
      <w:r w:rsidR="00F32AA3">
        <w:t xml:space="preserve"> worked examples I compare the </w:t>
      </w:r>
      <w:r w:rsidR="00F32AA3">
        <w:lastRenderedPageBreak/>
        <w:t>relative fit of different models using AIC</w:t>
      </w:r>
      <w:r w:rsidR="00152850">
        <w:t xml:space="preserve"> (Anderson and Burnham, 2004). Furthermore, I used</w:t>
      </w:r>
      <w:r w:rsidR="00F32AA3">
        <w:t xml:space="preserve"> a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nuary, April, July, and October for a total of four primary sampling periods (</w:t>
      </w:r>
      <w:r w:rsidR="00636EBB">
        <w:t>see Magle et al. 2019 for f</w:t>
      </w:r>
      <w:r w:rsidR="00636EBB">
        <w:t xml:space="preserve">urther </w:t>
      </w:r>
      <w:r w:rsidR="00636EBB">
        <w:t>sampling details</w:t>
      </w:r>
      <w:r w:rsidR="00636EBB">
        <w:t xml:space="preserve">). Daily detection histories were summarized to weekly detection histories for this analysis. </w:t>
      </w:r>
    </w:p>
    <w:p w14:paraId="7182E5E4" w14:textId="3909FA35"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both of which may influence opossum occupancy in non-linear ways</w:t>
      </w:r>
      <w:r>
        <w:t>. Furthermore, as opossum activity changes throughout the year due to Chicago’s cold winters (Gallo et al. 2022), we also want to quantify the relationship between opossum detection probability and average weekly temperature.</w:t>
      </w:r>
    </w:p>
    <w:p w14:paraId="69D26A81" w14:textId="6E269C3C" w:rsidR="00763B26" w:rsidRDefault="00B80937" w:rsidP="00152850">
      <w:r>
        <w:t>Save for weekly temperature,</w:t>
      </w:r>
      <w:r w:rsidR="00763B26">
        <w:t xml:space="preserve"> all of the </w:t>
      </w:r>
      <w:r>
        <w:t xml:space="preserve">other </w:t>
      </w:r>
      <w:r w:rsidR="00763B26">
        <w:t xml:space="preserve">data to conduct this analysis is included within </w:t>
      </w:r>
      <w:proofErr w:type="spellStart"/>
      <w:r w:rsidR="00763B26" w:rsidRPr="00763B26">
        <w:rPr>
          <w:rFonts w:ascii="Lucida Console" w:hAnsi="Lucida Console"/>
        </w:rPr>
        <w:t>autoOcc</w:t>
      </w:r>
      <w:proofErr w:type="spellEnd"/>
      <w:r w:rsidR="00763B26">
        <w:t xml:space="preserve">, and so our first objective would be to load the detection data and format it for analysis.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w:t>
      </w:r>
      <w:proofErr w:type="spellStart"/>
      <w:r>
        <w:rPr>
          <w:rFonts w:ascii="Lucida Console" w:hAnsi="Lucida Console"/>
        </w:rPr>
        <w:t>autoOcc</w:t>
      </w:r>
      <w:proofErr w:type="spellEnd"/>
      <w:r>
        <w:rPr>
          <w:rFonts w:ascii="Lucida Console" w:hAnsi="Lucida Console"/>
        </w:rPr>
        <w:t>)</w:t>
      </w:r>
    </w:p>
    <w:p w14:paraId="389EE576" w14:textId="77EA77AD" w:rsidR="00763B26" w:rsidRDefault="00763B26" w:rsidP="00763B26">
      <w:pPr>
        <w:spacing w:line="240" w:lineRule="auto"/>
        <w:contextualSpacing/>
        <w:rPr>
          <w:rFonts w:ascii="Lucida Console" w:hAnsi="Lucida Console"/>
        </w:rPr>
      </w:pPr>
      <w:r w:rsidRPr="00763B26">
        <w:rPr>
          <w:rFonts w:ascii="Lucida Console" w:hAnsi="Lucida Console"/>
        </w:rPr>
        <w:t>data("</w:t>
      </w:r>
      <w:proofErr w:type="spellStart"/>
      <w:r w:rsidRPr="00763B26">
        <w:rPr>
          <w:rFonts w:ascii="Lucida Console" w:hAnsi="Lucida Console"/>
        </w:rPr>
        <w:t>opossum_det_hist</w:t>
      </w:r>
      <w:proofErr w:type="spellEnd"/>
      <w:r w:rsidRPr="00763B26">
        <w:rPr>
          <w:rFonts w:ascii="Lucida Console" w:hAnsi="Lucida Console"/>
        </w:rPr>
        <w:t>")</w:t>
      </w:r>
    </w:p>
    <w:p w14:paraId="2CF2B31C" w14:textId="77777777" w:rsidR="00763B26" w:rsidRPr="00763B26" w:rsidRDefault="00763B26" w:rsidP="00763B26">
      <w:pPr>
        <w:spacing w:line="240" w:lineRule="auto"/>
        <w:contextualSpacing/>
        <w:rPr>
          <w:rFonts w:ascii="Lucida Console" w:hAnsi="Lucida Console"/>
        </w:rPr>
      </w:pPr>
    </w:p>
    <w:p w14:paraId="553F9404" w14:textId="64ED07D8" w:rsidR="00763B26" w:rsidRDefault="00763B26" w:rsidP="00B80937">
      <w:r>
        <w:t>If you looked at this dataset or checked it’s help file</w:t>
      </w:r>
      <w:r w:rsidR="00192C11">
        <w:t xml:space="preserve"> (</w:t>
      </w:r>
      <w:r w:rsidR="00192C11" w:rsidRPr="00192C11">
        <w:rPr>
          <w:rFonts w:ascii="Lucida Console" w:hAnsi="Lucida Console"/>
        </w:rPr>
        <w:t>?</w:t>
      </w:r>
      <w:proofErr w:type="spellStart"/>
      <w:r w:rsidR="00192C11" w:rsidRPr="00192C11">
        <w:rPr>
          <w:rFonts w:ascii="Lucida Console" w:hAnsi="Lucida Console"/>
        </w:rPr>
        <w:t>opossum_det_hist</w:t>
      </w:r>
      <w:proofErr w:type="spellEnd"/>
      <w:r w:rsidR="00192C11">
        <w:t>)</w:t>
      </w:r>
      <w:r>
        <w:t xml:space="preserve"> you should notice that it has 6 self-explanatory columns: Site, Season, and Week_1</w:t>
      </w:r>
      <w:r w:rsidR="00192C11">
        <w:t>, Week_2, Week_3, and</w:t>
      </w:r>
      <w:r>
        <w:t xml:space="preserve"> Week_4. Furthermore, this dataset is in long format and sorted temporally by season and then alphabetically by site. To use this dataset in </w:t>
      </w:r>
      <w:proofErr w:type="spellStart"/>
      <w:r w:rsidRPr="00763B26">
        <w:rPr>
          <w:rFonts w:ascii="Lucida Console" w:hAnsi="Lucida Console"/>
        </w:rPr>
        <w:t>autoOcc</w:t>
      </w:r>
      <w:proofErr w:type="spellEnd"/>
      <w:r>
        <w:t xml:space="preserve">, we first need to convert it to a </w:t>
      </w:r>
      <w:r>
        <w:t>site by season by survey</w:t>
      </w:r>
      <w:r>
        <w:t xml:space="preserve"> three-dimensional array. This can be done with the function </w:t>
      </w:r>
      <w:proofErr w:type="spellStart"/>
      <w:r w:rsidRPr="00763B26">
        <w:rPr>
          <w:rFonts w:ascii="Lucida Console" w:hAnsi="Lucida Console"/>
        </w:rPr>
        <w:t>format_y</w:t>
      </w:r>
      <w:proofErr w:type="spellEnd"/>
      <w:r w:rsidRPr="00763B26">
        <w:rPr>
          <w:rFonts w:ascii="Lucida Console" w:hAnsi="Lucida Console"/>
        </w:rPr>
        <w:t>()</w:t>
      </w:r>
      <w:r>
        <w:t xml:space="preserve">, which requires you to specify which columns denote sites, seasons, and detection data. </w:t>
      </w:r>
    </w:p>
    <w:p w14:paraId="170464CD" w14:textId="77777777" w:rsidR="00763B26" w:rsidRDefault="00763B26" w:rsidP="00763B26"/>
    <w:p w14:paraId="118501D3"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format the detection data as it is currently</w:t>
      </w:r>
    </w:p>
    <w:p w14:paraId="53F831AD" w14:textId="7396A810" w:rsidR="00763B26" w:rsidRDefault="00763B26" w:rsidP="00763B26">
      <w:pPr>
        <w:spacing w:line="240" w:lineRule="auto"/>
        <w:contextualSpacing/>
        <w:rPr>
          <w:rFonts w:ascii="Lucida Console" w:hAnsi="Lucida Console"/>
        </w:rPr>
      </w:pPr>
      <w:r w:rsidRPr="00763B26">
        <w:rPr>
          <w:rFonts w:ascii="Lucida Console" w:hAnsi="Lucida Console"/>
        </w:rPr>
        <w:t>#  in long format.</w:t>
      </w:r>
    </w:p>
    <w:p w14:paraId="2207F3E1" w14:textId="63DF9DFE" w:rsidR="00763B26" w:rsidRPr="00763B26" w:rsidRDefault="00763B26" w:rsidP="00763B26">
      <w:pPr>
        <w:spacing w:line="240" w:lineRule="auto"/>
        <w:contextualSpacing/>
        <w:rPr>
          <w:rFonts w:ascii="Lucida Console" w:hAnsi="Lucida Console"/>
        </w:rPr>
      </w:pPr>
      <w:proofErr w:type="spellStart"/>
      <w:r w:rsidRPr="00763B26">
        <w:rPr>
          <w:rFonts w:ascii="Lucida Console" w:hAnsi="Lucida Console"/>
        </w:rPr>
        <w:t>opossum_y</w:t>
      </w:r>
      <w:proofErr w:type="spellEnd"/>
      <w:r w:rsidRPr="00763B26">
        <w:rPr>
          <w:rFonts w:ascii="Lucida Console" w:hAnsi="Lucida Console"/>
        </w:rPr>
        <w:t xml:space="preserve"> &lt;- </w:t>
      </w:r>
      <w:proofErr w:type="spellStart"/>
      <w:r w:rsidRPr="00763B26">
        <w:rPr>
          <w:rFonts w:ascii="Lucida Console" w:hAnsi="Lucida Console"/>
        </w:rPr>
        <w:t>format_y</w:t>
      </w:r>
      <w:proofErr w:type="spellEnd"/>
      <w:r w:rsidRPr="00763B26">
        <w:rPr>
          <w:rFonts w:ascii="Lucida Console" w:hAnsi="Lucida Console"/>
        </w:rPr>
        <w:t>(</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w:t>
      </w:r>
      <w:proofErr w:type="spellStart"/>
      <w:r w:rsidRPr="00763B26">
        <w:rPr>
          <w:rFonts w:ascii="Lucida Console" w:hAnsi="Lucida Console"/>
        </w:rPr>
        <w:t>opossum_det_hist</w:t>
      </w:r>
      <w:proofErr w:type="spellEnd"/>
      <w:r w:rsidRPr="00763B26">
        <w:rPr>
          <w:rFonts w:ascii="Lucida Console" w:hAnsi="Lucida Console"/>
        </w:rPr>
        <w: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site_column</w:t>
      </w:r>
      <w:proofErr w:type="spellEnd"/>
      <w:r w:rsidRPr="00763B26">
        <w:rPr>
          <w:rFonts w:ascii="Lucida Console" w:hAnsi="Lucida Console"/>
        </w:rPr>
        <w:t xml:space="preserve">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time_column</w:t>
      </w:r>
      <w:proofErr w:type="spellEnd"/>
      <w:r w:rsidRPr="00763B26">
        <w:rPr>
          <w:rFonts w:ascii="Lucida Console" w:hAnsi="Lucida Console"/>
        </w:rPr>
        <w:t xml:space="preserve"> = "Season",</w:t>
      </w:r>
    </w:p>
    <w:p w14:paraId="00623EF0"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history_columns</w:t>
      </w:r>
      <w:proofErr w:type="spellEnd"/>
      <w:r w:rsidRPr="00763B26">
        <w:rPr>
          <w:rFonts w:ascii="Lucida Console" w:hAnsi="Lucida Console"/>
        </w:rPr>
        <w:t xml:space="preserve">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2A402FA7" w14:textId="1047E680" w:rsidR="00192C11" w:rsidRDefault="00192C11" w:rsidP="00152850">
      <w:r>
        <w:t xml:space="preserve">The output of this function is the three-dimensional array we need for analysis. Following that, we need to collect the site-level covariates as well as the temporally varying temperature data. For the former, you can load the covariates that are included as data within </w:t>
      </w:r>
      <w:proofErr w:type="spellStart"/>
      <w:r w:rsidRPr="00192C11">
        <w:rPr>
          <w:rFonts w:ascii="Lucida Console" w:hAnsi="Lucida Console"/>
        </w:rPr>
        <w:t>autoOcc</w:t>
      </w:r>
      <w:proofErr w:type="spellEnd"/>
      <w:r>
        <w:t>.</w:t>
      </w:r>
      <w:r w:rsidR="00F03774">
        <w:t xml:space="preserve"> To represent urban intensity I calculated the proportion of impervious cover within 1 km of each sampling location (NLCD 2016 citation). To represent neighborhood wealth I calculated the median per capita income within 1 km of each sampling location from the 2014-2018 American Community Survey (citation).</w:t>
      </w:r>
    </w:p>
    <w:p w14:paraId="4D559CF5" w14:textId="77777777" w:rsidR="00F03774" w:rsidRDefault="00F03774" w:rsidP="00152850"/>
    <w:p w14:paraId="597A681B" w14:textId="6E739DA1" w:rsidR="00F03774" w:rsidRDefault="00F03774" w:rsidP="00F03774">
      <w:pPr>
        <w:spacing w:line="240" w:lineRule="auto"/>
        <w:contextualSpacing/>
      </w:pPr>
      <w:r>
        <w:lastRenderedPageBreak/>
        <w:t># load covariates</w:t>
      </w:r>
    </w:p>
    <w:p w14:paraId="4A3AFAE8" w14:textId="26425317" w:rsidR="00F03774" w:rsidRDefault="00F03774" w:rsidP="00F03774">
      <w:pPr>
        <w:spacing w:line="240" w:lineRule="auto"/>
        <w:contextualSpacing/>
      </w:pPr>
      <w:r>
        <w:t>data("</w:t>
      </w:r>
      <w:proofErr w:type="spellStart"/>
      <w:r>
        <w:t>opossum_covariates</w:t>
      </w:r>
      <w:proofErr w:type="spellEnd"/>
      <w:r>
        <w:t>")</w:t>
      </w:r>
    </w:p>
    <w:p w14:paraId="53B86508" w14:textId="77777777" w:rsidR="00F03774" w:rsidRDefault="00F03774" w:rsidP="00F03774">
      <w:pPr>
        <w:spacing w:line="240" w:lineRule="auto"/>
        <w:contextualSpacing/>
      </w:pPr>
    </w:p>
    <w:p w14:paraId="6408BA12" w14:textId="49A86108" w:rsidR="00F03774" w:rsidRDefault="00F03774" w:rsidP="00F03774">
      <w:pPr>
        <w:spacing w:line="240" w:lineRule="auto"/>
        <w:contextualSpacing/>
      </w:pPr>
      <w:r>
        <w:t>#</w:t>
      </w:r>
      <w:r>
        <w:t xml:space="preserve"> subset</w:t>
      </w:r>
      <w:r>
        <w:t xml:space="preserve"> only impervious and income</w:t>
      </w:r>
    </w:p>
    <w:p w14:paraId="3DD74065" w14:textId="77777777" w:rsidR="00F03774" w:rsidRDefault="00F03774" w:rsidP="00F03774">
      <w:pPr>
        <w:spacing w:line="240" w:lineRule="auto"/>
        <w:contextualSpacing/>
      </w:pPr>
      <w:proofErr w:type="spellStart"/>
      <w:r>
        <w:t>opossum_covariates</w:t>
      </w:r>
      <w:proofErr w:type="spellEnd"/>
      <w:r>
        <w:t xml:space="preserve"> &lt;- </w:t>
      </w:r>
      <w:proofErr w:type="spellStart"/>
      <w:r>
        <w:t>opossum_covariates</w:t>
      </w:r>
      <w:proofErr w:type="spellEnd"/>
      <w:r>
        <w:t>[,</w:t>
      </w:r>
    </w:p>
    <w:p w14:paraId="05CE4633" w14:textId="77777777" w:rsidR="00F03774" w:rsidRDefault="00F03774" w:rsidP="00F03774">
      <w:pPr>
        <w:spacing w:line="240" w:lineRule="auto"/>
        <w:contextualSpacing/>
      </w:pPr>
      <w:r>
        <w:t xml:space="preserve">  grep("</w:t>
      </w:r>
      <w:proofErr w:type="spellStart"/>
      <w:r>
        <w:t>Impervious|Income</w:t>
      </w:r>
      <w:proofErr w:type="spellEnd"/>
      <w:r>
        <w:t xml:space="preserve">", </w:t>
      </w:r>
      <w:proofErr w:type="spellStart"/>
      <w:r>
        <w:t>colnames</w:t>
      </w:r>
      <w:proofErr w:type="spellEnd"/>
      <w:r>
        <w:t>(</w:t>
      </w:r>
      <w:proofErr w:type="spellStart"/>
      <w:r>
        <w:t>opossum_covariates</w:t>
      </w:r>
      <w:proofErr w:type="spellEnd"/>
      <w:r>
        <w:t>))</w:t>
      </w:r>
    </w:p>
    <w:p w14:paraId="298A29C7" w14:textId="5567CE65" w:rsidR="00F03774" w:rsidRDefault="00F03774" w:rsidP="00F03774">
      <w:pPr>
        <w:spacing w:line="240" w:lineRule="auto"/>
        <w:contextualSpacing/>
      </w:pPr>
      <w:r>
        <w:t>]</w:t>
      </w:r>
    </w:p>
    <w:p w14:paraId="2B48BAA5" w14:textId="77777777" w:rsidR="00F03774" w:rsidRDefault="00F03774" w:rsidP="00F03774">
      <w:pPr>
        <w:spacing w:line="240" w:lineRule="auto"/>
        <w:contextualSpacing/>
      </w:pPr>
    </w:p>
    <w:p w14:paraId="7D5A4EFB" w14:textId="7603A51A" w:rsidR="00F03774" w:rsidRDefault="00F03774" w:rsidP="00F03774">
      <w:pPr>
        <w:spacing w:line="240" w:lineRule="auto"/>
        <w:contextualSpacing/>
      </w:pPr>
      <w:r>
        <w:t xml:space="preserve">While you will soon see how </w:t>
      </w:r>
      <w:proofErr w:type="spellStart"/>
      <w:r>
        <w:t>autoOcc</w:t>
      </w:r>
      <w:proofErr w:type="spellEnd"/>
      <w:r>
        <w:t xml:space="preserve"> can handle temporally varying covariates, for this analysis the latent state covariates only vary spatially. As such, all we should do with is scale these covariates so that they have unit variance and a mean of zero and provide them as a </w:t>
      </w:r>
      <w:proofErr w:type="spellStart"/>
      <w:r w:rsidRPr="00F418E3">
        <w:t>data.frame</w:t>
      </w:r>
      <w:proofErr w:type="spellEnd"/>
      <w:r>
        <w:t xml:space="preserve"> to </w:t>
      </w:r>
      <w:proofErr w:type="spellStart"/>
      <w:r w:rsidRPr="00F03774">
        <w:rPr>
          <w:rFonts w:ascii="Lucida Console" w:hAnsi="Lucida Console"/>
        </w:rPr>
        <w:t>autoOcc</w:t>
      </w:r>
      <w:proofErr w:type="spellEnd"/>
      <w:r>
        <w:t xml:space="preserve">. The code below checks if a column in the dataset is numeric, and if so, scales it accordingly, and then returns a </w:t>
      </w:r>
      <w:proofErr w:type="spellStart"/>
      <w:r>
        <w:t>data.frame</w:t>
      </w:r>
      <w:proofErr w:type="spellEnd"/>
      <w:r>
        <w:t xml:space="preserve">. With only two covariates, this can do done rather simply with the </w:t>
      </w:r>
      <w:r w:rsidRPr="00F03774">
        <w:rPr>
          <w:rFonts w:ascii="Lucida Console" w:hAnsi="Lucida Console"/>
        </w:rPr>
        <w:t>scale()</w:t>
      </w:r>
      <w:r>
        <w:t xml:space="preserve"> function in R.</w:t>
      </w:r>
    </w:p>
    <w:p w14:paraId="7D95BF52" w14:textId="3A875523" w:rsidR="00F03774" w:rsidRDefault="00F03774" w:rsidP="00F03774">
      <w:pPr>
        <w:spacing w:line="240" w:lineRule="auto"/>
        <w:contextualSpacing/>
      </w:pPr>
    </w:p>
    <w:p w14:paraId="6A5B81D7" w14:textId="3822773B" w:rsidR="00F03774" w:rsidRPr="00F418E3" w:rsidRDefault="00F418E3" w:rsidP="00F03774">
      <w:pPr>
        <w:spacing w:line="240" w:lineRule="auto"/>
        <w:contextualSpacing/>
        <w:rPr>
          <w:rFonts w:ascii="Lucida Console" w:hAnsi="Lucida Console"/>
        </w:rPr>
      </w:pPr>
      <w:r w:rsidRPr="00F418E3">
        <w:rPr>
          <w:rFonts w:ascii="Lucida Console" w:hAnsi="Lucida Console"/>
        </w:rPr>
        <w:t># scale covariates, and convert them back to numeric class.</w:t>
      </w:r>
    </w:p>
    <w:p w14:paraId="4B737EB5"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w:t>
      </w:r>
      <w:proofErr w:type="spellEnd"/>
      <w:r w:rsidRPr="00F03774">
        <w:rPr>
          <w:rFonts w:ascii="Lucida Console" w:hAnsi="Lucida Console"/>
        </w:rPr>
        <w:t xml:space="preserve"> &lt;- </w:t>
      </w:r>
      <w:proofErr w:type="spellStart"/>
      <w:r w:rsidRPr="00F03774">
        <w:rPr>
          <w:rFonts w:ascii="Lucida Console" w:hAnsi="Lucida Console"/>
        </w:rPr>
        <w:t>opossum_covariates</w:t>
      </w:r>
      <w:proofErr w:type="spellEnd"/>
    </w:p>
    <w:p w14:paraId="28D0BBB3"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occ_cov_list$Impervious</w:t>
      </w:r>
      <w:proofErr w:type="spellEnd"/>
      <w:r w:rsidRPr="00F03774">
        <w:rPr>
          <w:rFonts w:ascii="Lucida Console" w:hAnsi="Lucida Console"/>
        </w:rPr>
        <w:t xml:space="preserve"> &lt;- </w:t>
      </w:r>
      <w:proofErr w:type="spellStart"/>
      <w:r w:rsidRPr="00F03774">
        <w:rPr>
          <w:rFonts w:ascii="Lucida Console" w:hAnsi="Lucida Console"/>
        </w:rPr>
        <w:t>as.numeric</w:t>
      </w:r>
      <w:proofErr w:type="spellEnd"/>
      <w:r w:rsidRPr="00F03774">
        <w:rPr>
          <w:rFonts w:ascii="Lucida Console" w:hAnsi="Lucida Console"/>
        </w:rPr>
        <w:t>(scale(</w:t>
      </w:r>
      <w:proofErr w:type="spellStart"/>
      <w:r w:rsidRPr="00F03774">
        <w:rPr>
          <w:rFonts w:ascii="Lucida Console" w:hAnsi="Lucida Console"/>
        </w:rPr>
        <w:t>occ_cov_list$Impervious</w:t>
      </w:r>
      <w:proofErr w:type="spellEnd"/>
      <w:r w:rsidRPr="00F03774">
        <w:rPr>
          <w:rFonts w:ascii="Lucida Console" w:hAnsi="Lucida Console"/>
        </w:rPr>
        <w:t>))</w:t>
      </w:r>
    </w:p>
    <w:p w14:paraId="4505F0C2" w14:textId="6ABD829D"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occ_cov_list$Income</w:t>
      </w:r>
      <w:proofErr w:type="spellEnd"/>
      <w:r w:rsidRPr="00F03774">
        <w:rPr>
          <w:rFonts w:ascii="Lucida Console" w:hAnsi="Lucida Console"/>
        </w:rPr>
        <w:t xml:space="preserve"> &lt;- </w:t>
      </w:r>
      <w:proofErr w:type="spellStart"/>
      <w:r w:rsidRPr="00F03774">
        <w:rPr>
          <w:rFonts w:ascii="Lucida Console" w:hAnsi="Lucida Console"/>
        </w:rPr>
        <w:t>as.numeric</w:t>
      </w:r>
      <w:proofErr w:type="spellEnd"/>
      <w:r w:rsidRPr="00F03774">
        <w:rPr>
          <w:rFonts w:ascii="Lucida Console" w:hAnsi="Lucida Console"/>
        </w:rPr>
        <w:t>(scale(</w:t>
      </w:r>
      <w:proofErr w:type="spellStart"/>
      <w:r w:rsidRPr="00F03774">
        <w:rPr>
          <w:rFonts w:ascii="Lucida Console" w:hAnsi="Lucida Console"/>
        </w:rPr>
        <w:t>occ_cov_list$Income</w:t>
      </w:r>
      <w:proofErr w:type="spellEnd"/>
      <w:r w:rsidRPr="00F03774">
        <w:rPr>
          <w:rFonts w:ascii="Lucida Console" w:hAnsi="Lucida Console"/>
        </w:rPr>
        <w:t>))</w:t>
      </w:r>
    </w:p>
    <w:p w14:paraId="3538B31F" w14:textId="77777777" w:rsidR="00F03774" w:rsidRDefault="00F03774" w:rsidP="00F03774">
      <w:pPr>
        <w:spacing w:line="240" w:lineRule="auto"/>
        <w:contextualSpacing/>
      </w:pPr>
    </w:p>
    <w:p w14:paraId="342D9FD8" w14:textId="4CBCC3C1" w:rsidR="00F03774" w:rsidRPr="00C76659" w:rsidRDefault="00C76659" w:rsidP="00F03774">
      <w:pPr>
        <w:spacing w:line="240" w:lineRule="auto"/>
        <w:contextualSpacing/>
      </w:pPr>
      <w:r>
        <w:t>If covariates do vary temporally, then covariate data must be supplied as a named list object</w:t>
      </w:r>
      <w:r w:rsidR="00F418E3">
        <w:t xml:space="preserve"> instead of a </w:t>
      </w:r>
      <w:proofErr w:type="spellStart"/>
      <w:r w:rsidR="00F418E3">
        <w:t>data.frame</w:t>
      </w:r>
      <w:proofErr w:type="spellEnd"/>
      <w:r>
        <w:t xml:space="preserve">. Such a setup should hopefully be familiar to those who have used the  </w:t>
      </w:r>
      <w:r w:rsidRPr="00C76659">
        <w:rPr>
          <w:rFonts w:ascii="Lucida Console" w:hAnsi="Lucida Console"/>
        </w:rPr>
        <w:t>unmarked</w:t>
      </w:r>
      <w:r w:rsidR="00F418E3">
        <w:rPr>
          <w:rFonts w:ascii="Lucida Console" w:hAnsi="Lucida Console"/>
        </w:rPr>
        <w:t xml:space="preserve"> </w:t>
      </w:r>
      <w:r>
        <w:t xml:space="preserve">package in the past </w:t>
      </w:r>
      <w:r w:rsidR="00F418E3">
        <w:t xml:space="preserve">for their occupancy analyses </w:t>
      </w:r>
      <w:r>
        <w:t xml:space="preserve">(unmarked citation). </w:t>
      </w:r>
    </w:p>
    <w:p w14:paraId="3BC926EE" w14:textId="77777777" w:rsidR="00F03774" w:rsidRPr="00152850" w:rsidRDefault="00F03774" w:rsidP="00F03774">
      <w:pPr>
        <w:spacing w:line="240" w:lineRule="auto"/>
        <w:contextualSpacing/>
      </w:pPr>
    </w:p>
    <w:p w14:paraId="15EEB3A2" w14:textId="110A17F5" w:rsidR="00332A39" w:rsidRDefault="00332A39" w:rsidP="00332A39">
      <w:pPr>
        <w:pStyle w:val="Heading2"/>
      </w:pPr>
      <w:r>
        <w:t xml:space="preserve">Black-backed woodpecker </w:t>
      </w:r>
      <w:r w:rsidR="003735B4">
        <w:t xml:space="preserve">occupancy </w:t>
      </w:r>
      <w:r>
        <w:t xml:space="preserve">throughout </w:t>
      </w:r>
      <w:r w:rsidR="003735B4">
        <w:t xml:space="preserve">the montane forests of </w:t>
      </w:r>
      <w:r>
        <w:t>California</w:t>
      </w:r>
    </w:p>
    <w:p w14:paraId="72FF5327" w14:textId="7D2F51A3" w:rsidR="00332A39" w:rsidRDefault="00332A39" w:rsidP="00332A39">
      <w:pPr>
        <w:pStyle w:val="Heading1"/>
      </w:pPr>
      <w:r>
        <w:t>Caveats</w:t>
      </w:r>
    </w:p>
    <w:p w14:paraId="2F5DFB08" w14:textId="5AEEBF0A" w:rsidR="00332A39" w:rsidRDefault="00796244" w:rsidP="00796244">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5CD5EA6"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6C78A571" w14:textId="77777777" w:rsidR="00B212BE" w:rsidRDefault="00B212BE"/>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Bailey, L. L., </w:t>
      </w: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2D46907C" w14:textId="77777777" w:rsidR="00636EBB" w:rsidRDefault="00636EBB">
      <w:pPr>
        <w:rPr>
          <w:rFonts w:ascii="Arial" w:hAnsi="Arial" w:cs="Arial"/>
          <w:color w:val="222222"/>
          <w:sz w:val="20"/>
          <w:szCs w:val="20"/>
          <w:shd w:val="clear" w:color="auto" w:fill="FFFFFF"/>
        </w:rPr>
      </w:pPr>
    </w:p>
    <w:p w14:paraId="32ED0FED" w14:textId="49BE89CB" w:rsidR="00636EBB" w:rsidRDefault="00636EBB">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sectPr w:rsidR="0063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A3810"/>
    <w:rsid w:val="000E5D5D"/>
    <w:rsid w:val="00130DF5"/>
    <w:rsid w:val="00152850"/>
    <w:rsid w:val="00156831"/>
    <w:rsid w:val="00186FC5"/>
    <w:rsid w:val="00192C11"/>
    <w:rsid w:val="001A1BAF"/>
    <w:rsid w:val="001F2BE4"/>
    <w:rsid w:val="0023159C"/>
    <w:rsid w:val="002A0CED"/>
    <w:rsid w:val="00332A39"/>
    <w:rsid w:val="00335159"/>
    <w:rsid w:val="003735B4"/>
    <w:rsid w:val="00381DB8"/>
    <w:rsid w:val="004050B6"/>
    <w:rsid w:val="00412B19"/>
    <w:rsid w:val="00423EEF"/>
    <w:rsid w:val="0044412C"/>
    <w:rsid w:val="00447722"/>
    <w:rsid w:val="004A6CCF"/>
    <w:rsid w:val="004A7AC7"/>
    <w:rsid w:val="004F4C46"/>
    <w:rsid w:val="0050703F"/>
    <w:rsid w:val="00533921"/>
    <w:rsid w:val="00542CA0"/>
    <w:rsid w:val="00566D2F"/>
    <w:rsid w:val="005842B5"/>
    <w:rsid w:val="005A6D8B"/>
    <w:rsid w:val="005D0AC1"/>
    <w:rsid w:val="005F2C70"/>
    <w:rsid w:val="005F5D59"/>
    <w:rsid w:val="006019C0"/>
    <w:rsid w:val="00605B10"/>
    <w:rsid w:val="00626652"/>
    <w:rsid w:val="0063559C"/>
    <w:rsid w:val="00636EBB"/>
    <w:rsid w:val="00642113"/>
    <w:rsid w:val="00670065"/>
    <w:rsid w:val="0067673D"/>
    <w:rsid w:val="006933EC"/>
    <w:rsid w:val="00693AFB"/>
    <w:rsid w:val="00694010"/>
    <w:rsid w:val="006C696E"/>
    <w:rsid w:val="007130D2"/>
    <w:rsid w:val="00755356"/>
    <w:rsid w:val="00763B26"/>
    <w:rsid w:val="00771582"/>
    <w:rsid w:val="00775BE2"/>
    <w:rsid w:val="00792F04"/>
    <w:rsid w:val="00796244"/>
    <w:rsid w:val="007F0603"/>
    <w:rsid w:val="00827036"/>
    <w:rsid w:val="00847008"/>
    <w:rsid w:val="00877401"/>
    <w:rsid w:val="008B5549"/>
    <w:rsid w:val="008B655C"/>
    <w:rsid w:val="009312AC"/>
    <w:rsid w:val="00944614"/>
    <w:rsid w:val="0096503C"/>
    <w:rsid w:val="0097546B"/>
    <w:rsid w:val="00993373"/>
    <w:rsid w:val="009C3F28"/>
    <w:rsid w:val="009F386F"/>
    <w:rsid w:val="00A14749"/>
    <w:rsid w:val="00A57D9C"/>
    <w:rsid w:val="00A67553"/>
    <w:rsid w:val="00AA383C"/>
    <w:rsid w:val="00AB08D8"/>
    <w:rsid w:val="00AB341E"/>
    <w:rsid w:val="00AB6698"/>
    <w:rsid w:val="00AD183D"/>
    <w:rsid w:val="00AF5B0A"/>
    <w:rsid w:val="00B212BE"/>
    <w:rsid w:val="00B5638B"/>
    <w:rsid w:val="00B80937"/>
    <w:rsid w:val="00BC4346"/>
    <w:rsid w:val="00C1572D"/>
    <w:rsid w:val="00C26CE2"/>
    <w:rsid w:val="00C76659"/>
    <w:rsid w:val="00CA2425"/>
    <w:rsid w:val="00CF39D0"/>
    <w:rsid w:val="00D501C8"/>
    <w:rsid w:val="00D659F9"/>
    <w:rsid w:val="00D75B7E"/>
    <w:rsid w:val="00DD1D2D"/>
    <w:rsid w:val="00E1425E"/>
    <w:rsid w:val="00E450A9"/>
    <w:rsid w:val="00E61F22"/>
    <w:rsid w:val="00E824D3"/>
    <w:rsid w:val="00EA10FA"/>
    <w:rsid w:val="00EB3F61"/>
    <w:rsid w:val="00EB5FE6"/>
    <w:rsid w:val="00ED7599"/>
    <w:rsid w:val="00F030A3"/>
    <w:rsid w:val="00F03774"/>
    <w:rsid w:val="00F32AA3"/>
    <w:rsid w:val="00F36728"/>
    <w:rsid w:val="00F418E3"/>
    <w:rsid w:val="00F54C92"/>
    <w:rsid w:val="00F74734"/>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10</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24</cp:revision>
  <dcterms:created xsi:type="dcterms:W3CDTF">2024-01-22T20:21:00Z</dcterms:created>
  <dcterms:modified xsi:type="dcterms:W3CDTF">2024-01-30T21:58:00Z</dcterms:modified>
</cp:coreProperties>
</file>