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71CEEE40"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intercepts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89CBDD" w14:textId="7758B58D" w:rsidR="00085F38" w:rsidRDefault="007A47D0" w:rsidP="00380BE3">
      <w:pPr>
        <w:spacing w:line="480" w:lineRule="auto"/>
        <w:ind w:firstLine="720"/>
      </w:pPr>
      <w:proofErr w:type="spellStart"/>
      <w:r>
        <w:t>Autologistic</w:t>
      </w:r>
      <w:proofErr w:type="spellEnd"/>
      <w:r>
        <w:t xml:space="preserve">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085F38">
        <w:t>.</w:t>
      </w:r>
      <w:r w:rsidR="00820A77">
        <w:t xml:space="preserve"> Spatial </w:t>
      </w:r>
      <w:proofErr w:type="spellStart"/>
      <w:r w:rsidR="00820A77">
        <w:t>autologistic</w:t>
      </w:r>
      <w:proofErr w:type="spellEnd"/>
      <w:r w:rsidR="00820A77">
        <w:t xml:space="preserve">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xml:space="preserve">.  Temporal </w:t>
      </w:r>
      <w:proofErr w:type="spellStart"/>
      <w:r w:rsidR="00820A77">
        <w:t>autologistic</w:t>
      </w:r>
      <w:proofErr w:type="spellEnd"/>
      <w:r w:rsidR="00820A77">
        <w:t xml:space="preserve"> occupancy models</w:t>
      </w:r>
      <w:r w:rsidR="006B12B9">
        <w:t xml:space="preserve"> </w:t>
      </w:r>
      <w:r w:rsidR="00820A77">
        <w:t xml:space="preserve">account for temporal autocorrelation </w:t>
      </w:r>
      <w:r w:rsidR="006B12B9">
        <w:t>as a first-order Markov process so</w:t>
      </w:r>
      <w:r w:rsidR="00820A77">
        <w:t xml:space="preserve"> th</w:t>
      </w:r>
      <w:r w:rsidR="006B12B9">
        <w:t>at the</w:t>
      </w:r>
      <w:r w:rsidR="00820A77">
        <w:t xml:space="preserve"> occupancy probability at a site can vary if </w:t>
      </w:r>
      <w:r w:rsidR="006B12B9">
        <w:t>it</w:t>
      </w:r>
      <w:r w:rsidR="00820A77">
        <w:t xml:space="preserve"> was also occupied </w:t>
      </w:r>
      <w:r w:rsidR="00997BA1">
        <w:t>in</w:t>
      </w:r>
      <w:r w:rsidR="00820A77">
        <w:t xml:space="preserve"> the previous timestep.</w:t>
      </w:r>
      <w:r w:rsidR="00085F38">
        <w:t xml:space="preserve"> </w:t>
      </w:r>
      <w:r>
        <w:t>While</w:t>
      </w:r>
      <w:r w:rsidR="00085F38">
        <w:t xml:space="preserve"> I</w:t>
      </w:r>
      <w:r>
        <w:t xml:space="preserve"> specifically</w:t>
      </w:r>
      <w:r w:rsidR="00085F38">
        <w:t xml:space="preserve"> focus on temporal </w:t>
      </w:r>
      <w:proofErr w:type="spellStart"/>
      <w:r w:rsidR="00085F38">
        <w:t>autologistic</w:t>
      </w:r>
      <w:proofErr w:type="spellEnd"/>
      <w:r w:rsidR="00085F38">
        <w:t xml:space="preserve"> </w:t>
      </w:r>
      <w:r>
        <w:t xml:space="preserve">occupancy </w:t>
      </w:r>
      <w:r w:rsidR="00085F38">
        <w:t>models</w:t>
      </w:r>
      <w:r w:rsidR="00820A77">
        <w:t xml:space="preserve"> here</w:t>
      </w:r>
      <w:r w:rsidR="00085F38">
        <w:t xml:space="preserve">, those interested in spatial </w:t>
      </w:r>
      <w:proofErr w:type="spellStart"/>
      <w:r w:rsidR="00085F38">
        <w:t>autologistic</w:t>
      </w:r>
      <w:proofErr w:type="spellEnd"/>
      <w:r w:rsidR="00085F38">
        <w:t xml:space="preserve"> models can refer to </w:t>
      </w:r>
      <w:r w:rsidR="00E15950">
        <w:t>Royle and Dorazio (2008).</w:t>
      </w:r>
      <w:r>
        <w:t xml:space="preserve"> </w:t>
      </w:r>
      <w:r w:rsidR="00226C94">
        <w:t xml:space="preserve">Temporal </w:t>
      </w:r>
      <w:proofErr w:type="spellStart"/>
      <w:r w:rsidR="00226C94">
        <w:t>autologistic</w:t>
      </w:r>
      <w:proofErr w:type="spellEnd"/>
      <w:r w:rsidR="00226C94">
        <w:t xml:space="preserve"> occupancy models</w:t>
      </w:r>
      <w:r w:rsidR="00997BA1">
        <w:t xml:space="preserve"> (hereafter </w:t>
      </w:r>
      <w:proofErr w:type="spellStart"/>
      <w:r w:rsidR="00997BA1">
        <w:t>autologistic</w:t>
      </w:r>
      <w:proofErr w:type="spellEnd"/>
      <w:r w:rsidR="00997BA1">
        <w:t xml:space="preserve"> occupancy models)</w:t>
      </w:r>
      <w:r w:rsidR="00226C94">
        <w:t xml:space="preserve"> have been</w:t>
      </w:r>
      <w:r w:rsidR="00E15950">
        <w:t xml:space="preserve"> applied to numerous taxa</w:t>
      </w:r>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lastRenderedPageBreak/>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lastRenderedPageBreak/>
        <w:t>Explanation of the method</w:t>
      </w:r>
    </w:p>
    <w:p w14:paraId="77A9340F" w14:textId="78578BE3" w:rsidR="00C26CE2" w:rsidRDefault="00C26CE2" w:rsidP="00380BE3">
      <w:pPr>
        <w:pStyle w:val="Heading2"/>
        <w:spacing w:line="480" w:lineRule="auto"/>
      </w:pPr>
      <w:r>
        <w:t>Basic sampling scheme and model assumptions</w:t>
      </w:r>
    </w:p>
    <w:p w14:paraId="3BC2E589" w14:textId="768EB020"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CA3367">
        <w:t>.</w:t>
      </w:r>
      <w:r>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7E8647FE" w:rsidR="00605B10" w:rsidRPr="005F5D59" w:rsidRDefault="00755356" w:rsidP="00380BE3">
      <w:pPr>
        <w:spacing w:line="480" w:lineRule="auto"/>
        <w:ind w:firstLine="720"/>
      </w:pPr>
      <w:proofErr w:type="spellStart"/>
      <w:r>
        <w:t>A</w:t>
      </w:r>
      <w:r w:rsidR="00DD1D2D">
        <w:t>utologistic</w:t>
      </w:r>
      <w:proofErr w:type="spellEnd"/>
      <w:r w:rsidR="00DD1D2D">
        <w:t xml:space="preserve">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r w:rsidR="00CA3367">
        <w:t>Third</w:t>
      </w:r>
      <w:r w:rsidR="00605B10">
        <w:t xml:space="preserve">, </w:t>
      </w:r>
      <w:proofErr w:type="spellStart"/>
      <w:r w:rsidR="00605B10">
        <w:t>autologistic</w:t>
      </w:r>
      <w:proofErr w:type="spellEnd"/>
      <w:r w:rsidR="00605B10">
        <w:t xml:space="preserve"> occupancy models </w:t>
      </w:r>
      <w:r w:rsidR="00A721F2">
        <w:t>assume temporal dependence is a first-order Markov process so that the</w:t>
      </w:r>
      <w:r w:rsidR="00605B10">
        <w:t xml:space="preserve"> presence of a species in one </w:t>
      </w:r>
      <w:r w:rsidR="000B6C02">
        <w:t>sampling</w:t>
      </w:r>
      <w:r w:rsidR="00605B10">
        <w:t xml:space="preserve"> period </w:t>
      </w:r>
      <w:r w:rsidR="00A721F2">
        <w:t xml:space="preserve">may </w:t>
      </w:r>
      <w:r w:rsidR="00B212BE">
        <w:t xml:space="preserve">influence the occupancy status </w:t>
      </w:r>
      <w:r w:rsidR="00605B10">
        <w:t xml:space="preserve">in the following </w:t>
      </w:r>
      <w:r w:rsidR="000B6C02">
        <w:t>sampling</w:t>
      </w:r>
      <w:r w:rsidR="00605B10">
        <w:t xml:space="preserve"> period. </w:t>
      </w:r>
      <w:r w:rsidR="003B68DE">
        <w:t xml:space="preserve">As such, temporal dependence </w:t>
      </w:r>
      <w:r w:rsidR="00403F01">
        <w:t>occurs over</w:t>
      </w:r>
      <w:r w:rsidR="003B68DE">
        <w:t xml:space="preserve"> adjacent sampling periods</w:t>
      </w:r>
      <w:r w:rsidR="00CA3367">
        <w:t xml:space="preserve"> (e.g., </w:t>
      </w:r>
      <w:r w:rsidR="00CA3367" w:rsidRPr="00CA3367">
        <w:rPr>
          <w:i/>
          <w:iCs/>
        </w:rPr>
        <w:t>t-1</w:t>
      </w:r>
      <w:r w:rsidR="00CA3367">
        <w:t xml:space="preserve"> to </w:t>
      </w:r>
      <w:r w:rsidR="00CA3367" w:rsidRPr="00CA3367">
        <w:rPr>
          <w:i/>
          <w:iCs/>
        </w:rPr>
        <w:t>t</w:t>
      </w:r>
      <w:r w:rsidR="00CA3367">
        <w:t>)</w:t>
      </w:r>
      <w:r w:rsidR="003B68DE">
        <w:t xml:space="preserve"> but</w:t>
      </w:r>
      <w:r w:rsidR="00403F01">
        <w:t xml:space="preserve"> is</w:t>
      </w:r>
      <w:r w:rsidR="003B68DE">
        <w:t xml:space="preserve"> </w:t>
      </w:r>
      <w:r w:rsidR="00605B10">
        <w:t>independen</w:t>
      </w:r>
      <w:r w:rsidR="00403F01">
        <w:t>t</w:t>
      </w:r>
      <w:r w:rsidR="00605B10">
        <w:t xml:space="preserve"> over larger time </w:t>
      </w:r>
      <w:r w:rsidR="0044412C">
        <w:t>frames</w:t>
      </w:r>
      <w:r w:rsidR="00605B10">
        <w:t xml:space="preserve"> (e.g., </w:t>
      </w:r>
      <w:r w:rsidR="00605B10">
        <w:rPr>
          <w:i/>
          <w:iCs/>
        </w:rPr>
        <w:t>t – 1</w:t>
      </w:r>
      <w:r w:rsidR="00605B10">
        <w:t xml:space="preserve"> to </w:t>
      </w:r>
      <w:r w:rsidR="00605B10">
        <w:rPr>
          <w:i/>
          <w:iCs/>
        </w:rPr>
        <w:t>t + 1</w:t>
      </w:r>
      <w:r w:rsidR="003E2065">
        <w:rPr>
          <w:i/>
          <w:iCs/>
        </w:rPr>
        <w:t xml:space="preserve"> or </w:t>
      </w:r>
      <w:r w:rsidR="007D5584">
        <w:rPr>
          <w:i/>
          <w:iCs/>
        </w:rPr>
        <w:t>t-1 to t+2</w:t>
      </w:r>
      <w:r w:rsidR="00605B10">
        <w:t>).</w:t>
      </w:r>
      <w:r w:rsidR="00CF39D0">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 </w:t>
      </w:r>
      <w:r w:rsidR="00B212BE">
        <w:t>If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0084CB98"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 xml:space="preserve">. Thus, for </w:t>
      </w:r>
      <w:proofErr w:type="spellStart"/>
      <w:r>
        <w:rPr>
          <w:i/>
          <w:iCs/>
        </w:rPr>
        <w:t>i</w:t>
      </w:r>
      <w:proofErr w:type="spellEnd"/>
      <w:r>
        <w:t xml:space="preserve"> in 1,…,</w:t>
      </w:r>
      <w:r w:rsidRPr="00F36728">
        <w:rPr>
          <w:i/>
          <w:iCs/>
        </w:rPr>
        <w:t>I</w:t>
      </w:r>
      <w:r>
        <w:rPr>
          <w:i/>
          <w:iCs/>
        </w:rPr>
        <w:t xml:space="preserve"> </w:t>
      </w:r>
      <w:r>
        <w:t xml:space="preserve">sites and </w:t>
      </w:r>
      <w:r w:rsidRPr="00F36728">
        <w:rPr>
          <w:i/>
          <w:iCs/>
        </w:rPr>
        <w:t>t</w:t>
      </w:r>
      <w:r>
        <w:rPr>
          <w:i/>
          <w:iCs/>
        </w:rPr>
        <w:t xml:space="preserve"> </w:t>
      </w:r>
      <w:r>
        <w:t>in 1,…,</w:t>
      </w:r>
      <w:r w:rsidRPr="00F36728">
        <w:rPr>
          <w:i/>
          <w:iCs/>
        </w:rPr>
        <w:t>T</w:t>
      </w:r>
      <w:r>
        <w:t xml:space="preserve"> primary sampling periods</w:t>
      </w:r>
      <w:r w:rsidR="00A57D9C">
        <w:t xml:space="preserve"> (hereafter seasons)</w:t>
      </w:r>
      <w:r w:rsidR="00130DF5">
        <w:t xml:space="preserve">, let </w:t>
      </w:r>
      <w:proofErr w:type="spellStart"/>
      <w:r w:rsidR="00130DF5" w:rsidRPr="00130DF5">
        <w:rPr>
          <w:i/>
          <w:iCs/>
        </w:rPr>
        <w:t>z</w:t>
      </w:r>
      <w:r w:rsidR="00130DF5" w:rsidRPr="00130DF5">
        <w:rPr>
          <w:i/>
          <w:iCs/>
          <w:vertAlign w:val="subscript"/>
        </w:rPr>
        <w:t>i,t</w:t>
      </w:r>
      <w:proofErr w:type="spell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proofErr w:type="spellStart"/>
      <w:r w:rsidR="00130DF5" w:rsidRPr="00130DF5">
        <w:rPr>
          <w:i/>
          <w:iCs/>
        </w:rPr>
        <w:t>ψ</w:t>
      </w:r>
      <w:r w:rsidR="00130DF5" w:rsidRPr="00130DF5">
        <w:rPr>
          <w:i/>
          <w:iCs/>
          <w:vertAlign w:val="subscript"/>
        </w:rPr>
        <w:t>i,t</w:t>
      </w:r>
      <w:proofErr w:type="spellEnd"/>
      <w:r w:rsidR="00130DF5">
        <w:t xml:space="preserve"> be the occupancy probability. During the first </w:t>
      </w:r>
      <w:r w:rsidR="00A57D9C">
        <w:t>season</w:t>
      </w:r>
      <w:r w:rsidR="00130DF5">
        <w:t xml:space="preserve"> there is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term, </w:t>
      </w:r>
      <w:r w:rsidRPr="00F36728">
        <w:rPr>
          <w:i/>
          <w:iCs/>
        </w:rPr>
        <w:t>θ</w:t>
      </w:r>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r w:rsidR="00A57D9C">
              <w:rPr>
                <w:rFonts w:eastAsiaTheme="minorEastAsia"/>
                <w:iCs/>
              </w:rPr>
              <w:t xml:space="preserve">for </w:t>
            </w:r>
            <w:r w:rsidR="008B5549">
              <w:rPr>
                <w:rFonts w:eastAsiaTheme="minorEastAsia"/>
                <w:i/>
              </w:rPr>
              <w:t xml:space="preserve"> t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lastRenderedPageBreak/>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r w:rsidR="004050B6">
        <w:rPr>
          <w:rFonts w:eastAsiaTheme="minorEastAsia"/>
          <w:i/>
          <w:vertAlign w:val="subscript"/>
        </w:rPr>
        <w:t>i,t</w:t>
      </w:r>
      <w:proofErr w:type="spell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r>
        <w:rPr>
          <w:rFonts w:eastAsiaTheme="minorEastAsia"/>
          <w:i/>
        </w:rPr>
        <w:t>p</w:t>
      </w:r>
      <w:r w:rsidR="00A57D9C">
        <w:rPr>
          <w:rFonts w:eastAsiaTheme="minorEastAsia"/>
          <w:i/>
          <w:vertAlign w:val="subscript"/>
        </w:rPr>
        <w:t>i,t,j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1,…,</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r w:rsidRPr="00A57D9C">
        <w:rPr>
          <w:rFonts w:eastAsiaTheme="minorEastAsia"/>
          <w:i/>
        </w:rPr>
        <w:t>y</w:t>
      </w:r>
      <w:r>
        <w:rPr>
          <w:rFonts w:eastAsiaTheme="minorEastAsia"/>
          <w:iCs/>
          <w:vertAlign w:val="subscript"/>
        </w:rPr>
        <w:t>i,t,j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t>Eq. 3</w:t>
            </w:r>
          </w:p>
        </w:tc>
      </w:tr>
    </w:tbl>
    <w:p w14:paraId="1B1A0AFC" w14:textId="77777777" w:rsidR="00792F04" w:rsidRDefault="00792F04" w:rsidP="00380BE3">
      <w:pPr>
        <w:spacing w:line="480" w:lineRule="auto"/>
        <w:rPr>
          <w:iCs/>
        </w:rPr>
      </w:pPr>
    </w:p>
    <w:p w14:paraId="56A076C0" w14:textId="04331B0D"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model, </w:t>
      </w:r>
      <w:r w:rsidR="00BC4346" w:rsidRPr="00BC4346">
        <w:rPr>
          <w:rFonts w:eastAsiaTheme="minorEastAsia"/>
          <w:i/>
          <w:iCs/>
        </w:rPr>
        <w:t>θ</w:t>
      </w:r>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 xml:space="preserve">this </w:t>
      </w:r>
      <w:r w:rsidR="00AD1D4A">
        <w:rPr>
          <w:rFonts w:eastAsiaTheme="minorEastAsia"/>
        </w:rPr>
        <w:lastRenderedPageBreak/>
        <w:t>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642113">
        <w:rPr>
          <w:rFonts w:eastAsiaTheme="minorEastAsia"/>
        </w:rPr>
        <w:t xml:space="preserve"> </w:t>
      </w:r>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lastRenderedPageBreak/>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is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r w:rsidRPr="00335159">
        <w:rPr>
          <w:rFonts w:eastAsiaTheme="minorEastAsia"/>
          <w:b/>
          <w:bCs/>
          <w:i/>
          <w:iCs/>
          <w:vertAlign w:val="subscript"/>
        </w:rPr>
        <w:t>y</w:t>
      </w:r>
      <w:r>
        <w:rPr>
          <w:rFonts w:eastAsiaTheme="minorEastAsia"/>
          <w:b/>
          <w:bCs/>
          <w:i/>
          <w:iCs/>
          <w:vertAlign w:val="subscript"/>
        </w:rPr>
        <w:t>,t</w:t>
      </w:r>
      <w:proofErr w:type="spell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 xml:space="preserve">t,1:J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r w:rsidR="006C696E" w:rsidRPr="00335159">
        <w:rPr>
          <w:rFonts w:eastAsiaTheme="minorEastAsia"/>
          <w:b/>
          <w:bCs/>
          <w:i/>
          <w:iCs/>
          <w:vertAlign w:val="subscript"/>
        </w:rPr>
        <w:t>y</w:t>
      </w:r>
      <w:r w:rsidR="006C696E">
        <w:rPr>
          <w:rFonts w:eastAsiaTheme="minorEastAsia"/>
          <w:b/>
          <w:bCs/>
          <w:i/>
          <w:iCs/>
          <w:vertAlign w:val="subscript"/>
        </w:rPr>
        <w:t>,t</w:t>
      </w:r>
      <w:proofErr w:type="spell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a number of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t,1:J</w:t>
      </w:r>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r w:rsidRPr="00993373">
        <w:rPr>
          <w:rFonts w:eastAsiaTheme="minorEastAsia"/>
          <w:i/>
          <w:iCs/>
          <w:vertAlign w:val="subscript"/>
        </w:rPr>
        <w:t>y,t</w:t>
      </w:r>
      <w:proofErr w:type="spell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r w:rsidRPr="00993373">
        <w:rPr>
          <w:rFonts w:eastAsiaTheme="minorEastAsia"/>
          <w:i/>
          <w:iCs/>
          <w:vertAlign w:val="subscript"/>
        </w:rPr>
        <w:t>y,t</w:t>
      </w:r>
      <w:proofErr w:type="spellEnd"/>
      <w:r>
        <w:rPr>
          <w:rFonts w:eastAsiaTheme="minorEastAsia"/>
        </w:rPr>
        <w:t xml:space="preserve"> are placed along the main diagonal of a diagonal matrix. This transformation is done to ensure that all </w:t>
      </w:r>
      <w:r>
        <w:rPr>
          <w:rFonts w:eastAsiaTheme="minorEastAsia"/>
        </w:rPr>
        <w:lastRenderedPageBreak/>
        <w:t xml:space="preserve">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50395286" w:rsidR="00993373" w:rsidRDefault="00F54C92" w:rsidP="00380BE3">
      <w:pPr>
        <w:spacing w:line="480" w:lineRule="auto"/>
        <w:ind w:firstLine="720"/>
        <w:rPr>
          <w:rFonts w:eastAsiaTheme="minorEastAsia"/>
        </w:rPr>
      </w:pPr>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t xml:space="preserve">Deriving expected occupancy estimates from </w:t>
      </w:r>
      <w:proofErr w:type="spellStart"/>
      <w:r w:rsidR="00AA383C">
        <w:t>autologistic</w:t>
      </w:r>
      <w:proofErr w:type="spellEnd"/>
      <w:r w:rsidR="00AA383C">
        <w:t xml:space="preserve"> occupancy models</w:t>
      </w:r>
    </w:p>
    <w:p w14:paraId="468017EE" w14:textId="756C157F" w:rsidR="00447722" w:rsidRDefault="00EA10FA" w:rsidP="00380BE3">
      <w:pPr>
        <w:spacing w:line="480" w:lineRule="auto"/>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r w:rsidR="005E73EF">
        <w:rPr>
          <w:rFonts w:eastAsiaTheme="minorEastAsia"/>
        </w:rPr>
        <w:t>is</w:t>
      </w:r>
      <w:r>
        <w:rPr>
          <w:rFonts w:eastAsiaTheme="minorEastAsia"/>
        </w:rPr>
        <w:t xml:space="preserve">  γ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0BA83755" w14:textId="22F5A91C" w:rsidR="0003142F" w:rsidRPr="0003142F" w:rsidRDefault="00083655" w:rsidP="00380BE3">
      <w:pPr>
        <w:spacing w:line="480" w:lineRule="auto"/>
        <w:rPr>
          <w:rFonts w:eastAsiaTheme="minorEastAsia" w:cs="Arial"/>
        </w:rPr>
      </w:pPr>
      <w:r>
        <w:rPr>
          <w:rFonts w:eastAsiaTheme="minorEastAsia"/>
        </w:rPr>
        <w:t xml:space="preserve">where </w:t>
      </w:r>
      <w:proofErr w:type="spellStart"/>
      <w:r w:rsidR="00AB6698">
        <w:rPr>
          <w:rFonts w:eastAsiaTheme="minorEastAsia"/>
        </w:rPr>
        <w:t>ilogit</w:t>
      </w:r>
      <w:proofErr w:type="spell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scenario</w:t>
      </w:r>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w:t>
      </w:r>
      <w:r>
        <w:lastRenderedPageBreak/>
        <w:t xml:space="preserve">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intercept in the dynamic model was set to 1 (i.e., an initial occupancy probability of ~0.73). </w:t>
      </w:r>
      <w:r w:rsidR="007119C0">
        <w:t>To model detection</w:t>
      </w:r>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which </w:t>
      </w:r>
      <w:r w:rsidR="00944614">
        <w:t>was respectively 51</w:t>
      </w:r>
      <w:r w:rsidR="00A218FE">
        <w:t>.0</w:t>
      </w:r>
      <w:r w:rsidR="00944614">
        <w:t xml:space="preserve"> and 5.4 times smaller than the dynamic colonization and extinction </w:t>
      </w:r>
      <w:r w:rsidR="00944614">
        <w:lastRenderedPageBreak/>
        <w:t xml:space="preserve">intercepts. </w:t>
      </w:r>
      <w:r w:rsidR="00A218FE">
        <w:t>Across all parameters</w:t>
      </w:r>
      <w:r w:rsidR="0028721A">
        <w:t>,</w:t>
      </w:r>
      <w:r w:rsidR="00A218FE">
        <w:t xml:space="preserve"> t</w:t>
      </w:r>
      <w:r w:rsidR="00944614">
        <w:t>he dynamic model colonization intercept had the greatest bias when</w:t>
      </w:r>
      <w:r w:rsidR="00771582">
        <w:t xml:space="preserve"> </w:t>
      </w:r>
      <w:r w:rsidR="008C1A07">
        <w:t xml:space="preserve"> the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lastRenderedPageBreak/>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w:t>
      </w:r>
      <w:r>
        <w:lastRenderedPageBreak/>
        <w:t xml:space="preserve">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However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lastRenderedPageBreak/>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w:t>
      </w:r>
      <w:r w:rsidR="00156831">
        <w:lastRenderedPageBreak/>
        <w:t xml:space="preserve">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to </w:t>
      </w:r>
      <w:r w:rsidR="00827036">
        <w:t xml:space="preserve">focus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lastRenderedPageBreak/>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taxa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r w:rsidR="00DB537E">
        <w:t>, and</w:t>
      </w:r>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r w:rsidR="00B76D68">
        <w:rPr>
          <w:rFonts w:ascii="Lucida Console" w:hAnsi="Lucida Console"/>
        </w:rPr>
        <w:t xml:space="preserve">convert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format_y</w:t>
      </w:r>
      <w:proofErr w:type="spellEnd"/>
      <w:r w:rsidRPr="00763B26">
        <w:rPr>
          <w:rFonts w:ascii="Lucida Console" w:hAnsi="Lucida Console"/>
        </w:rPr>
        <w:t>(</w:t>
      </w:r>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6  columns</w:t>
      </w:r>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similar to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format_y</w:t>
      </w:r>
      <w:proofErr w:type="spell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format_y</w:t>
      </w:r>
      <w:proofErr w:type="spell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wealth I </w:t>
      </w:r>
      <w:r>
        <w:t>used</w:t>
      </w:r>
      <w:r w:rsidR="00F03774">
        <w:t xml:space="preserve"> the median per capita income within 1 km of each </w:t>
      </w:r>
      <w:r w:rsidR="00CE799D">
        <w:lastRenderedPageBreak/>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data </w:t>
      </w:r>
      <w:r w:rsidR="00B57206">
        <w:t>I</w:t>
      </w:r>
      <w:r w:rsidR="0043782E">
        <w:t xml:space="preserve"> scale</w:t>
      </w:r>
      <w:r w:rsidR="00B57206">
        <w:t>d</w:t>
      </w:r>
      <w:r w:rsidR="0043782E">
        <w:t xml:space="preserve"> the covariates for our analysis by subtracting the</w:t>
      </w:r>
      <w:r w:rsidR="00CE799D">
        <w:t>ir</w:t>
      </w:r>
      <w:r w:rsidR="0043782E">
        <w:t xml:space="preserve"> mean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opossum_covariates</w:t>
      </w:r>
      <w:proofErr w:type="spell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grep("</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r w:rsidR="000E7791">
        <w:rPr>
          <w:rFonts w:ascii="Lucida Console" w:hAnsi="Lucida Console"/>
        </w:rPr>
        <w:t xml:space="preserve">make new </w:t>
      </w:r>
      <w:proofErr w:type="spellStart"/>
      <w:r w:rsidR="000E7791">
        <w:rPr>
          <w:rFonts w:ascii="Lucida Console" w:hAnsi="Lucida Console"/>
        </w:rPr>
        <w:t>data.frame</w:t>
      </w:r>
      <w:proofErr w:type="spell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r w:rsidRPr="00F03774">
        <w:rPr>
          <w:rFonts w:ascii="Lucida Console" w:hAnsi="Lucida Console"/>
        </w:rPr>
        <w:t>as.numeric</w:t>
      </w:r>
      <w:proofErr w:type="spell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r w:rsidRPr="00F03774">
        <w:rPr>
          <w:rFonts w:ascii="Lucida Console" w:hAnsi="Lucida Console"/>
        </w:rPr>
        <w:t>as.numeric</w:t>
      </w:r>
      <w:proofErr w:type="spell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a number of rows equal to the number of sites and a number of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Temperature &lt;- matrix(</w:t>
      </w:r>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lastRenderedPageBreak/>
        <w:t xml:space="preserve">  </w:t>
      </w:r>
      <w:r w:rsidR="00257966" w:rsidRPr="00637F30">
        <w:rPr>
          <w:rFonts w:ascii="Lucida Console" w:hAnsi="Lucida Console"/>
        </w:rPr>
        <w:t>rep(</w:t>
      </w:r>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as.numeric</w:t>
      </w:r>
      <w:proofErr w:type="spell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s</w:t>
      </w:r>
      <w:r w:rsidR="00257966" w:rsidRPr="00637F30">
        <w:rPr>
          <w:rFonts w:ascii="Lucida Console" w:hAnsi="Lucida Console"/>
        </w:rPr>
        <w:t>cale(</w:t>
      </w:r>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opossum_y</w:t>
      </w:r>
      <w:proofErr w:type="spell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opossum_y</w:t>
      </w:r>
      <w:proofErr w:type="spell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prod(</w:t>
      </w:r>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opossum_y</w:t>
      </w:r>
      <w:proofErr w:type="spell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If we had a temporal covariate or spatiotemporal covariate that only varied by primary sampling period and not surveys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list(</w:t>
      </w:r>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data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auto_occ</w:t>
      </w:r>
      <w:proofErr w:type="spell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compare_models</w:t>
      </w:r>
      <w:proofErr w:type="spell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temperature only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lastRenderedPageBreak/>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auto_occ</w:t>
      </w:r>
      <w:proofErr w:type="spellEnd"/>
      <w:r w:rsidRPr="00B974D0">
        <w:rPr>
          <w:rFonts w:ascii="Lucida Console" w:hAnsi="Lucida Console"/>
        </w:rPr>
        <w:t>(</w:t>
      </w:r>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compare_models</w:t>
      </w:r>
      <w:proofErr w:type="spell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r w:rsidR="00E715D4" w:rsidRPr="00E715D4">
        <w:rPr>
          <w:rFonts w:ascii="Lucida Console" w:hAnsi="Lucida Console"/>
        </w:rPr>
        <w:t>summary()</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list(</w:t>
      </w:r>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compare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compare_models</w:t>
      </w:r>
      <w:proofErr w:type="spellEnd"/>
      <w:r w:rsidRPr="00E3165D">
        <w:rPr>
          <w:rFonts w:ascii="Lucida Console" w:hAnsi="Lucida Console"/>
        </w:rPr>
        <w:t>(</w:t>
      </w:r>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head(</w:t>
      </w:r>
      <w:proofErr w:type="spellStart"/>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11 1213.11  0.00  0.55     0.55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13 1215.27  2.16  0.19     0.74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9 1216.16  3.05  0.12     0.86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lastRenderedPageBreak/>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autoOcc</w:t>
      </w:r>
      <w:proofErr w:type="spellEnd"/>
      <w:r w:rsidRPr="00E715D4">
        <w:rPr>
          <w:rFonts w:ascii="Lucida Console" w:hAnsi="Lucida Console"/>
        </w:rPr>
        <w:t>::</w:t>
      </w:r>
      <w:proofErr w:type="spellStart"/>
      <w:r w:rsidRPr="00E715D4">
        <w:rPr>
          <w:rFonts w:ascii="Lucida Console" w:hAnsi="Lucida Console"/>
        </w:rPr>
        <w:t>auto_occ</w:t>
      </w:r>
      <w:proofErr w:type="spell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0.200 -0.716  0.0674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0.164 -0.601  0.0436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theta  1.637 0.365  0.922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(Intercept)  0.3826 0.145  0.0984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Temperature  0.3374 0.133  0.0761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0.145 -0.3386  0.2315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0.110 -0.3446  0.0863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0.130 -0.4601  0.0493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r w:rsidR="00CB2A9F" w:rsidRPr="00CB2A9F">
        <w:rPr>
          <w:rFonts w:ascii="Lucida Console" w:hAnsi="Lucida Console"/>
        </w:rPr>
        <w:t>predict()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mean.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seq(20,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r>
        <w:rPr>
          <w:rFonts w:ascii="Lucida Console" w:hAnsi="Lucida Console"/>
        </w:rPr>
        <w:t>data.frame</w:t>
      </w:r>
      <w:proofErr w:type="spell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r w:rsidRPr="00CB2A9F">
        <w:rPr>
          <w:rFonts w:ascii="Lucida Console" w:hAnsi="Lucida Console"/>
        </w:rPr>
        <w:t>data.frame</w:t>
      </w:r>
      <w:proofErr w:type="spell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matrix(</w:t>
      </w:r>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add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add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we  did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r w:rsidRPr="002E53B4">
        <w:rPr>
          <w:rFonts w:ascii="Lucida Console" w:hAnsi="Lucida Console"/>
        </w:rPr>
        <w:t>predict()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t>I</w:t>
      </w:r>
      <w:r w:rsidR="00567CB7" w:rsidRPr="00567CB7">
        <w:rPr>
          <w:rFonts w:ascii="Lucida Console" w:hAnsi="Lucida Console"/>
        </w:rPr>
        <w:t>mperv_pred</w:t>
      </w:r>
      <w:proofErr w:type="spellEnd"/>
      <w:r w:rsidR="00567CB7" w:rsidRPr="00567CB7">
        <w:rPr>
          <w:rFonts w:ascii="Lucida Console" w:hAnsi="Lucida Console"/>
        </w:rPr>
        <w:t xml:space="preserve"> &lt;- predict(</w:t>
      </w:r>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 xml:space="preserve">when impervious cover was roughly 43% and decreased with increasing levels of </w:t>
      </w:r>
      <w:r w:rsidR="005E3786">
        <w:lastRenderedPageBreak/>
        <w:t>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drawing>
          <wp:inline distT="0" distB="0" distL="0" distR="0" wp14:anchorId="0AF0E4F9" wp14:editId="09D4C3AF">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lastRenderedPageBreak/>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lastRenderedPageBreak/>
        <w:t xml:space="preserve">I fitted three models to these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aforementioned covariates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similar to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n et al. (2013) analysis was collected from the supporting information of their manuscript.</w:t>
      </w:r>
      <w:r w:rsidR="00E322F9">
        <w:t xml:space="preserve"> The right two plots represent occupancy predictions </w:t>
      </w:r>
      <w:r w:rsidR="00E322F9">
        <w:lastRenderedPageBreak/>
        <w:t xml:space="preserve">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offers up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black-backed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e, will be help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Pr="000555E2"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w:t>
      </w:r>
      <w:proofErr w:type="spellStart"/>
      <w:r w:rsidRPr="000555E2">
        <w:rPr>
          <w:rFonts w:cs="Arial"/>
          <w:color w:val="222222"/>
          <w:shd w:val="clear" w:color="auto" w:fill="FFFFFF"/>
        </w:rPr>
        <w:t>Fandos</w:t>
      </w:r>
      <w:proofErr w:type="spellEnd"/>
      <w:r w:rsidRPr="000555E2">
        <w:rPr>
          <w:rFonts w:cs="Arial"/>
          <w:color w:val="222222"/>
          <w:shd w:val="clear" w:color="auto" w:fill="FFFFFF"/>
        </w:rPr>
        <w:t xml:space="preserve">,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77777777"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r w:rsidRPr="000555E2">
        <w:rPr>
          <w:rFonts w:cs="Arial"/>
          <w:color w:val="222222"/>
          <w:shd w:val="clear" w:color="auto" w:fill="FFFFFF"/>
        </w:rPr>
        <w:br/>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Fiske, I., &amp; Chandler, R. (2011). Unmarked: an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Pr="000555E2"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5A7C2267" w14:textId="74CC4327"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7506AE04" w14:textId="03F335C4" w:rsidR="003B5CDB" w:rsidRPr="000555E2" w:rsidRDefault="00F30CD6" w:rsidP="000555E2">
      <w:pPr>
        <w:spacing w:line="480" w:lineRule="auto"/>
        <w:ind w:left="720" w:hanging="720"/>
        <w:rPr>
          <w:rFonts w:cs="Arial"/>
          <w:color w:val="222222"/>
          <w:shd w:val="clear" w:color="auto" w:fill="FFFFFF"/>
        </w:rPr>
      </w:pPr>
      <w:r w:rsidRPr="000555E2">
        <w:rPr>
          <w:rFonts w:cs="Arial"/>
          <w:color w:val="222222"/>
          <w:shd w:val="clear" w:color="auto" w:fill="FFFFFF"/>
        </w:rPr>
        <w:t>Kays, R., Arbogast, B. S., Baker</w:t>
      </w:r>
      <w:r w:rsidRPr="000555E2">
        <w:rPr>
          <w:rFonts w:ascii="Cambria Math" w:hAnsi="Cambria Math" w:cs="Cambria Math"/>
          <w:color w:val="222222"/>
          <w:shd w:val="clear" w:color="auto" w:fill="FFFFFF"/>
        </w:rPr>
        <w:t>‐</w:t>
      </w:r>
      <w:r w:rsidRPr="000555E2">
        <w:rPr>
          <w:rFonts w:cs="Arial"/>
          <w:color w:val="222222"/>
          <w:shd w:val="clear" w:color="auto" w:fill="FFFFFF"/>
        </w:rPr>
        <w:t xml:space="preserve">Whatton, M., Beirne, C., Boone, H. M., Bowler, M., ... &amp; </w:t>
      </w:r>
      <w:proofErr w:type="spellStart"/>
      <w:r w:rsidRPr="000555E2">
        <w:rPr>
          <w:rFonts w:cs="Arial"/>
          <w:color w:val="222222"/>
          <w:shd w:val="clear" w:color="auto" w:fill="FFFFFF"/>
        </w:rPr>
        <w:t>Spironello</w:t>
      </w:r>
      <w:proofErr w:type="spellEnd"/>
      <w:r w:rsidRPr="000555E2">
        <w:rPr>
          <w:rFonts w:cs="Arial"/>
          <w:color w:val="222222"/>
          <w:shd w:val="clear" w:color="auto" w:fill="FFFFFF"/>
        </w:rPr>
        <w:t>, W. R. (2020). An empirical evaluation of camera trap study design: How many, how long and when?.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(6), 700-713.</w:t>
      </w:r>
    </w:p>
    <w:p w14:paraId="483CCF11" w14:textId="77777777" w:rsidR="001B5354" w:rsidRPr="000555E2" w:rsidRDefault="001B5354" w:rsidP="000555E2">
      <w:pPr>
        <w:spacing w:line="480" w:lineRule="auto"/>
        <w:ind w:left="720" w:hanging="720"/>
        <w:rPr>
          <w:rFonts w:cs="Arial"/>
          <w:color w:val="222222"/>
          <w:shd w:val="clear" w:color="auto" w:fill="FFFFFF"/>
        </w:rPr>
      </w:pP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 xml:space="preserve">Louvrier, J., Duchamp, C., Lauret, V., </w:t>
      </w:r>
      <w:proofErr w:type="spellStart"/>
      <w:r w:rsidRPr="000555E2">
        <w:rPr>
          <w:rFonts w:cs="Arial"/>
          <w:color w:val="222222"/>
          <w:shd w:val="clear" w:color="auto" w:fill="FFFFFF"/>
        </w:rPr>
        <w:t>Marboutin</w:t>
      </w:r>
      <w:proofErr w:type="spellEnd"/>
      <w:r w:rsidRPr="000555E2">
        <w:rPr>
          <w:rFonts w:cs="Arial"/>
          <w:color w:val="222222"/>
          <w:shd w:val="clear" w:color="auto" w:fill="FFFFFF"/>
        </w:rPr>
        <w:t xml:space="preserve">, E., </w:t>
      </w:r>
      <w:proofErr w:type="spellStart"/>
      <w:r w:rsidRPr="000555E2">
        <w:rPr>
          <w:rFonts w:cs="Arial"/>
          <w:color w:val="222222"/>
          <w:shd w:val="clear" w:color="auto" w:fill="FFFFFF"/>
        </w:rPr>
        <w:t>Cubaynes</w:t>
      </w:r>
      <w:proofErr w:type="spellEnd"/>
      <w:r w:rsidRPr="000555E2">
        <w:rPr>
          <w:rFonts w:cs="Arial"/>
          <w:color w:val="222222"/>
          <w:shd w:val="clear" w:color="auto" w:fill="FFFFFF"/>
        </w:rPr>
        <w:t>, S.,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&lt;https://www.ncdc.noaa.gov/cdo-web/datatools/findstation&gt; .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Magle, S. B., Fidino, M., Lehrer, E. W., Gallo, T., Mulligan, M. P., Ríos, M. J., ... &amp; Drake, D. (2019). Advancing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Mckann</w:t>
      </w:r>
      <w:proofErr w:type="spellEnd"/>
      <w:r w:rsidRPr="000555E2">
        <w:rPr>
          <w:rFonts w:cs="Arial"/>
          <w:color w:val="222222"/>
          <w:shd w:val="clear" w:color="auto" w:fill="FFFFFF"/>
        </w:rPr>
        <w:t>,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Pr="000555E2"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A11CE"/>
    <w:rsid w:val="003B5C21"/>
    <w:rsid w:val="003B5CDB"/>
    <w:rsid w:val="003B68DE"/>
    <w:rsid w:val="003C25C8"/>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A6317"/>
    <w:rsid w:val="004A6CCF"/>
    <w:rsid w:val="004A7AC7"/>
    <w:rsid w:val="004C3F46"/>
    <w:rsid w:val="004D540F"/>
    <w:rsid w:val="004E2BEA"/>
    <w:rsid w:val="004F4C46"/>
    <w:rsid w:val="004F58AA"/>
    <w:rsid w:val="005010AA"/>
    <w:rsid w:val="00504297"/>
    <w:rsid w:val="005055C5"/>
    <w:rsid w:val="0050703F"/>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7036"/>
    <w:rsid w:val="008274AD"/>
    <w:rsid w:val="00837A2A"/>
    <w:rsid w:val="00837EDC"/>
    <w:rsid w:val="00842D43"/>
    <w:rsid w:val="0084475D"/>
    <w:rsid w:val="00847008"/>
    <w:rsid w:val="00851FF5"/>
    <w:rsid w:val="00866AC4"/>
    <w:rsid w:val="008712B0"/>
    <w:rsid w:val="00877401"/>
    <w:rsid w:val="008875C5"/>
    <w:rsid w:val="008877A0"/>
    <w:rsid w:val="00897569"/>
    <w:rsid w:val="008A6440"/>
    <w:rsid w:val="008B1864"/>
    <w:rsid w:val="008B5549"/>
    <w:rsid w:val="008B5931"/>
    <w:rsid w:val="008B655C"/>
    <w:rsid w:val="008B75B3"/>
    <w:rsid w:val="008B78A4"/>
    <w:rsid w:val="008C1A07"/>
    <w:rsid w:val="008C7877"/>
    <w:rsid w:val="008F3E40"/>
    <w:rsid w:val="008F760E"/>
    <w:rsid w:val="00903B59"/>
    <w:rsid w:val="00911D44"/>
    <w:rsid w:val="00921F5C"/>
    <w:rsid w:val="00922E41"/>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501C8"/>
    <w:rsid w:val="00D5096C"/>
    <w:rsid w:val="00D56700"/>
    <w:rsid w:val="00D57915"/>
    <w:rsid w:val="00D659F9"/>
    <w:rsid w:val="00D75B7E"/>
    <w:rsid w:val="00D830E0"/>
    <w:rsid w:val="00D91680"/>
    <w:rsid w:val="00D93EDF"/>
    <w:rsid w:val="00DA3E1F"/>
    <w:rsid w:val="00DB2AA4"/>
    <w:rsid w:val="00DB537E"/>
    <w:rsid w:val="00DC4DBF"/>
    <w:rsid w:val="00DC5E5D"/>
    <w:rsid w:val="00DD1D2D"/>
    <w:rsid w:val="00DE24FF"/>
    <w:rsid w:val="00DE26B1"/>
    <w:rsid w:val="00DE7366"/>
    <w:rsid w:val="00E130B6"/>
    <w:rsid w:val="00E1425E"/>
    <w:rsid w:val="00E14336"/>
    <w:rsid w:val="00E15950"/>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C2E22"/>
    <w:rsid w:val="00FC42C5"/>
    <w:rsid w:val="00FC4DDD"/>
    <w:rsid w:val="00FD008D"/>
    <w:rsid w:val="00FD3F7A"/>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35</Pages>
  <Words>7950</Words>
  <Characters>45318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20</cp:revision>
  <dcterms:created xsi:type="dcterms:W3CDTF">2025-04-17T18:24:00Z</dcterms:created>
  <dcterms:modified xsi:type="dcterms:W3CDTF">2025-08-04T21:34:00Z</dcterms:modified>
</cp:coreProperties>
</file>