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3E1" w:rsidRDefault="003005FA">
      <w:r>
        <w:t>Metadata</w:t>
      </w:r>
    </w:p>
    <w:p w:rsidR="003005FA" w:rsidRDefault="003005FA">
      <w:r>
        <w:rPr>
          <w:b/>
        </w:rPr>
        <w:t xml:space="preserve">Note: </w:t>
      </w:r>
      <w:proofErr w:type="gramStart"/>
      <w:r>
        <w:t>All of</w:t>
      </w:r>
      <w:proofErr w:type="gramEnd"/>
      <w:r>
        <w:t xml:space="preserve"> the files in </w:t>
      </w:r>
      <w:r w:rsidR="001572D3">
        <w:t xml:space="preserve">Data S1 must be within your working directory for the analysis to work. Further, within your working directory there should be </w:t>
      </w:r>
      <w:proofErr w:type="gramStart"/>
      <w:r w:rsidR="001572D3">
        <w:t>a number of</w:t>
      </w:r>
      <w:proofErr w:type="gramEnd"/>
      <w:r w:rsidR="001572D3">
        <w:t xml:space="preserve"> subfolders. These include:</w:t>
      </w:r>
    </w:p>
    <w:p w:rsidR="001572D3" w:rsidRPr="001572D3" w:rsidRDefault="001572D3" w:rsidP="001572D3">
      <w:pPr>
        <w:pStyle w:val="ListParagraph"/>
        <w:numPr>
          <w:ilvl w:val="0"/>
          <w:numId w:val="1"/>
        </w:numPr>
      </w:pPr>
      <w:r>
        <w:rPr>
          <w:rFonts w:ascii="Lucida Console" w:hAnsi="Lucida Console"/>
        </w:rPr>
        <w:t>plots</w:t>
      </w:r>
    </w:p>
    <w:p w:rsidR="001572D3" w:rsidRPr="001572D3" w:rsidRDefault="001572D3" w:rsidP="001572D3">
      <w:pPr>
        <w:pStyle w:val="ListParagraph"/>
        <w:numPr>
          <w:ilvl w:val="0"/>
          <w:numId w:val="1"/>
        </w:numPr>
        <w:rPr>
          <w:rFonts w:ascii="Lucida Console" w:hAnsi="Lucida Console"/>
        </w:rPr>
      </w:pPr>
      <w:proofErr w:type="spellStart"/>
      <w:r w:rsidRPr="001572D3">
        <w:rPr>
          <w:rFonts w:ascii="Lucida Console" w:hAnsi="Lucida Console"/>
        </w:rPr>
        <w:t>model_output</w:t>
      </w:r>
      <w:proofErr w:type="spellEnd"/>
    </w:p>
    <w:p w:rsidR="001572D3" w:rsidRPr="001572D3" w:rsidRDefault="001572D3" w:rsidP="001572D3">
      <w:pPr>
        <w:pStyle w:val="ListParagraph"/>
        <w:numPr>
          <w:ilvl w:val="0"/>
          <w:numId w:val="1"/>
        </w:numPr>
        <w:rPr>
          <w:rFonts w:ascii="Lucida Console" w:hAnsi="Lucida Console"/>
        </w:rPr>
      </w:pPr>
      <w:proofErr w:type="spellStart"/>
      <w:r w:rsidRPr="001572D3">
        <w:rPr>
          <w:rFonts w:ascii="Lucida Console" w:hAnsi="Lucida Console"/>
        </w:rPr>
        <w:t>jags_models</w:t>
      </w:r>
      <w:proofErr w:type="spellEnd"/>
    </w:p>
    <w:p w:rsidR="001572D3" w:rsidRPr="001572D3" w:rsidRDefault="001572D3" w:rsidP="001572D3">
      <w:pPr>
        <w:pStyle w:val="ListParagraph"/>
        <w:numPr>
          <w:ilvl w:val="0"/>
          <w:numId w:val="1"/>
        </w:numPr>
        <w:rPr>
          <w:rFonts w:ascii="Lucida Console" w:hAnsi="Lucida Console"/>
        </w:rPr>
      </w:pPr>
      <w:r w:rsidRPr="001572D3">
        <w:rPr>
          <w:rFonts w:ascii="Lucida Console" w:hAnsi="Lucida Console"/>
        </w:rPr>
        <w:t>data</w:t>
      </w:r>
    </w:p>
    <w:p w:rsidR="001572D3" w:rsidRDefault="001572D3"/>
    <w:p w:rsidR="001572D3" w:rsidRDefault="00316DCB">
      <w:pPr>
        <w:rPr>
          <w:b/>
        </w:rPr>
      </w:pPr>
      <w:r>
        <w:rPr>
          <w:b/>
        </w:rPr>
        <w:t xml:space="preserve">Data S1 consists </w:t>
      </w:r>
      <w:r w:rsidR="00013AC9">
        <w:rPr>
          <w:b/>
        </w:rPr>
        <w:t>of 4</w:t>
      </w:r>
      <w:r w:rsidR="001572D3">
        <w:rPr>
          <w:b/>
        </w:rPr>
        <w:t xml:space="preserve"> scripts used for analysis, model summary, and plotting.</w:t>
      </w:r>
      <w:r w:rsidR="00013AC9">
        <w:rPr>
          <w:b/>
        </w:rPr>
        <w:t xml:space="preserve"> They are located within the working directory.</w:t>
      </w:r>
      <w:r w:rsidR="001572D3">
        <w:rPr>
          <w:b/>
        </w:rPr>
        <w:t xml:space="preserve"> These scripts include:</w:t>
      </w:r>
    </w:p>
    <w:p w:rsidR="001572D3" w:rsidRDefault="001572D3">
      <w:pPr>
        <w:rPr>
          <w:b/>
        </w:rPr>
      </w:pPr>
    </w:p>
    <w:p w:rsidR="001572D3" w:rsidRDefault="001572D3">
      <w:proofErr w:type="spellStart"/>
      <w:r>
        <w:rPr>
          <w:b/>
        </w:rPr>
        <w:t>fit_softmax_</w:t>
      </w:r>
      <w:proofErr w:type="gramStart"/>
      <w:r>
        <w:rPr>
          <w:b/>
        </w:rPr>
        <w:t>model.R</w:t>
      </w:r>
      <w:proofErr w:type="spellEnd"/>
      <w:proofErr w:type="gramEnd"/>
      <w:r>
        <w:rPr>
          <w:b/>
        </w:rPr>
        <w:t xml:space="preserve">: </w:t>
      </w:r>
      <w:r>
        <w:t>This script  1) reads in the raw detection non-detection data for coyote, opossum, and raccoon and converts it to community states at each site that can be supplied to the dynamic co-occurrence model, 2) reads in the covariate data and generates the urbanization covariate URB, 3) fits the 6 different models outlined in the manuscript, and 4) compares the fit of each of these models.</w:t>
      </w:r>
    </w:p>
    <w:p w:rsidR="001572D3" w:rsidRDefault="001572D3">
      <w:proofErr w:type="spellStart"/>
      <w:r>
        <w:rPr>
          <w:b/>
        </w:rPr>
        <w:t>fit_models_utility_</w:t>
      </w:r>
      <w:proofErr w:type="gramStart"/>
      <w:r>
        <w:rPr>
          <w:b/>
        </w:rPr>
        <w:t>functions.R</w:t>
      </w:r>
      <w:proofErr w:type="spellEnd"/>
      <w:proofErr w:type="gramEnd"/>
      <w:r>
        <w:rPr>
          <w:b/>
        </w:rPr>
        <w:t>:</w:t>
      </w:r>
      <w:r>
        <w:t xml:space="preserve"> This script contains a number of useful functions that are sourced for </w:t>
      </w:r>
      <w:proofErr w:type="spellStart"/>
      <w:r>
        <w:t>fit_softmax_model.R</w:t>
      </w:r>
      <w:proofErr w:type="spellEnd"/>
      <w:r>
        <w:t xml:space="preserve">. The functions are commented out within this script and describe what they do. It </w:t>
      </w:r>
      <w:proofErr w:type="gramStart"/>
      <w:r>
        <w:t>include</w:t>
      </w:r>
      <w:proofErr w:type="gramEnd"/>
      <w:r>
        <w:t xml:space="preserve"> three functions: two to generate initial values for JAGS models (those with and without species interactions) and one to generate the vectors to organize the species interactions within a matrix in JAGS.</w:t>
      </w:r>
    </w:p>
    <w:p w:rsidR="001572D3" w:rsidRDefault="001572D3">
      <w:pPr>
        <w:rPr>
          <w:rFonts w:eastAsiaTheme="minorEastAsia"/>
        </w:rPr>
      </w:pPr>
      <w:proofErr w:type="spellStart"/>
      <w:r>
        <w:rPr>
          <w:b/>
        </w:rPr>
        <w:t>calculate_</w:t>
      </w:r>
      <w:proofErr w:type="gramStart"/>
      <w:r>
        <w:rPr>
          <w:b/>
        </w:rPr>
        <w:t>cpo.R</w:t>
      </w:r>
      <w:proofErr w:type="spellEnd"/>
      <w:proofErr w:type="gramEnd"/>
      <w:r>
        <w:rPr>
          <w:b/>
        </w:rPr>
        <w:t xml:space="preserve">: </w:t>
      </w:r>
      <w:r>
        <w:t>This fun</w:t>
      </w:r>
      <w:r w:rsidR="00291222">
        <w:t>ction calculates the conditional predictive ordinate for each data point within a model when given the model output as a matrix and the data list supplied to JAGS. It returns the summary statistic:</w:t>
      </w:r>
      <m:oMath>
        <m:sSub>
          <m:sSubPr>
            <m:ctrlPr>
              <w:rPr>
                <w:rFonts w:ascii="Cambria Math" w:hAnsi="Cambria Math"/>
                <w:i/>
              </w:rPr>
            </m:ctrlPr>
          </m:sSubPr>
          <m:e>
            <m:r>
              <w:rPr>
                <w:rFonts w:ascii="Cambria Math" w:hAnsi="Cambria Math"/>
              </w:rPr>
              <m:t>-Σ</m:t>
            </m:r>
          </m:e>
          <m:sub>
            <m:r>
              <w:rPr>
                <w:rFonts w:ascii="Cambria Math" w:hAnsi="Cambria Math"/>
              </w:rPr>
              <m:t>k,t</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CPO</m:t>
                    </m:r>
                  </m:e>
                  <m:sub>
                    <m:r>
                      <w:rPr>
                        <w:rFonts w:ascii="Cambria Math" w:hAnsi="Cambria Math"/>
                      </w:rPr>
                      <m:t>kt</m:t>
                    </m:r>
                  </m:sub>
                </m:sSub>
              </m:e>
            </m:d>
          </m:e>
        </m:func>
      </m:oMath>
      <w:r w:rsidR="00291222">
        <w:rPr>
          <w:rFonts w:eastAsiaTheme="minorEastAsia"/>
        </w:rPr>
        <w:t xml:space="preserve"> for site </w:t>
      </w:r>
      <w:r w:rsidR="00291222">
        <w:rPr>
          <w:rFonts w:eastAsiaTheme="minorEastAsia"/>
          <w:i/>
        </w:rPr>
        <w:t>k</w:t>
      </w:r>
      <w:r w:rsidR="00291222">
        <w:rPr>
          <w:rFonts w:eastAsiaTheme="minorEastAsia"/>
        </w:rPr>
        <w:t xml:space="preserve"> and time </w:t>
      </w:r>
      <w:r w:rsidR="00291222">
        <w:rPr>
          <w:rFonts w:eastAsiaTheme="minorEastAsia"/>
          <w:i/>
        </w:rPr>
        <w:t>t</w:t>
      </w:r>
      <w:r w:rsidR="00291222">
        <w:rPr>
          <w:rFonts w:eastAsiaTheme="minorEastAsia"/>
        </w:rPr>
        <w:t xml:space="preserve">, where lower values indicate better model fit. It is sourced within </w:t>
      </w:r>
      <w:proofErr w:type="spellStart"/>
      <w:r w:rsidR="00291222">
        <w:rPr>
          <w:rFonts w:eastAsiaTheme="minorEastAsia"/>
        </w:rPr>
        <w:t>fit_softmax_</w:t>
      </w:r>
      <w:proofErr w:type="gramStart"/>
      <w:r w:rsidR="00291222">
        <w:rPr>
          <w:rFonts w:eastAsiaTheme="minorEastAsia"/>
        </w:rPr>
        <w:t>model.R</w:t>
      </w:r>
      <w:proofErr w:type="spellEnd"/>
      <w:proofErr w:type="gramEnd"/>
    </w:p>
    <w:p w:rsidR="00291222" w:rsidRDefault="00291222">
      <w:pPr>
        <w:rPr>
          <w:rFonts w:eastAsiaTheme="minorEastAsia"/>
        </w:rPr>
      </w:pPr>
      <w:proofErr w:type="spellStart"/>
      <w:r>
        <w:rPr>
          <w:rFonts w:eastAsiaTheme="minorEastAsia"/>
          <w:b/>
        </w:rPr>
        <w:t>plotting_</w:t>
      </w:r>
      <w:proofErr w:type="gramStart"/>
      <w:r>
        <w:rPr>
          <w:rFonts w:eastAsiaTheme="minorEastAsia"/>
          <w:b/>
        </w:rPr>
        <w:t>script.R</w:t>
      </w:r>
      <w:proofErr w:type="spellEnd"/>
      <w:proofErr w:type="gramEnd"/>
      <w:r>
        <w:rPr>
          <w:rFonts w:eastAsiaTheme="minorEastAsia"/>
          <w:b/>
        </w:rPr>
        <w:t xml:space="preserve">: </w:t>
      </w:r>
      <w:r>
        <w:rPr>
          <w:rFonts w:eastAsiaTheme="minorEastAsia"/>
        </w:rPr>
        <w:t xml:space="preserve">This is the code used to generate the figures in the manuscript. Some additional calls to </w:t>
      </w:r>
      <w:proofErr w:type="spellStart"/>
      <w:r>
        <w:rPr>
          <w:rFonts w:eastAsiaTheme="minorEastAsia"/>
        </w:rPr>
        <w:t>imageMagick</w:t>
      </w:r>
      <w:proofErr w:type="spellEnd"/>
      <w:r>
        <w:rPr>
          <w:rFonts w:eastAsiaTheme="minorEastAsia"/>
        </w:rPr>
        <w:t xml:space="preserve"> were done in the console to generate the final figures.</w:t>
      </w:r>
    </w:p>
    <w:p w:rsidR="00291222" w:rsidRPr="00291222" w:rsidRDefault="00291222">
      <w:pPr>
        <w:rPr>
          <w:rFonts w:eastAsiaTheme="minorEastAsia"/>
        </w:rPr>
      </w:pPr>
      <w:proofErr w:type="spellStart"/>
      <w:r>
        <w:rPr>
          <w:rFonts w:eastAsiaTheme="minorEastAsia"/>
          <w:b/>
        </w:rPr>
        <w:t>plotting_script_utility_</w:t>
      </w:r>
      <w:proofErr w:type="gramStart"/>
      <w:r>
        <w:rPr>
          <w:rFonts w:eastAsiaTheme="minorEastAsia"/>
          <w:b/>
        </w:rPr>
        <w:t>functions.R</w:t>
      </w:r>
      <w:proofErr w:type="spellEnd"/>
      <w:proofErr w:type="gramEnd"/>
      <w:r>
        <w:rPr>
          <w:rFonts w:eastAsiaTheme="minorEastAsia"/>
          <w:b/>
        </w:rPr>
        <w:t>:</w:t>
      </w:r>
      <w:r>
        <w:rPr>
          <w:rFonts w:eastAsiaTheme="minorEastAsia"/>
        </w:rPr>
        <w:t xml:space="preserve"> This script included functions to help generate the figures in </w:t>
      </w:r>
      <w:proofErr w:type="spellStart"/>
      <w:r>
        <w:rPr>
          <w:rFonts w:eastAsiaTheme="minorEastAsia"/>
        </w:rPr>
        <w:t>plotting_script.R</w:t>
      </w:r>
      <w:proofErr w:type="spellEnd"/>
      <w:r>
        <w:rPr>
          <w:rFonts w:eastAsiaTheme="minorEastAsia"/>
        </w:rPr>
        <w:t>. It includes 4 functions: one to generate a species colonization and extinction rate given the presence or absence of another species, two to label the x and y axes for the figures, and one to generate each sub-figure for figure 3 (the occupancy plot).</w:t>
      </w:r>
    </w:p>
    <w:p w:rsidR="00291222" w:rsidRDefault="00291222">
      <w:pPr>
        <w:rPr>
          <w:rFonts w:eastAsiaTheme="minorEastAsia"/>
        </w:rPr>
      </w:pPr>
      <w:proofErr w:type="spellStart"/>
      <w:r>
        <w:rPr>
          <w:rFonts w:eastAsiaTheme="minorEastAsia"/>
          <w:b/>
        </w:rPr>
        <w:t>calculate_steady_</w:t>
      </w:r>
      <w:proofErr w:type="gramStart"/>
      <w:r>
        <w:rPr>
          <w:rFonts w:eastAsiaTheme="minorEastAsia"/>
          <w:b/>
        </w:rPr>
        <w:t>state.R</w:t>
      </w:r>
      <w:proofErr w:type="spellEnd"/>
      <w:proofErr w:type="gramEnd"/>
      <w:r>
        <w:rPr>
          <w:rFonts w:eastAsiaTheme="minorEastAsia"/>
          <w:b/>
        </w:rPr>
        <w:t xml:space="preserve">: </w:t>
      </w:r>
      <w:r>
        <w:rPr>
          <w:rFonts w:eastAsiaTheme="minorEastAsia"/>
        </w:rPr>
        <w:t xml:space="preserve">This function calculates the expected occupancy rate along an environmental gradient for the urbanization covariate with the best fit model and the data list used to fit this model. It is sourced and called within </w:t>
      </w:r>
      <w:proofErr w:type="spellStart"/>
      <w:r>
        <w:rPr>
          <w:rFonts w:eastAsiaTheme="minorEastAsia"/>
        </w:rPr>
        <w:t>plotting_</w:t>
      </w:r>
      <w:proofErr w:type="gramStart"/>
      <w:r>
        <w:rPr>
          <w:rFonts w:eastAsiaTheme="minorEastAsia"/>
        </w:rPr>
        <w:t>script.R</w:t>
      </w:r>
      <w:proofErr w:type="spellEnd"/>
      <w:proofErr w:type="gramEnd"/>
      <w:r>
        <w:rPr>
          <w:rFonts w:eastAsiaTheme="minorEastAsia"/>
        </w:rPr>
        <w:t xml:space="preserve"> to generate figure 3.</w:t>
      </w:r>
    </w:p>
    <w:p w:rsidR="00013AC9" w:rsidRDefault="00013AC9">
      <w:pPr>
        <w:rPr>
          <w:rFonts w:eastAsiaTheme="minorEastAsia"/>
        </w:rPr>
      </w:pPr>
    </w:p>
    <w:p w:rsidR="00013AC9" w:rsidRDefault="00013AC9">
      <w:pPr>
        <w:rPr>
          <w:rFonts w:eastAsiaTheme="minorEastAsia"/>
        </w:rPr>
      </w:pPr>
    </w:p>
    <w:p w:rsidR="00013AC9" w:rsidRDefault="00013AC9">
      <w:pPr>
        <w:rPr>
          <w:rFonts w:eastAsiaTheme="minorEastAsia"/>
        </w:rPr>
      </w:pPr>
    </w:p>
    <w:p w:rsidR="00316DCB" w:rsidRDefault="00316DCB">
      <w:pPr>
        <w:rPr>
          <w:rFonts w:eastAsiaTheme="minorEastAsia"/>
          <w:b/>
        </w:rPr>
      </w:pPr>
      <w:r>
        <w:rPr>
          <w:rFonts w:eastAsiaTheme="minorEastAsia"/>
          <w:b/>
        </w:rPr>
        <w:lastRenderedPageBreak/>
        <w:t xml:space="preserve">Data S1 also has 2 JAGS dynamic co-occurrence occupancy models that are used in this analysis. They should be placed within the </w:t>
      </w:r>
      <w:proofErr w:type="spellStart"/>
      <w:r>
        <w:rPr>
          <w:rFonts w:eastAsiaTheme="minorEastAsia"/>
          <w:b/>
        </w:rPr>
        <w:t>jags_</w:t>
      </w:r>
      <w:proofErr w:type="gramStart"/>
      <w:r>
        <w:rPr>
          <w:rFonts w:eastAsiaTheme="minorEastAsia"/>
          <w:b/>
        </w:rPr>
        <w:t>models</w:t>
      </w:r>
      <w:proofErr w:type="spellEnd"/>
      <w:proofErr w:type="gramEnd"/>
      <w:r>
        <w:rPr>
          <w:rFonts w:eastAsiaTheme="minorEastAsia"/>
          <w:b/>
        </w:rPr>
        <w:t xml:space="preserve"> sub-folder of the working directory.</w:t>
      </w:r>
      <w:r w:rsidR="00013AC9">
        <w:rPr>
          <w:rFonts w:eastAsiaTheme="minorEastAsia"/>
          <w:b/>
        </w:rPr>
        <w:t xml:space="preserve"> These include:</w:t>
      </w:r>
    </w:p>
    <w:p w:rsidR="00013AC9" w:rsidRDefault="00013AC9">
      <w:pPr>
        <w:rPr>
          <w:rFonts w:eastAsiaTheme="minorEastAsia"/>
        </w:rPr>
      </w:pPr>
      <w:proofErr w:type="spellStart"/>
      <w:r>
        <w:rPr>
          <w:rFonts w:eastAsiaTheme="minorEastAsia"/>
          <w:b/>
        </w:rPr>
        <w:t>dcom_</w:t>
      </w:r>
      <w:proofErr w:type="gramStart"/>
      <w:r>
        <w:rPr>
          <w:rFonts w:eastAsiaTheme="minorEastAsia"/>
          <w:b/>
        </w:rPr>
        <w:t>inxs.R</w:t>
      </w:r>
      <w:proofErr w:type="spellEnd"/>
      <w:proofErr w:type="gramEnd"/>
      <w:r>
        <w:rPr>
          <w:rFonts w:eastAsiaTheme="minorEastAsia"/>
          <w:b/>
        </w:rPr>
        <w:t xml:space="preserve">: </w:t>
      </w:r>
      <w:r>
        <w:rPr>
          <w:rFonts w:eastAsiaTheme="minorEastAsia"/>
        </w:rPr>
        <w:t xml:space="preserve">This is the dynamic co-occurrence occupancy model that is used for models 1 through 4 and includes interactions between species. It is general enough such that any number of covariates could be fit to each process (e.g., include 2 covariates on all species interactions for colonization). The parameters within each linear predictor are named as they are within the manuscript. </w:t>
      </w:r>
    </w:p>
    <w:p w:rsidR="00013AC9" w:rsidRPr="00013AC9" w:rsidRDefault="00013AC9" w:rsidP="00013AC9">
      <w:proofErr w:type="spellStart"/>
      <w:r>
        <w:rPr>
          <w:rFonts w:eastAsiaTheme="minorEastAsia"/>
          <w:b/>
        </w:rPr>
        <w:t>dcom_</w:t>
      </w:r>
      <w:r>
        <w:rPr>
          <w:rFonts w:eastAsiaTheme="minorEastAsia"/>
          <w:b/>
        </w:rPr>
        <w:t>no_</w:t>
      </w:r>
      <w:proofErr w:type="gramStart"/>
      <w:r>
        <w:rPr>
          <w:rFonts w:eastAsiaTheme="minorEastAsia"/>
          <w:b/>
        </w:rPr>
        <w:t>inxs.R</w:t>
      </w:r>
      <w:proofErr w:type="spellEnd"/>
      <w:proofErr w:type="gramEnd"/>
      <w:r>
        <w:rPr>
          <w:rFonts w:eastAsiaTheme="minorEastAsia"/>
          <w:b/>
        </w:rPr>
        <w:t xml:space="preserve">: </w:t>
      </w:r>
      <w:r>
        <w:rPr>
          <w:rFonts w:eastAsiaTheme="minorEastAsia"/>
        </w:rPr>
        <w:t xml:space="preserve">This is the dynamic co-occurrence occupancy model that is used for models </w:t>
      </w:r>
      <w:r>
        <w:rPr>
          <w:rFonts w:eastAsiaTheme="minorEastAsia"/>
        </w:rPr>
        <w:t xml:space="preserve">5 and 6 </w:t>
      </w:r>
      <w:r>
        <w:rPr>
          <w:rFonts w:eastAsiaTheme="minorEastAsia"/>
        </w:rPr>
        <w:t xml:space="preserve">and </w:t>
      </w:r>
      <w:r>
        <w:rPr>
          <w:rFonts w:eastAsiaTheme="minorEastAsia"/>
        </w:rPr>
        <w:t>does not include</w:t>
      </w:r>
      <w:r>
        <w:rPr>
          <w:rFonts w:eastAsiaTheme="minorEastAsia"/>
        </w:rPr>
        <w:t xml:space="preserve"> interactions between species. It is general enough such that any number of covariates could be fit to each process</w:t>
      </w:r>
      <w:r>
        <w:rPr>
          <w:rFonts w:eastAsiaTheme="minorEastAsia"/>
        </w:rPr>
        <w:t>.</w:t>
      </w:r>
      <w:r>
        <w:rPr>
          <w:rFonts w:eastAsiaTheme="minorEastAsia"/>
        </w:rPr>
        <w:t xml:space="preserve"> The parameters within each linear predictor are named as they are within the manuscript. </w:t>
      </w:r>
    </w:p>
    <w:p w:rsidR="00013AC9" w:rsidRDefault="001D0E39">
      <w:pPr>
        <w:rPr>
          <w:b/>
        </w:rPr>
      </w:pPr>
      <w:r>
        <w:rPr>
          <w:b/>
        </w:rPr>
        <w:t>There are two data files within the data sub-folder which are used in this analysis. They include:</w:t>
      </w:r>
    </w:p>
    <w:p w:rsidR="001D0E39" w:rsidRDefault="001D0E39">
      <w:r>
        <w:rPr>
          <w:b/>
        </w:rPr>
        <w:t xml:space="preserve">fidino_sp_data.csv: </w:t>
      </w:r>
      <w:r>
        <w:t>This is the detection / non-detection data for coyote, opossum, and raccoon in long fo</w:t>
      </w:r>
      <w:r w:rsidR="00CD18DC">
        <w:t>rmat. It is 44772 records and 9</w:t>
      </w:r>
      <w:r>
        <w:t xml:space="preserve"> columns. The ordering of this data frame is an important part of how the data gets sorted and summarized within </w:t>
      </w:r>
      <w:proofErr w:type="spellStart"/>
      <w:r>
        <w:rPr>
          <w:b/>
        </w:rPr>
        <w:t>fit_softmax_model.R</w:t>
      </w:r>
      <w:proofErr w:type="spellEnd"/>
      <w:r>
        <w:t>. In R, these data should be read such that character strings are not automatically turned into factors:</w:t>
      </w:r>
    </w:p>
    <w:p w:rsidR="001D0E39" w:rsidRDefault="001D0E39">
      <w:pPr>
        <w:rPr>
          <w:rFonts w:ascii="Lucida Console" w:hAnsi="Lucida Console"/>
          <w:sz w:val="18"/>
        </w:rPr>
      </w:pPr>
      <w:r w:rsidRPr="001D0E39">
        <w:rPr>
          <w:rFonts w:ascii="Lucida Console" w:hAnsi="Lucida Console"/>
          <w:sz w:val="18"/>
        </w:rPr>
        <w:t>data &lt;-</w:t>
      </w:r>
      <w:r w:rsidRPr="001D0E39">
        <w:rPr>
          <w:sz w:val="18"/>
        </w:rPr>
        <w:t xml:space="preserve"> </w:t>
      </w:r>
      <w:proofErr w:type="gramStart"/>
      <w:r w:rsidRPr="001D0E39">
        <w:rPr>
          <w:rFonts w:ascii="Lucida Console" w:hAnsi="Lucida Console"/>
          <w:sz w:val="18"/>
        </w:rPr>
        <w:t>read.csv(</w:t>
      </w:r>
      <w:proofErr w:type="gramEnd"/>
      <w:r w:rsidRPr="001D0E39">
        <w:rPr>
          <w:rFonts w:ascii="Lucida Console" w:hAnsi="Lucida Console"/>
          <w:sz w:val="18"/>
        </w:rPr>
        <w:t>“fidino_sp_data.csv”, header =</w:t>
      </w:r>
      <w:r>
        <w:rPr>
          <w:rFonts w:ascii="Lucida Console" w:hAnsi="Lucida Console"/>
          <w:sz w:val="18"/>
        </w:rPr>
        <w:t xml:space="preserve"> TRUE, </w:t>
      </w:r>
      <w:proofErr w:type="spellStart"/>
      <w:r>
        <w:rPr>
          <w:rFonts w:ascii="Lucida Console" w:hAnsi="Lucida Console"/>
          <w:sz w:val="18"/>
        </w:rPr>
        <w:t>stringsAsFactors</w:t>
      </w:r>
      <w:proofErr w:type="spellEnd"/>
      <w:r>
        <w:rPr>
          <w:rFonts w:ascii="Lucida Console" w:hAnsi="Lucida Console"/>
          <w:sz w:val="18"/>
        </w:rPr>
        <w:t xml:space="preserve"> = FALSE)</w:t>
      </w:r>
    </w:p>
    <w:p w:rsidR="001D0E39" w:rsidRPr="001D0E39" w:rsidRDefault="001D0E39">
      <w:pPr>
        <w:rPr>
          <w:rFonts w:cstheme="minorHAnsi"/>
        </w:rPr>
      </w:pPr>
    </w:p>
    <w:tbl>
      <w:tblPr>
        <w:tblStyle w:val="TableGrid"/>
        <w:tblW w:w="0" w:type="auto"/>
        <w:tblLook w:val="04A0" w:firstRow="1" w:lastRow="0" w:firstColumn="1" w:lastColumn="0" w:noHBand="0" w:noVBand="1"/>
      </w:tblPr>
      <w:tblGrid>
        <w:gridCol w:w="1705"/>
        <w:gridCol w:w="1218"/>
        <w:gridCol w:w="6427"/>
      </w:tblGrid>
      <w:tr w:rsidR="001D0E39" w:rsidTr="001D0E39">
        <w:tc>
          <w:tcPr>
            <w:tcW w:w="9350" w:type="dxa"/>
            <w:gridSpan w:val="3"/>
            <w:vAlign w:val="center"/>
          </w:tcPr>
          <w:p w:rsidR="001D0E39" w:rsidRDefault="001D0E39" w:rsidP="001D0E39">
            <w:r>
              <w:t>The structure of fidino_sp_data.csv</w:t>
            </w:r>
          </w:p>
        </w:tc>
      </w:tr>
      <w:tr w:rsidR="001D0E39" w:rsidTr="00D92B7E">
        <w:tc>
          <w:tcPr>
            <w:tcW w:w="1705" w:type="dxa"/>
          </w:tcPr>
          <w:p w:rsidR="001D0E39" w:rsidRDefault="00D92B7E">
            <w:r>
              <w:t>Column header</w:t>
            </w:r>
          </w:p>
        </w:tc>
        <w:tc>
          <w:tcPr>
            <w:tcW w:w="1218" w:type="dxa"/>
          </w:tcPr>
          <w:p w:rsidR="001D0E39" w:rsidRDefault="001D0E39">
            <w:r>
              <w:t>Data type</w:t>
            </w:r>
          </w:p>
        </w:tc>
        <w:tc>
          <w:tcPr>
            <w:tcW w:w="6427" w:type="dxa"/>
          </w:tcPr>
          <w:p w:rsidR="001D0E39" w:rsidRDefault="001D0E39">
            <w:r>
              <w:t>Description</w:t>
            </w:r>
          </w:p>
        </w:tc>
      </w:tr>
      <w:tr w:rsidR="001D0E39" w:rsidTr="00D92B7E">
        <w:tc>
          <w:tcPr>
            <w:tcW w:w="1705" w:type="dxa"/>
          </w:tcPr>
          <w:p w:rsidR="001D0E39" w:rsidRDefault="001D0E39">
            <w:r>
              <w:t>Season</w:t>
            </w:r>
          </w:p>
        </w:tc>
        <w:tc>
          <w:tcPr>
            <w:tcW w:w="1218" w:type="dxa"/>
          </w:tcPr>
          <w:p w:rsidR="001D0E39" w:rsidRDefault="00C475F9">
            <w:r>
              <w:t>C</w:t>
            </w:r>
            <w:r w:rsidR="001D0E39">
              <w:t>ategorical</w:t>
            </w:r>
          </w:p>
        </w:tc>
        <w:tc>
          <w:tcPr>
            <w:tcW w:w="6427" w:type="dxa"/>
          </w:tcPr>
          <w:p w:rsidR="001D0E39" w:rsidRDefault="00C475F9">
            <w:r>
              <w:t>This contains information on which season and year the detection / non-detection data is associated it. Each element has four characters. The first two characters describe which season (SP = spring, SU = summer, FA = fall, WI = winter) while the final two characters describe the year (10 = 2010, 11 = 2011, etc.). The data is currently sorted so that the season and year continue temporally (i.e., SP10 data, SU10 data, FA10 data, WI</w:t>
            </w:r>
            <w:proofErr w:type="gramStart"/>
            <w:r>
              <w:t>11  data</w:t>
            </w:r>
            <w:proofErr w:type="gramEnd"/>
            <w:r>
              <w:t>, etc.)</w:t>
            </w:r>
          </w:p>
        </w:tc>
      </w:tr>
      <w:tr w:rsidR="001D0E39" w:rsidTr="00D92B7E">
        <w:tc>
          <w:tcPr>
            <w:tcW w:w="1705" w:type="dxa"/>
          </w:tcPr>
          <w:p w:rsidR="001D0E39" w:rsidRDefault="001D0E39">
            <w:r>
              <w:t>Week</w:t>
            </w:r>
          </w:p>
        </w:tc>
        <w:tc>
          <w:tcPr>
            <w:tcW w:w="1218" w:type="dxa"/>
          </w:tcPr>
          <w:p w:rsidR="001D0E39" w:rsidRDefault="00C475F9">
            <w:r>
              <w:t>Categorical</w:t>
            </w:r>
          </w:p>
        </w:tc>
        <w:tc>
          <w:tcPr>
            <w:tcW w:w="6427" w:type="dxa"/>
          </w:tcPr>
          <w:p w:rsidR="001D0E39" w:rsidRDefault="00C475F9">
            <w:r>
              <w:t>Which week of sampling do the 7 detection / non-detection days fall within per season. Represented as ‘week 1’, ‘week 2’, ‘week 3’ and ‘week 4’.</w:t>
            </w:r>
          </w:p>
        </w:tc>
      </w:tr>
      <w:tr w:rsidR="001D0E39" w:rsidTr="00D92B7E">
        <w:tc>
          <w:tcPr>
            <w:tcW w:w="1705" w:type="dxa"/>
          </w:tcPr>
          <w:p w:rsidR="001D0E39" w:rsidRDefault="001D0E39">
            <w:r>
              <w:t>Date</w:t>
            </w:r>
          </w:p>
        </w:tc>
        <w:tc>
          <w:tcPr>
            <w:tcW w:w="1218" w:type="dxa"/>
          </w:tcPr>
          <w:p w:rsidR="001D0E39" w:rsidRDefault="00C475F9">
            <w:r>
              <w:t>Date</w:t>
            </w:r>
          </w:p>
        </w:tc>
        <w:tc>
          <w:tcPr>
            <w:tcW w:w="6427" w:type="dxa"/>
          </w:tcPr>
          <w:p w:rsidR="001D0E39" w:rsidRDefault="00C475F9">
            <w:r>
              <w:t>The day associated to the detection / non-detection data. Format is ‘%Y-%M-%D’</w:t>
            </w:r>
          </w:p>
        </w:tc>
      </w:tr>
      <w:tr w:rsidR="001D0E39" w:rsidTr="00D92B7E">
        <w:tc>
          <w:tcPr>
            <w:tcW w:w="1705" w:type="dxa"/>
          </w:tcPr>
          <w:p w:rsidR="001D0E39" w:rsidRDefault="001D0E39">
            <w:proofErr w:type="spellStart"/>
            <w:r>
              <w:t>SeasonWeek</w:t>
            </w:r>
            <w:proofErr w:type="spellEnd"/>
          </w:p>
        </w:tc>
        <w:tc>
          <w:tcPr>
            <w:tcW w:w="1218" w:type="dxa"/>
          </w:tcPr>
          <w:p w:rsidR="001D0E39" w:rsidRDefault="00C475F9">
            <w:r>
              <w:t>Categorical</w:t>
            </w:r>
          </w:p>
        </w:tc>
        <w:tc>
          <w:tcPr>
            <w:tcW w:w="6427" w:type="dxa"/>
          </w:tcPr>
          <w:p w:rsidR="001D0E39" w:rsidRDefault="00C475F9">
            <w:r>
              <w:t>The data from the Season column and Week column have been concatenated and separated by a space. For example, the first record is ‘SP10 week 1’.</w:t>
            </w:r>
          </w:p>
        </w:tc>
      </w:tr>
      <w:tr w:rsidR="001D0E39" w:rsidTr="00D92B7E">
        <w:tc>
          <w:tcPr>
            <w:tcW w:w="1705" w:type="dxa"/>
          </w:tcPr>
          <w:p w:rsidR="001D0E39" w:rsidRDefault="001D0E39">
            <w:proofErr w:type="spellStart"/>
            <w:r>
              <w:t>StationID</w:t>
            </w:r>
            <w:proofErr w:type="spellEnd"/>
          </w:p>
        </w:tc>
        <w:tc>
          <w:tcPr>
            <w:tcW w:w="1218" w:type="dxa"/>
          </w:tcPr>
          <w:p w:rsidR="001D0E39" w:rsidRDefault="00C475F9">
            <w:r>
              <w:t>Categorical</w:t>
            </w:r>
          </w:p>
        </w:tc>
        <w:tc>
          <w:tcPr>
            <w:tcW w:w="6427" w:type="dxa"/>
          </w:tcPr>
          <w:p w:rsidR="001D0E39" w:rsidRDefault="00C475F9">
            <w:r>
              <w:t xml:space="preserve">Which site the detection / non-detection data is associated to. Within each season the </w:t>
            </w:r>
            <w:proofErr w:type="spellStart"/>
            <w:r>
              <w:t>StationID</w:t>
            </w:r>
            <w:proofErr w:type="spellEnd"/>
            <w:r>
              <w:t xml:space="preserve"> is sorted alphabetically (and therefore in the same order across seasons).</w:t>
            </w:r>
          </w:p>
        </w:tc>
      </w:tr>
      <w:tr w:rsidR="001D0E39" w:rsidTr="00D92B7E">
        <w:tc>
          <w:tcPr>
            <w:tcW w:w="1705" w:type="dxa"/>
          </w:tcPr>
          <w:p w:rsidR="001D0E39" w:rsidRDefault="001D0E39">
            <w:proofErr w:type="spellStart"/>
            <w:r>
              <w:t>SurveyID</w:t>
            </w:r>
            <w:proofErr w:type="spellEnd"/>
          </w:p>
        </w:tc>
        <w:tc>
          <w:tcPr>
            <w:tcW w:w="1218" w:type="dxa"/>
          </w:tcPr>
          <w:p w:rsidR="001D0E39" w:rsidRDefault="00C475F9">
            <w:r>
              <w:t>Categorical</w:t>
            </w:r>
          </w:p>
        </w:tc>
        <w:tc>
          <w:tcPr>
            <w:tcW w:w="6427" w:type="dxa"/>
          </w:tcPr>
          <w:p w:rsidR="001D0E39" w:rsidRDefault="00C475F9">
            <w:proofErr w:type="spellStart"/>
            <w:r>
              <w:t>StationID</w:t>
            </w:r>
            <w:proofErr w:type="spellEnd"/>
            <w:r>
              <w:t xml:space="preserve"> concatenated Season and separated by a ‘</w:t>
            </w:r>
            <w:proofErr w:type="gramStart"/>
            <w:r>
              <w:t>-‘</w:t>
            </w:r>
            <w:proofErr w:type="gramEnd"/>
            <w:r>
              <w:t xml:space="preserve">. For example, the first record is ‘D02-BMT0-SP10’. Because Season = SP10 and </w:t>
            </w:r>
            <w:proofErr w:type="spellStart"/>
            <w:r>
              <w:t>SurveyID</w:t>
            </w:r>
            <w:proofErr w:type="spellEnd"/>
            <w:r>
              <w:t xml:space="preserve"> = D02-BMT0.</w:t>
            </w:r>
          </w:p>
        </w:tc>
      </w:tr>
      <w:tr w:rsidR="001D0E39" w:rsidTr="00D92B7E">
        <w:tc>
          <w:tcPr>
            <w:tcW w:w="1705" w:type="dxa"/>
          </w:tcPr>
          <w:p w:rsidR="001D0E39" w:rsidRDefault="001D0E39">
            <w:r>
              <w:lastRenderedPageBreak/>
              <w:t>Coyote</w:t>
            </w:r>
          </w:p>
        </w:tc>
        <w:tc>
          <w:tcPr>
            <w:tcW w:w="1218" w:type="dxa"/>
          </w:tcPr>
          <w:p w:rsidR="001D0E39" w:rsidRDefault="00C475F9">
            <w:r>
              <w:t>Binary</w:t>
            </w:r>
          </w:p>
        </w:tc>
        <w:tc>
          <w:tcPr>
            <w:tcW w:w="6427" w:type="dxa"/>
          </w:tcPr>
          <w:p w:rsidR="001D0E39" w:rsidRDefault="00C475F9">
            <w:r>
              <w:t>If a coyote was detected at a site</w:t>
            </w:r>
            <w:r w:rsidR="00643D17">
              <w:t xml:space="preserve"> on a given day the associated element in this column is a 1. If coyote were not detected it is a 0. If sampling did not occur it is NA.</w:t>
            </w:r>
          </w:p>
        </w:tc>
      </w:tr>
      <w:tr w:rsidR="001D0E39" w:rsidTr="00D92B7E">
        <w:tc>
          <w:tcPr>
            <w:tcW w:w="1705" w:type="dxa"/>
          </w:tcPr>
          <w:p w:rsidR="001D0E39" w:rsidRDefault="001D0E39">
            <w:r>
              <w:t>Opossum</w:t>
            </w:r>
          </w:p>
        </w:tc>
        <w:tc>
          <w:tcPr>
            <w:tcW w:w="1218" w:type="dxa"/>
          </w:tcPr>
          <w:p w:rsidR="001D0E39" w:rsidRDefault="00643D17">
            <w:r>
              <w:t>Binary</w:t>
            </w:r>
          </w:p>
        </w:tc>
        <w:tc>
          <w:tcPr>
            <w:tcW w:w="6427" w:type="dxa"/>
          </w:tcPr>
          <w:p w:rsidR="001D0E39" w:rsidRDefault="00643D17">
            <w:r>
              <w:t>If an opossum</w:t>
            </w:r>
            <w:r>
              <w:t xml:space="preserve"> was detected at a site on a given day the associated element </w:t>
            </w:r>
            <w:r>
              <w:t>in this column is a 1. If opossum</w:t>
            </w:r>
            <w:r>
              <w:t xml:space="preserve"> were not detected it is a 0. If sampling did not occur it is NA.</w:t>
            </w:r>
          </w:p>
        </w:tc>
      </w:tr>
      <w:tr w:rsidR="001D0E39" w:rsidTr="00D92B7E">
        <w:tc>
          <w:tcPr>
            <w:tcW w:w="1705" w:type="dxa"/>
          </w:tcPr>
          <w:p w:rsidR="001D0E39" w:rsidRDefault="001D0E39">
            <w:r>
              <w:t>Raccoon</w:t>
            </w:r>
          </w:p>
        </w:tc>
        <w:tc>
          <w:tcPr>
            <w:tcW w:w="1218" w:type="dxa"/>
          </w:tcPr>
          <w:p w:rsidR="001D0E39" w:rsidRDefault="00643D17">
            <w:r>
              <w:t>Binary</w:t>
            </w:r>
          </w:p>
        </w:tc>
        <w:tc>
          <w:tcPr>
            <w:tcW w:w="6427" w:type="dxa"/>
          </w:tcPr>
          <w:p w:rsidR="001D0E39" w:rsidRDefault="00643D17">
            <w:r>
              <w:t>If a raccoon</w:t>
            </w:r>
            <w:r>
              <w:t xml:space="preserve"> was detected at a site on a given day the associated element </w:t>
            </w:r>
            <w:r>
              <w:t>in this column is a 1. If raccoon</w:t>
            </w:r>
            <w:r>
              <w:t xml:space="preserve"> were not detected it is a 0. If sampling did not occur it is NA.</w:t>
            </w:r>
          </w:p>
        </w:tc>
      </w:tr>
    </w:tbl>
    <w:p w:rsidR="001D0E39" w:rsidRDefault="001D0E39"/>
    <w:p w:rsidR="00643D17" w:rsidRDefault="00643D17">
      <w:r>
        <w:t xml:space="preserve">The ordering of the rows within </w:t>
      </w:r>
      <w:r>
        <w:rPr>
          <w:b/>
        </w:rPr>
        <w:t>fidino_sp_dat</w:t>
      </w:r>
      <w:r w:rsidR="00D92B7E">
        <w:rPr>
          <w:b/>
        </w:rPr>
        <w:t>a</w:t>
      </w:r>
      <w:r>
        <w:rPr>
          <w:b/>
        </w:rPr>
        <w:t>.csv is</w:t>
      </w:r>
      <w:r w:rsidR="00F47C61">
        <w:t xml:space="preserve"> sorted hierarchically</w:t>
      </w:r>
      <w:r>
        <w:t>:</w:t>
      </w:r>
    </w:p>
    <w:p w:rsidR="00643D17" w:rsidRDefault="00643D17" w:rsidP="00643D17">
      <w:pPr>
        <w:pStyle w:val="ListParagraph"/>
        <w:numPr>
          <w:ilvl w:val="0"/>
          <w:numId w:val="2"/>
        </w:numPr>
      </w:pPr>
      <w:r>
        <w:t>Season (progresses temporally)</w:t>
      </w:r>
    </w:p>
    <w:p w:rsidR="00643D17" w:rsidRDefault="00643D17" w:rsidP="00643D17">
      <w:pPr>
        <w:pStyle w:val="ListParagraph"/>
        <w:numPr>
          <w:ilvl w:val="0"/>
          <w:numId w:val="2"/>
        </w:numPr>
      </w:pPr>
      <w:proofErr w:type="spellStart"/>
      <w:r>
        <w:t>StationID</w:t>
      </w:r>
      <w:proofErr w:type="spellEnd"/>
      <w:r>
        <w:t xml:space="preserve"> (alphabetical within each season).</w:t>
      </w:r>
    </w:p>
    <w:p w:rsidR="00643D17" w:rsidRPr="00306321" w:rsidRDefault="00643D17" w:rsidP="00643D17">
      <w:r>
        <w:rPr>
          <w:b/>
        </w:rPr>
        <w:t>fidino_</w:t>
      </w:r>
      <w:r w:rsidR="00D92B7E">
        <w:rPr>
          <w:b/>
        </w:rPr>
        <w:t>covariate_</w:t>
      </w:r>
      <w:r>
        <w:rPr>
          <w:b/>
        </w:rPr>
        <w:t>data.csv:</w:t>
      </w:r>
      <w:r>
        <w:t xml:space="preserve"> This is the three covariates used to create the urbanization PCA</w:t>
      </w:r>
      <w:r w:rsidR="00D92B7E">
        <w:t xml:space="preserve"> for each site. These covariates include: housing density, proportion tree cover, and proportion impervious cover all within 1000 meters of a site. It is alphabetically ordered by </w:t>
      </w:r>
      <w:proofErr w:type="spellStart"/>
      <w:r w:rsidR="00D92B7E">
        <w:t>StationID</w:t>
      </w:r>
      <w:proofErr w:type="spellEnd"/>
      <w:r w:rsidR="00D92B7E">
        <w:t xml:space="preserve"> and therefore has the same order for each season within </w:t>
      </w:r>
      <w:r w:rsidR="00D92B7E">
        <w:rPr>
          <w:b/>
        </w:rPr>
        <w:t>fidino_sp_data.csv</w:t>
      </w:r>
      <w:r w:rsidR="00306321">
        <w:rPr>
          <w:b/>
        </w:rPr>
        <w:t xml:space="preserve"> </w:t>
      </w:r>
      <w:r w:rsidR="00306321">
        <w:t>(after the sites that have fewer than 2 seasons of data are removed)</w:t>
      </w:r>
      <w:r w:rsidR="00D92B7E">
        <w:rPr>
          <w:b/>
        </w:rPr>
        <w:t>.</w:t>
      </w:r>
      <w:r w:rsidR="00306321">
        <w:rPr>
          <w:b/>
        </w:rPr>
        <w:t xml:space="preserve"> </w:t>
      </w:r>
      <w:r w:rsidR="00306321">
        <w:t>This dataset has 103 rows, one for each site that was included in the analysis.</w:t>
      </w:r>
      <w:bookmarkStart w:id="0" w:name="_GoBack"/>
      <w:bookmarkEnd w:id="0"/>
      <w:r w:rsidR="00306321">
        <w:rPr>
          <w:b/>
        </w:rPr>
        <w:t xml:space="preserve"> </w:t>
      </w:r>
    </w:p>
    <w:tbl>
      <w:tblPr>
        <w:tblStyle w:val="TableGrid"/>
        <w:tblW w:w="0" w:type="auto"/>
        <w:tblLook w:val="04A0" w:firstRow="1" w:lastRow="0" w:firstColumn="1" w:lastColumn="0" w:noHBand="0" w:noVBand="1"/>
      </w:tblPr>
      <w:tblGrid>
        <w:gridCol w:w="1615"/>
        <w:gridCol w:w="1260"/>
        <w:gridCol w:w="6475"/>
      </w:tblGrid>
      <w:tr w:rsidR="00D92B7E" w:rsidTr="00D92B7E">
        <w:tc>
          <w:tcPr>
            <w:tcW w:w="9350" w:type="dxa"/>
            <w:gridSpan w:val="3"/>
            <w:vAlign w:val="center"/>
          </w:tcPr>
          <w:p w:rsidR="00D92B7E" w:rsidRPr="00D92B7E" w:rsidRDefault="00D92B7E" w:rsidP="00D92B7E">
            <w:r>
              <w:t>The structure of fidino_covariate_data.csv</w:t>
            </w:r>
          </w:p>
        </w:tc>
      </w:tr>
      <w:tr w:rsidR="00D92B7E" w:rsidTr="00D92B7E">
        <w:tc>
          <w:tcPr>
            <w:tcW w:w="1615" w:type="dxa"/>
          </w:tcPr>
          <w:p w:rsidR="00D92B7E" w:rsidRPr="00D92B7E" w:rsidRDefault="00D92B7E" w:rsidP="00643D17">
            <w:r w:rsidRPr="00D92B7E">
              <w:t>Column header</w:t>
            </w:r>
          </w:p>
        </w:tc>
        <w:tc>
          <w:tcPr>
            <w:tcW w:w="1260" w:type="dxa"/>
          </w:tcPr>
          <w:p w:rsidR="00D92B7E" w:rsidRPr="00D92B7E" w:rsidRDefault="00D92B7E" w:rsidP="00643D17">
            <w:r>
              <w:t>Date type</w:t>
            </w:r>
          </w:p>
        </w:tc>
        <w:tc>
          <w:tcPr>
            <w:tcW w:w="6475" w:type="dxa"/>
          </w:tcPr>
          <w:p w:rsidR="00D92B7E" w:rsidRPr="00D92B7E" w:rsidRDefault="00D92B7E" w:rsidP="00643D17">
            <w:r>
              <w:t>Description</w:t>
            </w:r>
          </w:p>
        </w:tc>
      </w:tr>
      <w:tr w:rsidR="00D92B7E" w:rsidTr="00D92B7E">
        <w:tc>
          <w:tcPr>
            <w:tcW w:w="1615" w:type="dxa"/>
          </w:tcPr>
          <w:p w:rsidR="00D92B7E" w:rsidRPr="00D92B7E" w:rsidRDefault="00D92B7E" w:rsidP="00643D17">
            <w:proofErr w:type="spellStart"/>
            <w:r w:rsidRPr="00D92B7E">
              <w:t>StationID</w:t>
            </w:r>
            <w:proofErr w:type="spellEnd"/>
          </w:p>
        </w:tc>
        <w:tc>
          <w:tcPr>
            <w:tcW w:w="1260" w:type="dxa"/>
          </w:tcPr>
          <w:p w:rsidR="00D92B7E" w:rsidRPr="00D92B7E" w:rsidRDefault="00D92B7E" w:rsidP="00643D17">
            <w:r>
              <w:t>Categorical</w:t>
            </w:r>
          </w:p>
        </w:tc>
        <w:tc>
          <w:tcPr>
            <w:tcW w:w="6475" w:type="dxa"/>
          </w:tcPr>
          <w:p w:rsidR="00D92B7E" w:rsidRPr="00D92B7E" w:rsidRDefault="00D92B7E" w:rsidP="00643D17">
            <w:r>
              <w:t xml:space="preserve">Which site the </w:t>
            </w:r>
            <w:r>
              <w:t>collected covariate</w:t>
            </w:r>
            <w:r>
              <w:t xml:space="preserve"> data is associated to. </w:t>
            </w:r>
            <w:r>
              <w:t xml:space="preserve">The whole data frame is </w:t>
            </w:r>
            <w:r>
              <w:t>sorted alphabetically</w:t>
            </w:r>
            <w:r>
              <w:t xml:space="preserve"> based </w:t>
            </w:r>
            <w:proofErr w:type="gramStart"/>
            <w:r>
              <w:t>off of</w:t>
            </w:r>
            <w:proofErr w:type="gramEnd"/>
            <w:r>
              <w:t xml:space="preserve"> this column.</w:t>
            </w:r>
          </w:p>
        </w:tc>
      </w:tr>
      <w:tr w:rsidR="00D92B7E" w:rsidTr="00D92B7E">
        <w:tc>
          <w:tcPr>
            <w:tcW w:w="1615" w:type="dxa"/>
          </w:tcPr>
          <w:p w:rsidR="00D92B7E" w:rsidRPr="00D92B7E" w:rsidRDefault="00D92B7E" w:rsidP="00643D17">
            <w:r>
              <w:t>House</w:t>
            </w:r>
          </w:p>
        </w:tc>
        <w:tc>
          <w:tcPr>
            <w:tcW w:w="1260" w:type="dxa"/>
          </w:tcPr>
          <w:p w:rsidR="00D92B7E" w:rsidRPr="00D92B7E" w:rsidRDefault="00D92B7E" w:rsidP="00643D17">
            <w:r>
              <w:t>Numeric</w:t>
            </w:r>
          </w:p>
        </w:tc>
        <w:tc>
          <w:tcPr>
            <w:tcW w:w="6475" w:type="dxa"/>
          </w:tcPr>
          <w:p w:rsidR="00D92B7E" w:rsidRPr="00D92B7E" w:rsidRDefault="00D92B7E" w:rsidP="00643D17">
            <w:r>
              <w:t xml:space="preserve">Housing density (number of units within a </w:t>
            </w:r>
            <w:proofErr w:type="gramStart"/>
            <w:r>
              <w:t>1000 meter</w:t>
            </w:r>
            <w:proofErr w:type="gramEnd"/>
            <w:r>
              <w:t xml:space="preserve"> buffer of a site)</w:t>
            </w:r>
          </w:p>
        </w:tc>
      </w:tr>
      <w:tr w:rsidR="00D92B7E" w:rsidTr="00D92B7E">
        <w:tc>
          <w:tcPr>
            <w:tcW w:w="1615" w:type="dxa"/>
          </w:tcPr>
          <w:p w:rsidR="00D92B7E" w:rsidRPr="00D92B7E" w:rsidRDefault="00D92B7E" w:rsidP="00643D17">
            <w:r>
              <w:t>Tree</w:t>
            </w:r>
          </w:p>
        </w:tc>
        <w:tc>
          <w:tcPr>
            <w:tcW w:w="1260" w:type="dxa"/>
          </w:tcPr>
          <w:p w:rsidR="00D92B7E" w:rsidRPr="00D92B7E" w:rsidRDefault="00D92B7E" w:rsidP="00643D17">
            <w:r>
              <w:t>Numeric</w:t>
            </w:r>
          </w:p>
        </w:tc>
        <w:tc>
          <w:tcPr>
            <w:tcW w:w="6475" w:type="dxa"/>
          </w:tcPr>
          <w:p w:rsidR="00D92B7E" w:rsidRPr="00D92B7E" w:rsidRDefault="00D92B7E" w:rsidP="00643D17">
            <w:r>
              <w:t>Proportion of tree cover (the percent of tree cover within a 1000 m buffer of a site). Can only range from 0 to 1.</w:t>
            </w:r>
          </w:p>
        </w:tc>
      </w:tr>
      <w:tr w:rsidR="00D92B7E" w:rsidTr="00D92B7E">
        <w:tc>
          <w:tcPr>
            <w:tcW w:w="1615" w:type="dxa"/>
          </w:tcPr>
          <w:p w:rsidR="00D92B7E" w:rsidRPr="00D92B7E" w:rsidRDefault="00D92B7E" w:rsidP="00643D17">
            <w:r>
              <w:t>Imp</w:t>
            </w:r>
          </w:p>
        </w:tc>
        <w:tc>
          <w:tcPr>
            <w:tcW w:w="1260" w:type="dxa"/>
          </w:tcPr>
          <w:p w:rsidR="00D92B7E" w:rsidRPr="00D92B7E" w:rsidRDefault="00D92B7E" w:rsidP="00643D17">
            <w:r>
              <w:t>Numeric</w:t>
            </w:r>
          </w:p>
        </w:tc>
        <w:tc>
          <w:tcPr>
            <w:tcW w:w="6475" w:type="dxa"/>
          </w:tcPr>
          <w:p w:rsidR="00D92B7E" w:rsidRPr="00D92B7E" w:rsidRDefault="00D92B7E" w:rsidP="00643D17">
            <w:r>
              <w:t>Proportion impervious cover (the percent of impervious</w:t>
            </w:r>
            <w:r>
              <w:t xml:space="preserve"> cover within a 1000 m buffer of a site). Can only range from 0 to 1.</w:t>
            </w:r>
          </w:p>
        </w:tc>
      </w:tr>
    </w:tbl>
    <w:p w:rsidR="00D92B7E" w:rsidRDefault="00D92B7E" w:rsidP="00643D17">
      <w:pPr>
        <w:rPr>
          <w:b/>
        </w:rPr>
      </w:pPr>
    </w:p>
    <w:p w:rsidR="00D92B7E" w:rsidRDefault="00D92B7E" w:rsidP="00643D17">
      <w:r>
        <w:t>Housing density was collected from</w:t>
      </w:r>
      <w:r w:rsidR="00F47C61">
        <w:t xml:space="preserve"> the Silvis lab webs</w:t>
      </w:r>
      <w:r w:rsidR="00226558">
        <w:t>ite and is from the 2010 census.</w:t>
      </w:r>
    </w:p>
    <w:p w:rsidR="00226558" w:rsidRDefault="00226558" w:rsidP="00643D17">
      <w:r>
        <w:t xml:space="preserve">Website: </w:t>
      </w:r>
      <w:hyperlink r:id="rId5" w:history="1">
        <w:r w:rsidRPr="00D126A6">
          <w:rPr>
            <w:rStyle w:val="Hyperlink"/>
          </w:rPr>
          <w:t>http://silvis.forest.wisc.edu/data/housing/block_change</w:t>
        </w:r>
      </w:hyperlink>
    </w:p>
    <w:p w:rsidR="00226558" w:rsidRDefault="00226558" w:rsidP="00643D17">
      <w:r>
        <w:t>Tree cover and Impervious cover were calculated from the 2011 NLCD data.</w:t>
      </w:r>
    </w:p>
    <w:p w:rsidR="00226558" w:rsidRDefault="00226558" w:rsidP="00643D17">
      <w:r>
        <w:t xml:space="preserve">Website: </w:t>
      </w:r>
      <w:hyperlink r:id="rId6" w:history="1">
        <w:r w:rsidRPr="00D126A6">
          <w:rPr>
            <w:rStyle w:val="Hyperlink"/>
          </w:rPr>
          <w:t>https://www.mrlc.gov/nlcd2011.php</w:t>
        </w:r>
      </w:hyperlink>
    </w:p>
    <w:p w:rsidR="00226558" w:rsidRDefault="00226558" w:rsidP="00643D17"/>
    <w:p w:rsidR="00F47C61" w:rsidRPr="00D92B7E" w:rsidRDefault="00F47C61" w:rsidP="00643D17"/>
    <w:sectPr w:rsidR="00F47C61" w:rsidRPr="00D92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B6377"/>
    <w:multiLevelType w:val="hybridMultilevel"/>
    <w:tmpl w:val="71E28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EE0C8E"/>
    <w:multiLevelType w:val="hybridMultilevel"/>
    <w:tmpl w:val="AEEE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IwNTW0MLUwNjQzMbNU0lEKTi0uzszPAykwqgUAJYnbWCwAAAA="/>
  </w:docVars>
  <w:rsids>
    <w:rsidRoot w:val="003005FA"/>
    <w:rsid w:val="00013AC9"/>
    <w:rsid w:val="001572D3"/>
    <w:rsid w:val="001D0E39"/>
    <w:rsid w:val="00226558"/>
    <w:rsid w:val="00291222"/>
    <w:rsid w:val="003005FA"/>
    <w:rsid w:val="00306321"/>
    <w:rsid w:val="00316DCB"/>
    <w:rsid w:val="00483C79"/>
    <w:rsid w:val="005E7336"/>
    <w:rsid w:val="005E79B2"/>
    <w:rsid w:val="00617F51"/>
    <w:rsid w:val="00643D17"/>
    <w:rsid w:val="006D34B4"/>
    <w:rsid w:val="008E13E1"/>
    <w:rsid w:val="00987C2E"/>
    <w:rsid w:val="00A934C8"/>
    <w:rsid w:val="00B0186C"/>
    <w:rsid w:val="00C475F9"/>
    <w:rsid w:val="00CD18DC"/>
    <w:rsid w:val="00D92B7E"/>
    <w:rsid w:val="00EE5F7A"/>
    <w:rsid w:val="00F47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D1B4"/>
  <w15:chartTrackingRefBased/>
  <w15:docId w15:val="{847BEF47-D1A1-46F1-8FC9-432F5CA28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2D3"/>
    <w:pPr>
      <w:ind w:left="720"/>
      <w:contextualSpacing/>
    </w:pPr>
  </w:style>
  <w:style w:type="character" w:styleId="PlaceholderText">
    <w:name w:val="Placeholder Text"/>
    <w:basedOn w:val="DefaultParagraphFont"/>
    <w:uiPriority w:val="99"/>
    <w:semiHidden/>
    <w:rsid w:val="00291222"/>
    <w:rPr>
      <w:color w:val="808080"/>
    </w:rPr>
  </w:style>
  <w:style w:type="table" w:styleId="TableGrid">
    <w:name w:val="Table Grid"/>
    <w:basedOn w:val="TableNormal"/>
    <w:uiPriority w:val="39"/>
    <w:rsid w:val="001D0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6558"/>
    <w:rPr>
      <w:color w:val="0563C1" w:themeColor="hyperlink"/>
      <w:u w:val="single"/>
    </w:rPr>
  </w:style>
  <w:style w:type="character" w:styleId="UnresolvedMention">
    <w:name w:val="Unresolved Mention"/>
    <w:basedOn w:val="DefaultParagraphFont"/>
    <w:uiPriority w:val="99"/>
    <w:semiHidden/>
    <w:unhideWhenUsed/>
    <w:rsid w:val="0022655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rlc.gov/nlcd2011.php" TargetMode="External"/><Relationship Id="rId5" Type="http://schemas.openxmlformats.org/officeDocument/2006/relationships/hyperlink" Target="http://silvis.forest.wisc.edu/data/housing/block_chan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2</cp:revision>
  <dcterms:created xsi:type="dcterms:W3CDTF">2018-06-11T20:36:00Z</dcterms:created>
  <dcterms:modified xsi:type="dcterms:W3CDTF">2018-06-11T20:36:00Z</dcterms:modified>
</cp:coreProperties>
</file>