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E58E5" w14:textId="60372CE0" w:rsidR="00130EB0" w:rsidRPr="0082004A" w:rsidRDefault="00130EB0" w:rsidP="00130EB0">
      <w:pPr>
        <w:rPr>
          <w:rFonts w:cstheme="minorHAnsi"/>
        </w:rPr>
      </w:pPr>
      <w:r w:rsidRPr="0082004A">
        <w:rPr>
          <w:rFonts w:cstheme="minorHAnsi"/>
        </w:rPr>
        <w:t xml:space="preserve">Over the last 100 years </w:t>
      </w:r>
      <w:r>
        <w:rPr>
          <w:rFonts w:cstheme="minorHAnsi"/>
        </w:rPr>
        <w:t>urbanization</w:t>
      </w:r>
      <w:r w:rsidRPr="0082004A">
        <w:rPr>
          <w:rFonts w:cstheme="minorHAnsi"/>
        </w:rPr>
        <w:t xml:space="preserve"> has been a dominant driver of biodiversity change (McDonald et al. 2020). This change is, in part, due to humanity’s transition from rural to urban life. Since the start of the 20</w:t>
      </w:r>
      <w:r w:rsidRPr="0082004A">
        <w:rPr>
          <w:rFonts w:cstheme="minorHAnsi"/>
          <w:vertAlign w:val="superscript"/>
        </w:rPr>
        <w:t>th</w:t>
      </w:r>
      <w:r w:rsidRPr="0082004A">
        <w:rPr>
          <w:rFonts w:cstheme="minorHAnsi"/>
        </w:rPr>
        <w:t xml:space="preserve"> century, the proportion of people living in cities has increased from 10% to over 50% (Citation). As a result, the amount and intensity of urban land cover has increased </w:t>
      </w:r>
      <w:r>
        <w:rPr>
          <w:rFonts w:cstheme="minorHAnsi"/>
        </w:rPr>
        <w:t xml:space="preserve">worldwide </w:t>
      </w:r>
      <w:r w:rsidRPr="0082004A">
        <w:rPr>
          <w:rFonts w:cstheme="minorHAnsi"/>
        </w:rPr>
        <w:t>(Citation) and the largely negative influence urbanization has</w:t>
      </w:r>
      <w:r>
        <w:rPr>
          <w:rFonts w:cstheme="minorHAnsi"/>
        </w:rPr>
        <w:t xml:space="preserve"> had</w:t>
      </w:r>
      <w:r w:rsidRPr="0082004A">
        <w:rPr>
          <w:rFonts w:cstheme="minorHAnsi"/>
        </w:rPr>
        <w:t xml:space="preserve"> on biodiversity has become undeniable (Citation). Cities are, after all, often located in biodiversity hotspots and the associated habitat loss that comes along with urbanization is a main driver of species extirpations or extinctions (Citation). Yet, some non-human species persist, and at times thrive, in</w:t>
      </w:r>
      <w:r w:rsidR="00EA6A5A">
        <w:rPr>
          <w:rFonts w:cstheme="minorHAnsi"/>
        </w:rPr>
        <w:t xml:space="preserve"> the pockets of green space within</w:t>
      </w:r>
      <w:r w:rsidRPr="0082004A">
        <w:rPr>
          <w:rFonts w:cstheme="minorHAnsi"/>
        </w:rPr>
        <w:t xml:space="preserve"> cities. As such,</w:t>
      </w:r>
      <w:r>
        <w:rPr>
          <w:rFonts w:cstheme="minorHAnsi"/>
        </w:rPr>
        <w:t xml:space="preserve"> the selective pressures of</w:t>
      </w:r>
      <w:r w:rsidRPr="0082004A">
        <w:rPr>
          <w:rFonts w:cstheme="minorHAnsi"/>
        </w:rPr>
        <w:t xml:space="preserve"> urban environments provide a unique opportunity to explore ecological processes across space or through time. </w:t>
      </w:r>
    </w:p>
    <w:p w14:paraId="0BB52CA0" w14:textId="0DC75CCC" w:rsidR="00130EB0" w:rsidRPr="0082004A" w:rsidRDefault="00130EB0" w:rsidP="00130EB0">
      <w:pPr>
        <w:rPr>
          <w:rFonts w:cstheme="minorHAnsi"/>
          <w:color w:val="1C1D1E"/>
          <w:shd w:val="clear" w:color="auto" w:fill="FFFFFF"/>
        </w:rPr>
      </w:pPr>
      <w:r w:rsidRPr="0082004A">
        <w:rPr>
          <w:rFonts w:cstheme="minorHAnsi"/>
        </w:rPr>
        <w:t xml:space="preserve">One underexplored process in urban environments is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through time. </w:t>
      </w:r>
      <w:r w:rsidRPr="0082004A">
        <w:rPr>
          <w:rFonts w:cstheme="minorHAnsi"/>
          <w:color w:val="1C1D1E"/>
          <w:shd w:val="clear" w:color="auto" w:fill="FFFFFF"/>
        </w:rPr>
        <w:t xml:space="preserve">Certainly, long-term comparisons of natural habitat turned urban </w:t>
      </w:r>
      <w:r>
        <w:rPr>
          <w:rFonts w:cstheme="minorHAnsi"/>
          <w:color w:val="1C1D1E"/>
          <w:shd w:val="clear" w:color="auto" w:fill="FFFFFF"/>
        </w:rPr>
        <w:t xml:space="preserve">often </w:t>
      </w:r>
      <w:r w:rsidRPr="0082004A">
        <w:rPr>
          <w:rFonts w:cstheme="minorHAnsi"/>
          <w:color w:val="1C1D1E"/>
          <w:shd w:val="clear" w:color="auto" w:fill="FFFFFF"/>
        </w:rPr>
        <w:t>demonstrate a decrease in species richness and substantial community turnover as the historically present species are lost and replaced by urban-adapted species (Tingley et al. 2013, other papers). Yet, a forest turned suburban lot over 100 years likely tells a different story than a city over the same time frame. Cities have become larger and more densely populated over the last century</w:t>
      </w:r>
      <w:r>
        <w:rPr>
          <w:rFonts w:cstheme="minorHAnsi"/>
          <w:color w:val="1C1D1E"/>
          <w:shd w:val="clear" w:color="auto" w:fill="FFFFFF"/>
        </w:rPr>
        <w:t xml:space="preserve"> (citation)</w:t>
      </w:r>
      <w:r w:rsidRPr="0082004A">
        <w:rPr>
          <w:rFonts w:cstheme="minorHAnsi"/>
          <w:color w:val="1C1D1E"/>
          <w:shd w:val="clear" w:color="auto" w:fill="FFFFFF"/>
        </w:rPr>
        <w:t xml:space="preserve">, which </w:t>
      </w:r>
      <w:r>
        <w:rPr>
          <w:rFonts w:cstheme="minorHAnsi"/>
          <w:color w:val="1C1D1E"/>
          <w:shd w:val="clear" w:color="auto" w:fill="FFFFFF"/>
        </w:rPr>
        <w:t>may</w:t>
      </w:r>
      <w:r w:rsidRPr="0082004A">
        <w:rPr>
          <w:rFonts w:cstheme="minorHAnsi"/>
          <w:color w:val="1C1D1E"/>
          <w:shd w:val="clear" w:color="auto" w:fill="FFFFFF"/>
        </w:rPr>
        <w:t xml:space="preserve"> heighten the</w:t>
      </w:r>
      <w:r>
        <w:rPr>
          <w:rFonts w:cstheme="minorHAnsi"/>
          <w:color w:val="1C1D1E"/>
          <w:shd w:val="clear" w:color="auto" w:fill="FFFFFF"/>
        </w:rPr>
        <w:t>ir</w:t>
      </w:r>
      <w:r w:rsidRPr="0082004A">
        <w:rPr>
          <w:rFonts w:cstheme="minorHAnsi"/>
          <w:color w:val="1C1D1E"/>
          <w:shd w:val="clear" w:color="auto" w:fill="FFFFFF"/>
        </w:rPr>
        <w:t xml:space="preserve"> selective pressures and </w:t>
      </w:r>
      <w:commentRangeStart w:id="0"/>
      <w:r w:rsidRPr="0082004A">
        <w:rPr>
          <w:rFonts w:cstheme="minorHAnsi"/>
          <w:color w:val="1C1D1E"/>
          <w:shd w:val="clear" w:color="auto" w:fill="FFFFFF"/>
        </w:rPr>
        <w:t>filter out additional species</w:t>
      </w:r>
      <w:r w:rsidR="000C4DD7">
        <w:rPr>
          <w:rFonts w:cstheme="minorHAnsi"/>
          <w:color w:val="1C1D1E"/>
          <w:shd w:val="clear" w:color="auto" w:fill="FFFFFF"/>
        </w:rPr>
        <w:t>, for example by further favoring species with generalist diets</w:t>
      </w:r>
      <w:r w:rsidRPr="0082004A">
        <w:rPr>
          <w:rFonts w:cstheme="minorHAnsi"/>
          <w:color w:val="1C1D1E"/>
          <w:shd w:val="clear" w:color="auto" w:fill="FFFFFF"/>
        </w:rPr>
        <w:t xml:space="preserve"> </w:t>
      </w:r>
      <w:commentRangeEnd w:id="0"/>
      <w:r>
        <w:rPr>
          <w:rStyle w:val="CommentReference"/>
        </w:rPr>
        <w:commentReference w:id="0"/>
      </w:r>
      <w:r w:rsidRPr="0082004A">
        <w:rPr>
          <w:rFonts w:cstheme="minorHAnsi"/>
          <w:color w:val="1C1D1E"/>
          <w:shd w:val="clear" w:color="auto" w:fill="FFFFFF"/>
        </w:rPr>
        <w:t xml:space="preserve">(citation, probably </w:t>
      </w:r>
      <w:proofErr w:type="spellStart"/>
      <w:r w:rsidRPr="0082004A">
        <w:rPr>
          <w:rFonts w:cstheme="minorHAnsi"/>
          <w:color w:val="1C1D1E"/>
          <w:shd w:val="clear" w:color="auto" w:fill="FFFFFF"/>
        </w:rPr>
        <w:t>aronson</w:t>
      </w:r>
      <w:proofErr w:type="spellEnd"/>
      <w:r w:rsidRPr="0082004A">
        <w:rPr>
          <w:rFonts w:cstheme="minorHAnsi"/>
          <w:color w:val="1C1D1E"/>
          <w:shd w:val="clear" w:color="auto" w:fill="FFFFFF"/>
        </w:rPr>
        <w:t xml:space="preserve"> hierarchical filtering paper, </w:t>
      </w:r>
      <w:commentRangeStart w:id="1"/>
      <w:proofErr w:type="spellStart"/>
      <w:r w:rsidRPr="0082004A">
        <w:rPr>
          <w:rFonts w:cstheme="minorHAnsi"/>
          <w:color w:val="1C1D1E"/>
          <w:shd w:val="clear" w:color="auto" w:fill="FFFFFF"/>
        </w:rPr>
        <w:t>Pysek</w:t>
      </w:r>
      <w:proofErr w:type="spellEnd"/>
      <w:r w:rsidRPr="0082004A">
        <w:rPr>
          <w:rFonts w:cstheme="minorHAnsi"/>
          <w:color w:val="1C1D1E"/>
          <w:shd w:val="clear" w:color="auto" w:fill="FFFFFF"/>
        </w:rPr>
        <w:t xml:space="preserve"> et al. 2004</w:t>
      </w:r>
      <w:commentRangeEnd w:id="1"/>
      <w:r w:rsidRPr="0082004A">
        <w:rPr>
          <w:rStyle w:val="CommentReference"/>
          <w:rFonts w:cstheme="minorHAnsi"/>
          <w:sz w:val="22"/>
          <w:szCs w:val="22"/>
        </w:rPr>
        <w:commentReference w:id="1"/>
      </w:r>
      <w:r w:rsidRPr="0082004A">
        <w:rPr>
          <w:rFonts w:cstheme="minorHAnsi"/>
          <w:color w:val="1C1D1E"/>
          <w:shd w:val="clear" w:color="auto" w:fill="FFFFFF"/>
        </w:rPr>
        <w:t xml:space="preserve">). If this is the case, species richness should </w:t>
      </w:r>
      <w:proofErr w:type="gramStart"/>
      <w:r w:rsidRPr="0082004A">
        <w:rPr>
          <w:rFonts w:cstheme="minorHAnsi"/>
          <w:color w:val="1C1D1E"/>
          <w:shd w:val="clear" w:color="auto" w:fill="FFFFFF"/>
        </w:rPr>
        <w:t>decrease</w:t>
      </w:r>
      <w:proofErr w:type="gramEnd"/>
      <w:r w:rsidR="00573818">
        <w:rPr>
          <w:rFonts w:cstheme="minorHAnsi"/>
          <w:color w:val="1C1D1E"/>
          <w:shd w:val="clear" w:color="auto" w:fill="FFFFFF"/>
        </w:rPr>
        <w:t xml:space="preserve"> </w:t>
      </w:r>
      <w:r w:rsidR="000C4DD7">
        <w:rPr>
          <w:rFonts w:cstheme="minorHAnsi"/>
          <w:color w:val="1C1D1E"/>
          <w:shd w:val="clear" w:color="auto" w:fill="FFFFFF"/>
        </w:rPr>
        <w:t>and species present that remain may have shared traits that increase their ability to persist in urban environments</w:t>
      </w:r>
      <w:r w:rsidRPr="0082004A">
        <w:rPr>
          <w:rFonts w:cstheme="minorHAnsi"/>
          <w:color w:val="1C1D1E"/>
          <w:shd w:val="clear" w:color="auto" w:fill="FFFFFF"/>
        </w:rPr>
        <w:t xml:space="preserve">. Conversely, </w:t>
      </w:r>
      <w:r>
        <w:rPr>
          <w:rFonts w:cstheme="minorHAnsi"/>
          <w:color w:val="1C1D1E"/>
          <w:shd w:val="clear" w:color="auto" w:fill="FFFFFF"/>
        </w:rPr>
        <w:t>changes in species composition through time</w:t>
      </w:r>
      <w:r w:rsidRPr="0082004A">
        <w:rPr>
          <w:rFonts w:cstheme="minorHAnsi"/>
          <w:color w:val="1C1D1E"/>
          <w:shd w:val="clear" w:color="auto" w:fill="FFFFFF"/>
        </w:rPr>
        <w:t xml:space="preserve"> could instead reflect large-scale changes in the distribution and abundance of the regional species pool (Ward </w:t>
      </w:r>
      <w:proofErr w:type="gramStart"/>
      <w:r w:rsidRPr="0082004A">
        <w:rPr>
          <w:rFonts w:cstheme="minorHAnsi"/>
          <w:color w:val="1C1D1E"/>
          <w:shd w:val="clear" w:color="auto" w:fill="FFFFFF"/>
        </w:rPr>
        <w:t>study?,</w:t>
      </w:r>
      <w:proofErr w:type="gramEnd"/>
      <w:r w:rsidRPr="0082004A">
        <w:rPr>
          <w:rFonts w:cstheme="minorHAnsi"/>
          <w:color w:val="1C1D1E"/>
          <w:shd w:val="clear" w:color="auto" w:fill="FFFFFF"/>
        </w:rPr>
        <w:t xml:space="preserve"> </w:t>
      </w:r>
      <w:proofErr w:type="spellStart"/>
      <w:r w:rsidRPr="0082004A">
        <w:rPr>
          <w:rFonts w:cstheme="minorHAnsi"/>
          <w:color w:val="1C1D1E"/>
          <w:shd w:val="clear" w:color="auto" w:fill="FFFFFF"/>
        </w:rPr>
        <w:t>Murgui</w:t>
      </w:r>
      <w:proofErr w:type="spellEnd"/>
      <w:r w:rsidRPr="0082004A">
        <w:rPr>
          <w:rFonts w:cstheme="minorHAnsi"/>
          <w:color w:val="1C1D1E"/>
          <w:shd w:val="clear" w:color="auto" w:fill="FFFFFF"/>
        </w:rPr>
        <w:t xml:space="preserve"> 2014)</w:t>
      </w:r>
      <w:r>
        <w:rPr>
          <w:rFonts w:cstheme="minorHAnsi"/>
          <w:color w:val="1C1D1E"/>
          <w:shd w:val="clear" w:color="auto" w:fill="FFFFFF"/>
        </w:rPr>
        <w:t xml:space="preserve">. </w:t>
      </w:r>
      <w:commentRangeStart w:id="2"/>
      <w:r w:rsidRPr="0082004A">
        <w:rPr>
          <w:rFonts w:cstheme="minorHAnsi"/>
          <w:color w:val="1C1D1E"/>
          <w:shd w:val="clear" w:color="auto" w:fill="FFFFFF"/>
        </w:rPr>
        <w:t>If</w:t>
      </w:r>
      <w:commentRangeEnd w:id="2"/>
      <w:r>
        <w:rPr>
          <w:rStyle w:val="CommentReference"/>
        </w:rPr>
        <w:commentReference w:id="2"/>
      </w:r>
      <w:r w:rsidRPr="0082004A">
        <w:rPr>
          <w:rFonts w:cstheme="minorHAnsi"/>
          <w:color w:val="1C1D1E"/>
          <w:shd w:val="clear" w:color="auto" w:fill="FFFFFF"/>
        </w:rPr>
        <w:t xml:space="preserve"> this is the case, species turnover within a city should reflect regional trends over time.</w:t>
      </w:r>
      <w:r>
        <w:rPr>
          <w:rFonts w:cstheme="minorHAnsi"/>
          <w:color w:val="1C1D1E"/>
          <w:shd w:val="clear" w:color="auto" w:fill="FFFFFF"/>
        </w:rPr>
        <w:t xml:space="preserve"> As urbanization has been a primary driver of biodiversity change, understanding how species respond to urban environments through time will likely help </w:t>
      </w:r>
      <w:commentRangeStart w:id="3"/>
      <w:r>
        <w:rPr>
          <w:rFonts w:cstheme="minorHAnsi"/>
          <w:color w:val="1C1D1E"/>
          <w:shd w:val="clear" w:color="auto" w:fill="FFFFFF"/>
        </w:rPr>
        <w:t>THOUGHTS ON THIS</w:t>
      </w:r>
      <w:commentRangeEnd w:id="3"/>
      <w:r>
        <w:rPr>
          <w:rStyle w:val="CommentReference"/>
        </w:rPr>
        <w:commentReference w:id="3"/>
      </w:r>
      <w:r>
        <w:rPr>
          <w:rFonts w:cstheme="minorHAnsi"/>
          <w:color w:val="1C1D1E"/>
          <w:shd w:val="clear" w:color="auto" w:fill="FFFFFF"/>
        </w:rPr>
        <w:t xml:space="preserve">? </w:t>
      </w:r>
      <w:commentRangeStart w:id="4"/>
      <w:r w:rsidRPr="0082004A">
        <w:rPr>
          <w:rFonts w:cstheme="minorHAnsi"/>
          <w:color w:val="1C1D1E"/>
          <w:shd w:val="clear" w:color="auto" w:fill="FFFFFF"/>
        </w:rPr>
        <w:t xml:space="preserve">To make such comparisons through time, however, historical data must be available. </w:t>
      </w:r>
      <w:commentRangeEnd w:id="4"/>
      <w:r w:rsidRPr="0082004A">
        <w:rPr>
          <w:rStyle w:val="CommentReference"/>
          <w:rFonts w:cstheme="minorHAnsi"/>
          <w:sz w:val="22"/>
          <w:szCs w:val="22"/>
        </w:rPr>
        <w:commentReference w:id="4"/>
      </w:r>
    </w:p>
    <w:p w14:paraId="407DAB06" w14:textId="134A7DD2" w:rsidR="00130EB0" w:rsidRDefault="00130EB0" w:rsidP="00130EB0">
      <w:pPr>
        <w:spacing w:line="240" w:lineRule="auto"/>
        <w:ind w:firstLine="720"/>
        <w:rPr>
          <w:rFonts w:cstheme="minorHAnsi"/>
        </w:rPr>
      </w:pPr>
      <w:r w:rsidRPr="0082004A">
        <w:rPr>
          <w:rFonts w:cstheme="minorHAnsi"/>
        </w:rPr>
        <w:t xml:space="preserve">To </w:t>
      </w:r>
      <w:r>
        <w:rPr>
          <w:rFonts w:cstheme="minorHAnsi"/>
        </w:rPr>
        <w:t>explore</w:t>
      </w:r>
      <w:r w:rsidRPr="0082004A">
        <w:rPr>
          <w:rFonts w:cstheme="minorHAnsi"/>
        </w:rPr>
        <w:t xml:space="preserve">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over time</w:t>
      </w:r>
      <w:r>
        <w:rPr>
          <w:rFonts w:cstheme="minorHAnsi"/>
        </w:rPr>
        <w:t xml:space="preserve"> in a city </w:t>
      </w:r>
      <w:r w:rsidRPr="0082004A">
        <w:rPr>
          <w:rFonts w:cstheme="minorHAnsi"/>
        </w:rPr>
        <w:t xml:space="preserve">we replicated a </w:t>
      </w:r>
      <w:commentRangeStart w:id="5"/>
      <w:r w:rsidRPr="0082004A">
        <w:rPr>
          <w:rFonts w:cstheme="minorHAnsi"/>
        </w:rPr>
        <w:t xml:space="preserve">historical bird survey </w:t>
      </w:r>
      <w:commentRangeEnd w:id="5"/>
      <w:r>
        <w:rPr>
          <w:rStyle w:val="CommentReference"/>
        </w:rPr>
        <w:commentReference w:id="5"/>
      </w:r>
      <w:r w:rsidRPr="0082004A">
        <w:rPr>
          <w:rFonts w:cstheme="minorHAnsi"/>
        </w:rPr>
        <w:t xml:space="preserve">in Lincoln Park, the largest park in Chicago, IL, USA. The original surveyors, Herbert and Alice Walter, surveyed Lincoln Park from March to May between 1898 and 1903 and wrote a field guide for city bird watchers (Walter and Walter 1904). Along with </w:t>
      </w:r>
      <w:r>
        <w:rPr>
          <w:rFonts w:cstheme="minorHAnsi"/>
        </w:rPr>
        <w:t xml:space="preserve">accurate </w:t>
      </w:r>
      <w:r w:rsidRPr="0082004A">
        <w:rPr>
          <w:rFonts w:cstheme="minorHAnsi"/>
        </w:rPr>
        <w:t>species descriptions, the Walter’s book summarized their field notes for future comparison</w:t>
      </w:r>
      <w:r w:rsidRPr="0082004A" w:rsidDel="00A535B2">
        <w:rPr>
          <w:rFonts w:cstheme="minorHAnsi"/>
        </w:rPr>
        <w:t xml:space="preserve">. The Walter’s survey was </w:t>
      </w:r>
      <w:r w:rsidRPr="0082004A">
        <w:rPr>
          <w:rFonts w:cstheme="minorHAnsi"/>
        </w:rPr>
        <w:t xml:space="preserve">then </w:t>
      </w:r>
      <w:r w:rsidRPr="0082004A" w:rsidDel="00A535B2">
        <w:rPr>
          <w:rFonts w:cstheme="minorHAnsi"/>
        </w:rPr>
        <w:t xml:space="preserve">continued by William </w:t>
      </w:r>
      <w:proofErr w:type="spellStart"/>
      <w:r w:rsidRPr="0082004A" w:rsidDel="00A535B2">
        <w:rPr>
          <w:rFonts w:cstheme="minorHAnsi"/>
        </w:rPr>
        <w:t>Dreuth</w:t>
      </w:r>
      <w:proofErr w:type="spellEnd"/>
      <w:r w:rsidRPr="0082004A">
        <w:rPr>
          <w:rFonts w:cstheme="minorHAnsi"/>
        </w:rPr>
        <w:t xml:space="preserve"> – a stock clerk</w:t>
      </w:r>
      <w:r>
        <w:rPr>
          <w:rFonts w:cstheme="minorHAnsi"/>
        </w:rPr>
        <w:t>,</w:t>
      </w:r>
      <w:r w:rsidRPr="0082004A">
        <w:rPr>
          <w:rFonts w:cstheme="minorHAnsi"/>
        </w:rPr>
        <w:t xml:space="preserve"> </w:t>
      </w:r>
      <w:r>
        <w:rPr>
          <w:rFonts w:cstheme="minorHAnsi"/>
        </w:rPr>
        <w:t xml:space="preserve">amateur </w:t>
      </w:r>
      <w:r w:rsidRPr="0082004A">
        <w:rPr>
          <w:rFonts w:cstheme="minorHAnsi"/>
        </w:rPr>
        <w:t>naturalist</w:t>
      </w:r>
      <w:r>
        <w:rPr>
          <w:rFonts w:cstheme="minorHAnsi"/>
        </w:rPr>
        <w:t>, and expert birder</w:t>
      </w:r>
      <w:r w:rsidRPr="0082004A">
        <w:rPr>
          <w:rFonts w:cstheme="minorHAnsi"/>
        </w:rPr>
        <w:t xml:space="preserve"> –</w:t>
      </w:r>
      <w:r w:rsidRPr="0082004A" w:rsidDel="00A535B2">
        <w:rPr>
          <w:rFonts w:cstheme="minorHAnsi"/>
        </w:rPr>
        <w:t xml:space="preserve"> between 1927 and 1932 (Clark and Nice 1950). </w:t>
      </w:r>
      <w:r w:rsidRPr="0082004A">
        <w:rPr>
          <w:rFonts w:cstheme="minorHAnsi"/>
        </w:rPr>
        <w:t xml:space="preserve">Decades later, a colleague found a copy of The Walter’s book in a Chicago antique store, and subsequent investigations into the Walter’s survey led us to William </w:t>
      </w:r>
      <w:proofErr w:type="spellStart"/>
      <w:r w:rsidRPr="0082004A">
        <w:rPr>
          <w:rFonts w:cstheme="minorHAnsi"/>
        </w:rPr>
        <w:t>Dreuth’s</w:t>
      </w:r>
      <w:proofErr w:type="spellEnd"/>
      <w:r w:rsidRPr="0082004A">
        <w:rPr>
          <w:rFonts w:cstheme="minorHAnsi"/>
        </w:rPr>
        <w:t xml:space="preserve"> original field notes in the back halls of the Chicago Academy of Sciences. These discoveries inspired us to continue these Lincoln Park surveys between 2012 and 2015. Our goals were to determine 1) </w:t>
      </w:r>
      <w:commentRangeStart w:id="6"/>
      <w:r w:rsidRPr="0082004A">
        <w:rPr>
          <w:rFonts w:cstheme="minorHAnsi"/>
        </w:rPr>
        <w:t xml:space="preserve">how this bird community changed over a century </w:t>
      </w:r>
      <w:commentRangeEnd w:id="6"/>
      <w:r>
        <w:rPr>
          <w:rStyle w:val="CommentReference"/>
        </w:rPr>
        <w:commentReference w:id="6"/>
      </w:r>
      <w:r w:rsidRPr="0082004A">
        <w:rPr>
          <w:rFonts w:cstheme="minorHAnsi"/>
        </w:rPr>
        <w:t xml:space="preserve">and 2) if the temporal trends observed in Lincoln Park mimic those observed throughout Illinois. The extreme levels of urbanization Chicago experienced in the last century make this survey unique. Since the Walter’s bird counts in 1898, the height of the tallest building in downtown Chicago more than quadrupled, the average human population density doubled, and automobiles replaced horses (Randall et al. 1999, </w:t>
      </w:r>
      <w:proofErr w:type="spellStart"/>
      <w:r w:rsidRPr="0082004A">
        <w:rPr>
          <w:rFonts w:cstheme="minorHAnsi"/>
        </w:rPr>
        <w:t>Sovacool</w:t>
      </w:r>
      <w:proofErr w:type="spellEnd"/>
      <w:r w:rsidRPr="0082004A">
        <w:rPr>
          <w:rFonts w:cstheme="minorHAnsi"/>
        </w:rPr>
        <w:t xml:space="preserve"> 2009). Replicating these historical surveys highlights frequency changes of the resident and migrant birds that comprise Chicago’s avian community across 100 years of urbanization in a large metropolitan city.</w:t>
      </w:r>
    </w:p>
    <w:p w14:paraId="2BC99823" w14:textId="3E8BABD8" w:rsidR="00EA6A5A" w:rsidRDefault="00EA6A5A" w:rsidP="00130EB0">
      <w:pPr>
        <w:spacing w:line="240" w:lineRule="auto"/>
        <w:ind w:firstLine="720"/>
        <w:rPr>
          <w:rFonts w:cstheme="minorHAnsi"/>
        </w:rPr>
      </w:pPr>
    </w:p>
    <w:p w14:paraId="7F8D3A0E" w14:textId="77777777" w:rsidR="00EA6A5A" w:rsidRPr="00664493" w:rsidRDefault="00EA6A5A" w:rsidP="00EA6A5A">
      <w:pPr>
        <w:pStyle w:val="Heading1"/>
        <w:spacing w:line="480" w:lineRule="auto"/>
        <w:rPr>
          <w:rFonts w:asciiTheme="minorHAnsi" w:hAnsiTheme="minorHAnsi" w:cstheme="minorHAnsi"/>
        </w:rPr>
      </w:pPr>
      <w:r w:rsidRPr="00664493">
        <w:rPr>
          <w:rFonts w:asciiTheme="minorHAnsi" w:hAnsiTheme="minorHAnsi" w:cstheme="minorHAnsi"/>
        </w:rPr>
        <w:lastRenderedPageBreak/>
        <w:t>Methods</w:t>
      </w:r>
    </w:p>
    <w:p w14:paraId="67F93507"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7436D1" w14:textId="77777777" w:rsidR="00EA6A5A" w:rsidRPr="00664493" w:rsidRDefault="00EA6A5A" w:rsidP="00EA6A5A">
      <w:pPr>
        <w:spacing w:line="480" w:lineRule="auto"/>
        <w:rPr>
          <w:rFonts w:cstheme="minorHAnsi"/>
        </w:rPr>
      </w:pPr>
      <w:r w:rsidRPr="00664493">
        <w:rPr>
          <w:rFonts w:cstheme="minorHAnsi"/>
        </w:rPr>
        <w:t xml:space="preserve">Lincoln Park is mostly linear and located along the western shore of lake Michigan, roughly 4.5 km north of downtown Chicago (Figure 1). The park has increased in size since the original bird survey from about 125 ha in 1898 to 481 ha currently (Figure 1). The land added has been north of Lincoln Park’s original boundary (Clark and Nice 1950; Figure 1). Primarily built for recreation, Lincoln Park has ponds, sports fields, nature areas, and expanses of turf grass peppered with mature trees and shrubs. These qualities have changed little since 1898. The Lincoln Park Zoo, which lies in the middle of the original park boundaries, was also present across all three survey periods. </w:t>
      </w:r>
    </w:p>
    <w:p w14:paraId="2B67D1A2" w14:textId="77777777" w:rsidR="00EA6A5A" w:rsidRPr="00664493" w:rsidRDefault="00EA6A5A" w:rsidP="00EA6A5A">
      <w:pPr>
        <w:spacing w:line="480" w:lineRule="auto"/>
        <w:rPr>
          <w:rFonts w:cstheme="minorHAnsi"/>
        </w:rPr>
      </w:pPr>
      <w:r w:rsidRPr="00664493">
        <w:rPr>
          <w:rFonts w:cstheme="minorHAnsi"/>
        </w:rPr>
        <w:t>Throughout Chicago, temperatures increase from near freezing at the start of the migratory season to roughly 15 °C by May (NOAA 2019). In March, sunrise begins near 7:30 AM and, by May, advances to about 5:00 AM. Regarding precipitation, snow is common in March. Sometimes it snows in April (NOAA 2019).</w:t>
      </w:r>
    </w:p>
    <w:p w14:paraId="48E2084C" w14:textId="77777777" w:rsidR="00EA6A5A" w:rsidRPr="00664493" w:rsidRDefault="00EA6A5A" w:rsidP="00EA6A5A">
      <w:pPr>
        <w:spacing w:line="480" w:lineRule="auto"/>
        <w:rPr>
          <w:rFonts w:cstheme="minorHAnsi"/>
        </w:rPr>
      </w:pPr>
    </w:p>
    <w:p w14:paraId="22651A49"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Replicating the historical bird surveys</w:t>
      </w:r>
    </w:p>
    <w:p w14:paraId="1BAE31B9" w14:textId="77777777" w:rsidR="00EA6A5A" w:rsidRPr="00664493" w:rsidRDefault="00EA6A5A" w:rsidP="00EA6A5A">
      <w:pPr>
        <w:spacing w:line="480" w:lineRule="auto"/>
        <w:rPr>
          <w:rFonts w:cstheme="minorHAnsi"/>
        </w:rPr>
      </w:pPr>
    </w:p>
    <w:p w14:paraId="04B63976" w14:textId="4EC6AFE7" w:rsidR="00EA6A5A" w:rsidRPr="00664493" w:rsidRDefault="00EA6A5A" w:rsidP="00EA6A5A">
      <w:pPr>
        <w:spacing w:line="480" w:lineRule="auto"/>
        <w:rPr>
          <w:rFonts w:cstheme="minorHAnsi"/>
        </w:rPr>
      </w:pPr>
      <w:r w:rsidRPr="00664493">
        <w:rPr>
          <w:rFonts w:cstheme="minorHAnsi"/>
        </w:rPr>
        <w:t xml:space="preserve">There is little information about the routes that the Walters and </w:t>
      </w:r>
      <w:proofErr w:type="spellStart"/>
      <w:r w:rsidRPr="00664493">
        <w:rPr>
          <w:rFonts w:cstheme="minorHAnsi"/>
        </w:rPr>
        <w:t>Dreuth</w:t>
      </w:r>
      <w:proofErr w:type="spellEnd"/>
      <w:r w:rsidRPr="00664493">
        <w:rPr>
          <w:rFonts w:cstheme="minorHAnsi"/>
        </w:rPr>
        <w:t xml:space="preserve"> walked to count birds. Thus, we assumed the Walters (1898 - 1903) did not follow a standard methodology, surveyed the entire park, and counted species by sight and sound</w:t>
      </w:r>
      <w:r w:rsidR="009E195D">
        <w:rPr>
          <w:rFonts w:cstheme="minorHAnsi"/>
        </w:rPr>
        <w:t xml:space="preserve"> because their birding guide included</w:t>
      </w:r>
      <w:r w:rsidR="00FB41D3">
        <w:rPr>
          <w:rFonts w:cstheme="minorHAnsi"/>
        </w:rPr>
        <w:t xml:space="preserve"> apt</w:t>
      </w:r>
      <w:r w:rsidR="009E195D">
        <w:rPr>
          <w:rFonts w:cstheme="minorHAnsi"/>
        </w:rPr>
        <w:t xml:space="preserve"> descriptions of birds and their song</w:t>
      </w:r>
      <w:r w:rsidRPr="00664493">
        <w:rPr>
          <w:rFonts w:cstheme="minorHAnsi"/>
        </w:rPr>
        <w:t xml:space="preserve"> (Walter and Walter 1904). </w:t>
      </w:r>
      <w:proofErr w:type="spellStart"/>
      <w:r w:rsidRPr="00664493">
        <w:rPr>
          <w:rFonts w:cstheme="minorHAnsi"/>
        </w:rPr>
        <w:t>Dreuth</w:t>
      </w:r>
      <w:proofErr w:type="spellEnd"/>
      <w:r w:rsidRPr="00664493">
        <w:rPr>
          <w:rFonts w:cstheme="minorHAnsi"/>
        </w:rPr>
        <w:t xml:space="preserve">, the surveyor between 1927 – 1933, included the count’s date, time, and end points of the path traveled in his field notes. Neither historical survey </w:t>
      </w:r>
      <w:r w:rsidRPr="00664493">
        <w:rPr>
          <w:rFonts w:cstheme="minorHAnsi"/>
        </w:rPr>
        <w:lastRenderedPageBreak/>
        <w:t xml:space="preserve">described the path traveled in the park, the distance at which birds were identified from the path, or the speed at which a surveyor walked. </w:t>
      </w:r>
    </w:p>
    <w:p w14:paraId="5DC720A2" w14:textId="77777777" w:rsidR="00EA6A5A" w:rsidRPr="00664493" w:rsidRDefault="00EA6A5A" w:rsidP="00EA6A5A">
      <w:pPr>
        <w:spacing w:line="480" w:lineRule="auto"/>
        <w:rPr>
          <w:rFonts w:cstheme="minorHAnsi"/>
        </w:rPr>
      </w:pPr>
      <w:r w:rsidRPr="00664493">
        <w:rPr>
          <w:rFonts w:cstheme="minorHAnsi"/>
        </w:rPr>
        <w:t xml:space="preserve">At a minimum, historical surveys included the number of days per year counts were conducted. The Walters averaged 75.66 (min = 66, max = 87) counts per year. Because the Walters included a figure of observed species richness per day between May 7 and 20 in their birding guide – a time they deemed the height of migration – we assumed they counted birds each weekday in March and April but every day in May (Walter and Walter 1904). Conducting counts this way results in about 71 counts per year. </w:t>
      </w:r>
      <w:proofErr w:type="spellStart"/>
      <w:r w:rsidRPr="00664493">
        <w:rPr>
          <w:rFonts w:cstheme="minorHAnsi"/>
        </w:rPr>
        <w:t>Dreuth</w:t>
      </w:r>
      <w:proofErr w:type="spellEnd"/>
      <w:r w:rsidRPr="00664493">
        <w:rPr>
          <w:rFonts w:cstheme="minorHAnsi"/>
        </w:rPr>
        <w:t xml:space="preserve"> averaged 57.66 (min = 17, max = 85) counts per year. </w:t>
      </w:r>
    </w:p>
    <w:p w14:paraId="3B3BCC9B" w14:textId="77777777" w:rsidR="00EA6A5A" w:rsidRPr="00664493" w:rsidRDefault="00EA6A5A" w:rsidP="00EA6A5A">
      <w:pPr>
        <w:spacing w:line="480" w:lineRule="auto"/>
        <w:rPr>
          <w:rFonts w:cstheme="minorHAnsi"/>
        </w:rPr>
      </w:pPr>
      <w:r w:rsidRPr="00664493">
        <w:rPr>
          <w:rFonts w:cstheme="minorHAnsi"/>
        </w:rPr>
        <w:t>We replicated these surveys using the available information but followed a standard methodology to increase repeatability. We delineated a 2.45 km line-transect from the northern-most point to the southern-most point of the original park boundaries (Figure 1). In the last century, many walking paths have not changed. Therefore, we used walking paths whenever possible. To count birds, one trained observer (Author’s initials) walked the transect at about 2 km hour</w:t>
      </w:r>
      <w:r w:rsidRPr="00664493">
        <w:rPr>
          <w:rFonts w:cstheme="minorHAnsi"/>
          <w:vertAlign w:val="superscript"/>
        </w:rPr>
        <w:t>-1</w:t>
      </w:r>
      <w:r w:rsidRPr="00664493">
        <w:rPr>
          <w:rFonts w:cstheme="minorHAnsi"/>
        </w:rPr>
        <w:t xml:space="preserve"> and started roughly one hour past local sunrise during clear weather. Species were identified by sight and sound within 50 m of the transect. A count’s start point was switched daily and started in the north or the south of the park (Figure 1). We conducted counts each weekday of March and April and then daily in May. This protocol more so replicates the Walter’s survey. We did this because their book was the basis for our survey. Lincoln Park birders made us aware of </w:t>
      </w:r>
      <w:proofErr w:type="spellStart"/>
      <w:r w:rsidRPr="00664493">
        <w:rPr>
          <w:rFonts w:cstheme="minorHAnsi"/>
        </w:rPr>
        <w:t>Dreuth’s</w:t>
      </w:r>
      <w:proofErr w:type="spellEnd"/>
      <w:r w:rsidRPr="00664493">
        <w:rPr>
          <w:rFonts w:cstheme="minorHAnsi"/>
        </w:rPr>
        <w:t xml:space="preserve"> survey after our surveys began. </w:t>
      </w:r>
      <w:r w:rsidRPr="00664493" w:rsidDel="002C7B11">
        <w:rPr>
          <w:rFonts w:cstheme="minorHAnsi"/>
        </w:rPr>
        <w:t xml:space="preserve"> </w:t>
      </w:r>
    </w:p>
    <w:p w14:paraId="0025236A" w14:textId="77777777" w:rsidR="00EA6A5A" w:rsidRPr="00664493" w:rsidRDefault="00EA6A5A" w:rsidP="00EA6A5A">
      <w:pPr>
        <w:spacing w:line="480" w:lineRule="auto"/>
        <w:rPr>
          <w:rFonts w:cstheme="minorHAnsi"/>
        </w:rPr>
      </w:pPr>
      <w:r w:rsidRPr="00664493">
        <w:rPr>
          <w:rFonts w:cstheme="minorHAnsi"/>
        </w:rPr>
        <w:t>Some species were not included in the historical surveys. House sparrows (</w:t>
      </w:r>
      <w:r w:rsidRPr="00664493">
        <w:rPr>
          <w:rFonts w:cstheme="minorHAnsi"/>
          <w:i/>
        </w:rPr>
        <w:t xml:space="preserve">Passer </w:t>
      </w:r>
      <w:proofErr w:type="spellStart"/>
      <w:r w:rsidRPr="00664493">
        <w:rPr>
          <w:rFonts w:cstheme="minorHAnsi"/>
          <w:i/>
        </w:rPr>
        <w:t>domesticus</w:t>
      </w:r>
      <w:proofErr w:type="spellEnd"/>
      <w:r w:rsidRPr="00664493">
        <w:rPr>
          <w:rFonts w:cstheme="minorHAnsi"/>
        </w:rPr>
        <w:t xml:space="preserve">) were, and still are, abundant in Lincoln Park but the Walters and </w:t>
      </w:r>
      <w:proofErr w:type="spellStart"/>
      <w:r w:rsidRPr="00664493">
        <w:rPr>
          <w:rFonts w:cstheme="minorHAnsi"/>
        </w:rPr>
        <w:t>Dreuth</w:t>
      </w:r>
      <w:proofErr w:type="spellEnd"/>
      <w:r w:rsidRPr="00664493">
        <w:rPr>
          <w:rFonts w:cstheme="minorHAnsi"/>
        </w:rPr>
        <w:t xml:space="preserve"> did not count them. The Walters also excluded gannets and grebes, cranes and rails, ducks and geese, loons, terns and gulls, and pelicans, from their counts. </w:t>
      </w:r>
      <w:proofErr w:type="spellStart"/>
      <w:r w:rsidRPr="00664493">
        <w:rPr>
          <w:rFonts w:cstheme="minorHAnsi"/>
        </w:rPr>
        <w:t>Dreuth</w:t>
      </w:r>
      <w:proofErr w:type="spellEnd"/>
      <w:r w:rsidRPr="00664493">
        <w:rPr>
          <w:rFonts w:cstheme="minorHAnsi"/>
        </w:rPr>
        <w:t xml:space="preserve"> documented all species but the house sparrow. While we recorded all species encountered on our counts, we were only able to compare with what the historical surveyors recorded.</w:t>
      </w:r>
    </w:p>
    <w:p w14:paraId="2BCC4977" w14:textId="77777777" w:rsidR="00EA6A5A" w:rsidRPr="00664493" w:rsidRDefault="00EA6A5A" w:rsidP="00EA6A5A">
      <w:pPr>
        <w:spacing w:line="480" w:lineRule="auto"/>
        <w:rPr>
          <w:rFonts w:cstheme="minorHAnsi"/>
        </w:rPr>
      </w:pPr>
    </w:p>
    <w:p w14:paraId="572B174C"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Statistical analysis</w:t>
      </w:r>
    </w:p>
    <w:p w14:paraId="353299E2" w14:textId="3AC5E7B3" w:rsidR="007D3501" w:rsidRDefault="00942C83" w:rsidP="00EA6A5A">
      <w:pPr>
        <w:spacing w:line="480" w:lineRule="auto"/>
        <w:rPr>
          <w:rFonts w:cstheme="minorHAnsi"/>
        </w:rPr>
      </w:pPr>
      <w:r>
        <w:rPr>
          <w:rFonts w:cstheme="minorHAnsi"/>
        </w:rPr>
        <w:t>We</w:t>
      </w:r>
      <w:r w:rsidR="007D3501">
        <w:rPr>
          <w:rFonts w:cstheme="minorHAnsi"/>
        </w:rPr>
        <w:t xml:space="preserve"> quantif</w:t>
      </w:r>
      <w:r>
        <w:rPr>
          <w:rFonts w:cstheme="minorHAnsi"/>
        </w:rPr>
        <w:t>ied</w:t>
      </w:r>
      <w:r w:rsidR="007D3501">
        <w:rPr>
          <w:rFonts w:cstheme="minorHAnsi"/>
        </w:rPr>
        <w:t xml:space="preserve"> differences in alpha </w:t>
      </w:r>
      <w:r w:rsidR="0040684A">
        <w:rPr>
          <w:rFonts w:cstheme="minorHAnsi"/>
        </w:rPr>
        <w:t xml:space="preserve">and beta </w:t>
      </w:r>
      <w:r w:rsidR="001B194E">
        <w:rPr>
          <w:rFonts w:cstheme="minorHAnsi"/>
        </w:rPr>
        <w:t>diversity</w:t>
      </w:r>
      <w:r w:rsidR="007D3501">
        <w:rPr>
          <w:rFonts w:cstheme="minorHAnsi"/>
        </w:rPr>
        <w:t xml:space="preserve"> among </w:t>
      </w:r>
      <w:r w:rsidR="00FA37AB">
        <w:rPr>
          <w:rFonts w:cstheme="minorHAnsi"/>
        </w:rPr>
        <w:t>survey</w:t>
      </w:r>
      <w:r w:rsidR="007D3501">
        <w:rPr>
          <w:rFonts w:cstheme="minorHAnsi"/>
        </w:rPr>
        <w:t xml:space="preserve"> periods</w:t>
      </w:r>
      <w:r w:rsidR="0068437B">
        <w:rPr>
          <w:rFonts w:cstheme="minorHAnsi"/>
        </w:rPr>
        <w:t xml:space="preserve"> </w:t>
      </w:r>
      <w:r>
        <w:rPr>
          <w:rFonts w:cstheme="minorHAnsi"/>
        </w:rPr>
        <w:t>to</w:t>
      </w:r>
      <w:r w:rsidR="0068437B">
        <w:rPr>
          <w:rFonts w:cstheme="minorHAnsi"/>
        </w:rPr>
        <w:t xml:space="preserve"> determine if species richness decreased over time</w:t>
      </w:r>
      <w:r w:rsidR="007D3501">
        <w:rPr>
          <w:rFonts w:cstheme="minorHAnsi"/>
        </w:rPr>
        <w:t xml:space="preserve"> </w:t>
      </w:r>
      <w:r>
        <w:rPr>
          <w:rFonts w:cstheme="minorHAnsi"/>
        </w:rPr>
        <w:t>with the</w:t>
      </w:r>
      <w:r w:rsidR="007D3501">
        <w:rPr>
          <w:rFonts w:cstheme="minorHAnsi"/>
        </w:rPr>
        <w:t xml:space="preserve"> vegan package in R v. 4.0.0 (</w:t>
      </w:r>
      <w:r w:rsidR="001B194E">
        <w:rPr>
          <w:rFonts w:cstheme="minorHAnsi"/>
        </w:rPr>
        <w:t xml:space="preserve">CITATION, </w:t>
      </w:r>
      <w:r w:rsidR="007D3501">
        <w:rPr>
          <w:rFonts w:cstheme="minorHAnsi"/>
        </w:rPr>
        <w:t xml:space="preserve">R core team 2020). </w:t>
      </w:r>
      <w:r w:rsidR="0040684A">
        <w:rPr>
          <w:rFonts w:cstheme="minorHAnsi"/>
        </w:rPr>
        <w:t>For our alpha diversity analysis</w:t>
      </w:r>
      <w:r w:rsidR="007D3501">
        <w:rPr>
          <w:rFonts w:cstheme="minorHAnsi"/>
        </w:rPr>
        <w:t xml:space="preserve">, we </w:t>
      </w:r>
      <w:r w:rsidR="003F5555">
        <w:rPr>
          <w:rFonts w:cstheme="minorHAnsi"/>
        </w:rPr>
        <w:t>created</w:t>
      </w:r>
      <w:r w:rsidR="007D3501">
        <w:rPr>
          <w:rFonts w:cstheme="minorHAnsi"/>
        </w:rPr>
        <w:t xml:space="preserve"> a community matrix for</w:t>
      </w:r>
      <w:r w:rsidR="00FB41D3">
        <w:rPr>
          <w:rFonts w:cstheme="minorHAnsi"/>
        </w:rPr>
        <w:t xml:space="preserve"> the three</w:t>
      </w:r>
      <w:r w:rsidR="007D3501">
        <w:rPr>
          <w:rFonts w:cstheme="minorHAnsi"/>
        </w:rPr>
        <w:t xml:space="preserve"> </w:t>
      </w:r>
      <w:r w:rsidR="00FA37AB">
        <w:rPr>
          <w:rFonts w:cstheme="minorHAnsi"/>
        </w:rPr>
        <w:t>survey</w:t>
      </w:r>
      <w:r w:rsidR="003F5555">
        <w:rPr>
          <w:rFonts w:cstheme="minorHAnsi"/>
        </w:rPr>
        <w:t xml:space="preserve"> period</w:t>
      </w:r>
      <w:r w:rsidR="00FB41D3">
        <w:rPr>
          <w:rFonts w:cstheme="minorHAnsi"/>
        </w:rPr>
        <w:t>s</w:t>
      </w:r>
      <w:r w:rsidR="00FA37AB">
        <w:rPr>
          <w:rFonts w:cstheme="minorHAnsi"/>
        </w:rPr>
        <w:t xml:space="preserve"> (</w:t>
      </w:r>
      <w:r w:rsidR="00FA37AB" w:rsidRPr="00664493">
        <w:rPr>
          <w:rFonts w:cstheme="minorHAnsi"/>
        </w:rPr>
        <w:t>1898 – 1903, 1922 – 1927, and 2012 – 2015</w:t>
      </w:r>
      <w:r w:rsidR="00FA37AB">
        <w:rPr>
          <w:rFonts w:cstheme="minorHAnsi"/>
        </w:rPr>
        <w:t>)</w:t>
      </w:r>
      <w:r w:rsidR="003F5555">
        <w:rPr>
          <w:rFonts w:cstheme="minorHAnsi"/>
        </w:rPr>
        <w:t xml:space="preserve"> with species along the column</w:t>
      </w:r>
      <w:r w:rsidR="0025192E">
        <w:rPr>
          <w:rFonts w:cstheme="minorHAnsi"/>
        </w:rPr>
        <w:t>s</w:t>
      </w:r>
      <w:r w:rsidR="003F5555">
        <w:rPr>
          <w:rFonts w:cstheme="minorHAnsi"/>
        </w:rPr>
        <w:t xml:space="preserve"> and </w:t>
      </w:r>
      <w:r w:rsidR="00FA37AB">
        <w:rPr>
          <w:rFonts w:cstheme="minorHAnsi"/>
        </w:rPr>
        <w:t>survey</w:t>
      </w:r>
      <w:r w:rsidR="003F5555">
        <w:rPr>
          <w:rFonts w:cstheme="minorHAnsi"/>
        </w:rPr>
        <w:t xml:space="preserve"> year</w:t>
      </w:r>
      <w:r w:rsidR="00FA37AB">
        <w:rPr>
          <w:rFonts w:cstheme="minorHAnsi"/>
        </w:rPr>
        <w:t>s</w:t>
      </w:r>
      <w:r w:rsidR="003F5555">
        <w:rPr>
          <w:rFonts w:cstheme="minorHAnsi"/>
        </w:rPr>
        <w:t xml:space="preserve"> along the row</w:t>
      </w:r>
      <w:r w:rsidR="0025192E">
        <w:rPr>
          <w:rFonts w:cstheme="minorHAnsi"/>
        </w:rPr>
        <w:t>s</w:t>
      </w:r>
      <w:r w:rsidR="003F5555">
        <w:rPr>
          <w:rFonts w:cstheme="minorHAnsi"/>
        </w:rPr>
        <w:t xml:space="preserve">. </w:t>
      </w:r>
      <w:r w:rsidR="001B194E">
        <w:rPr>
          <w:rFonts w:cstheme="minorHAnsi"/>
        </w:rPr>
        <w:t>I</w:t>
      </w:r>
      <w:r w:rsidR="003F5555">
        <w:rPr>
          <w:rFonts w:cstheme="minorHAnsi"/>
        </w:rPr>
        <w:t xml:space="preserve">f a species was detected on a given </w:t>
      </w:r>
      <w:r w:rsidR="00FA37AB">
        <w:rPr>
          <w:rFonts w:cstheme="minorHAnsi"/>
        </w:rPr>
        <w:t>survey</w:t>
      </w:r>
      <w:r w:rsidR="003F5555">
        <w:rPr>
          <w:rFonts w:cstheme="minorHAnsi"/>
        </w:rPr>
        <w:t xml:space="preserve"> year the associated cell would equal 1</w:t>
      </w:r>
      <w:r w:rsidR="001B194E">
        <w:rPr>
          <w:rFonts w:cstheme="minorHAnsi"/>
        </w:rPr>
        <w:t xml:space="preserve"> in </w:t>
      </w:r>
      <w:r>
        <w:rPr>
          <w:rFonts w:cstheme="minorHAnsi"/>
        </w:rPr>
        <w:t>that</w:t>
      </w:r>
      <w:r w:rsidR="001B194E">
        <w:rPr>
          <w:rFonts w:cstheme="minorHAnsi"/>
        </w:rPr>
        <w:t xml:space="preserve"> matrix</w:t>
      </w:r>
      <w:r w:rsidR="003F5555">
        <w:rPr>
          <w:rFonts w:cstheme="minorHAnsi"/>
        </w:rPr>
        <w:t>, otherwise it was 0. To</w:t>
      </w:r>
      <w:r w:rsidR="0025192E">
        <w:rPr>
          <w:rFonts w:cstheme="minorHAnsi"/>
        </w:rPr>
        <w:t xml:space="preserve"> account for potentially missed species in a </w:t>
      </w:r>
      <w:r w:rsidR="00FA37AB">
        <w:rPr>
          <w:rFonts w:cstheme="minorHAnsi"/>
        </w:rPr>
        <w:t>survey</w:t>
      </w:r>
      <w:r w:rsidR="0025192E">
        <w:rPr>
          <w:rFonts w:cstheme="minorHAnsi"/>
        </w:rPr>
        <w:t xml:space="preserve"> period</w:t>
      </w:r>
      <w:r w:rsidR="0068437B">
        <w:rPr>
          <w:rFonts w:cstheme="minorHAnsi"/>
        </w:rPr>
        <w:t xml:space="preserve"> and correct for differences in sampling effort</w:t>
      </w:r>
      <w:r w:rsidR="0025192E">
        <w:rPr>
          <w:rFonts w:cstheme="minorHAnsi"/>
        </w:rPr>
        <w:t xml:space="preserve"> we</w:t>
      </w:r>
      <w:r w:rsidR="003F5555">
        <w:rPr>
          <w:rFonts w:cstheme="minorHAnsi"/>
        </w:rPr>
        <w:t xml:space="preserve"> estimate</w:t>
      </w:r>
      <w:r w:rsidR="0025192E">
        <w:rPr>
          <w:rFonts w:cstheme="minorHAnsi"/>
        </w:rPr>
        <w:t>d</w:t>
      </w:r>
      <w:r w:rsidR="003F5555">
        <w:rPr>
          <w:rFonts w:cstheme="minorHAnsi"/>
        </w:rPr>
        <w:t xml:space="preserve"> alpha diversity</w:t>
      </w:r>
      <w:r w:rsidR="001B194E">
        <w:rPr>
          <w:rFonts w:cstheme="minorHAnsi"/>
        </w:rPr>
        <w:t xml:space="preserve"> from the </w:t>
      </w:r>
      <w:proofErr w:type="gramStart"/>
      <w:r w:rsidR="001B194E">
        <w:rPr>
          <w:rFonts w:cstheme="minorHAnsi"/>
        </w:rPr>
        <w:t>communities</w:t>
      </w:r>
      <w:proofErr w:type="gramEnd"/>
      <w:r w:rsidR="001B194E">
        <w:rPr>
          <w:rFonts w:cstheme="minorHAnsi"/>
        </w:rPr>
        <w:t xml:space="preserve"> matrices</w:t>
      </w:r>
      <w:r w:rsidR="0025192E">
        <w:rPr>
          <w:rFonts w:cstheme="minorHAnsi"/>
        </w:rPr>
        <w:t xml:space="preserve"> with the </w:t>
      </w:r>
      <w:proofErr w:type="spellStart"/>
      <w:r w:rsidR="0025192E">
        <w:rPr>
          <w:rFonts w:cstheme="minorHAnsi"/>
        </w:rPr>
        <w:t>specpool</w:t>
      </w:r>
      <w:proofErr w:type="spellEnd"/>
      <w:r w:rsidR="0025192E">
        <w:rPr>
          <w:rFonts w:cstheme="minorHAnsi"/>
        </w:rPr>
        <w:t xml:space="preserve"> function in vegan</w:t>
      </w:r>
      <w:r w:rsidR="001B194E">
        <w:rPr>
          <w:rFonts w:cstheme="minorHAnsi"/>
        </w:rPr>
        <w:t xml:space="preserve">, which provides a point estimate of </w:t>
      </w:r>
      <w:r w:rsidR="00BE261A">
        <w:rPr>
          <w:rFonts w:cstheme="minorHAnsi"/>
        </w:rPr>
        <w:t xml:space="preserve">species </w:t>
      </w:r>
      <w:r w:rsidR="001B194E">
        <w:rPr>
          <w:rFonts w:cstheme="minorHAnsi"/>
        </w:rPr>
        <w:t>richness as well as standard errors of the point estimate (</w:t>
      </w:r>
      <w:commentRangeStart w:id="7"/>
      <w:r w:rsidR="001B194E">
        <w:rPr>
          <w:rFonts w:cstheme="minorHAnsi"/>
        </w:rPr>
        <w:t>O’Hara 2005</w:t>
      </w:r>
      <w:commentRangeEnd w:id="7"/>
      <w:r w:rsidR="001B194E">
        <w:rPr>
          <w:rStyle w:val="CommentReference"/>
        </w:rPr>
        <w:commentReference w:id="7"/>
      </w:r>
      <w:r w:rsidR="001B194E">
        <w:rPr>
          <w:rFonts w:cstheme="minorHAnsi"/>
        </w:rPr>
        <w:t>).</w:t>
      </w:r>
      <w:r w:rsidR="00FB41D3">
        <w:rPr>
          <w:rFonts w:cstheme="minorHAnsi"/>
        </w:rPr>
        <w:t xml:space="preserve"> </w:t>
      </w:r>
      <w:r w:rsidR="0040684A">
        <w:rPr>
          <w:rFonts w:cstheme="minorHAnsi"/>
        </w:rPr>
        <w:t xml:space="preserve"> To quantify beta </w:t>
      </w:r>
      <w:proofErr w:type="gramStart"/>
      <w:r w:rsidR="0040684A">
        <w:rPr>
          <w:rFonts w:cstheme="minorHAnsi"/>
        </w:rPr>
        <w:t>diversity</w:t>
      </w:r>
      <w:proofErr w:type="gramEnd"/>
      <w:r w:rsidR="0040684A">
        <w:rPr>
          <w:rFonts w:cstheme="minorHAnsi"/>
        </w:rPr>
        <w:t xml:space="preserve"> </w:t>
      </w:r>
      <w:r w:rsidR="0040684A">
        <w:t>w</w:t>
      </w:r>
      <w:r w:rsidR="0040684A">
        <w:t>e compared proportional similarity in bird communities as 1 – Jaccard dissimilarity using the proportion of days a species was observed each survey period (Legendre and Legendre 2012).</w:t>
      </w:r>
    </w:p>
    <w:p w14:paraId="55C661DB" w14:textId="5F9BF467" w:rsidR="005341DA" w:rsidRDefault="0068437B" w:rsidP="005A579B">
      <w:pPr>
        <w:spacing w:line="480" w:lineRule="auto"/>
        <w:rPr>
          <w:rFonts w:cstheme="minorHAnsi"/>
        </w:rPr>
      </w:pPr>
      <w:r>
        <w:rPr>
          <w:rFonts w:cstheme="minorHAnsi"/>
        </w:rPr>
        <w:t>To determine if</w:t>
      </w:r>
      <w:r w:rsidR="006570A2">
        <w:rPr>
          <w:rFonts w:cstheme="minorHAnsi"/>
        </w:rPr>
        <w:t>, over time,</w:t>
      </w:r>
      <w:r>
        <w:rPr>
          <w:rFonts w:cstheme="minorHAnsi"/>
        </w:rPr>
        <w:t xml:space="preserve"> </w:t>
      </w:r>
      <w:r w:rsidR="00C0224B">
        <w:rPr>
          <w:rFonts w:cstheme="minorHAnsi"/>
        </w:rPr>
        <w:t>generalist species</w:t>
      </w:r>
      <w:r w:rsidR="005629B9">
        <w:rPr>
          <w:rFonts w:cstheme="minorHAnsi"/>
        </w:rPr>
        <w:t xml:space="preserve"> became more frequent</w:t>
      </w:r>
      <w:r>
        <w:rPr>
          <w:rFonts w:cstheme="minorHAnsi"/>
        </w:rPr>
        <w:t xml:space="preserve"> or </w:t>
      </w:r>
      <w:r w:rsidR="005629B9">
        <w:rPr>
          <w:rFonts w:cstheme="minorHAnsi"/>
        </w:rPr>
        <w:t xml:space="preserve">if species trajectories reflected </w:t>
      </w:r>
      <w:r>
        <w:rPr>
          <w:rFonts w:cstheme="minorHAnsi"/>
        </w:rPr>
        <w:t>statewide changes</w:t>
      </w:r>
      <w:r w:rsidR="00BE261A">
        <w:rPr>
          <w:rFonts w:cstheme="minorHAnsi"/>
        </w:rPr>
        <w:t xml:space="preserve"> in </w:t>
      </w:r>
      <w:proofErr w:type="gramStart"/>
      <w:r w:rsidR="00BE261A">
        <w:rPr>
          <w:rFonts w:cstheme="minorHAnsi"/>
        </w:rPr>
        <w:t>occupancy</w:t>
      </w:r>
      <w:proofErr w:type="gramEnd"/>
      <w:r>
        <w:rPr>
          <w:rFonts w:cstheme="minorHAnsi"/>
        </w:rPr>
        <w:t xml:space="preserve"> we used a binomial generalized linear mixed model (GLMM). </w:t>
      </w:r>
      <w:r w:rsidR="00573818" w:rsidRPr="00664493">
        <w:rPr>
          <w:rFonts w:cstheme="minorHAnsi"/>
        </w:rPr>
        <w:t xml:space="preserve">Our response variable </w:t>
      </w:r>
      <w:r w:rsidR="00C0224B">
        <w:rPr>
          <w:rFonts w:cstheme="minorHAnsi"/>
        </w:rPr>
        <w:t xml:space="preserve">for this analysis </w:t>
      </w:r>
      <w:r w:rsidR="00573818" w:rsidRPr="00664493">
        <w:rPr>
          <w:rFonts w:cstheme="minorHAnsi"/>
        </w:rPr>
        <w:t>was the proportion of days a species was observed per year weighted by the number of counts conducted per year</w:t>
      </w:r>
      <w:r w:rsidR="00573818">
        <w:rPr>
          <w:rFonts w:cstheme="minorHAnsi"/>
        </w:rPr>
        <w:t>. We used this response variable, which is comparable within but not among species (</w:t>
      </w:r>
      <w:proofErr w:type="spellStart"/>
      <w:r w:rsidR="00573818">
        <w:rPr>
          <w:rFonts w:cstheme="minorHAnsi"/>
        </w:rPr>
        <w:t>Royle</w:t>
      </w:r>
      <w:proofErr w:type="spellEnd"/>
      <w:r w:rsidR="00573818">
        <w:rPr>
          <w:rFonts w:cstheme="minorHAnsi"/>
        </w:rPr>
        <w:t xml:space="preserve"> and Nichols 2003), because abundances were not available in the first time period. </w:t>
      </w:r>
      <w:r w:rsidR="00C0224B">
        <w:rPr>
          <w:rFonts w:cstheme="minorHAnsi"/>
        </w:rPr>
        <w:t xml:space="preserve">We quantified </w:t>
      </w:r>
      <w:r w:rsidR="00D51B03">
        <w:rPr>
          <w:rFonts w:cstheme="minorHAnsi"/>
        </w:rPr>
        <w:t>each</w:t>
      </w:r>
      <w:r w:rsidR="00C0224B">
        <w:rPr>
          <w:rFonts w:cstheme="minorHAnsi"/>
        </w:rPr>
        <w:t xml:space="preserve"> </w:t>
      </w:r>
      <w:r w:rsidR="00D51B03">
        <w:rPr>
          <w:rFonts w:cstheme="minorHAnsi"/>
        </w:rPr>
        <w:t>species generalist ability</w:t>
      </w:r>
      <w:r w:rsidR="00C0224B">
        <w:rPr>
          <w:rFonts w:cstheme="minorHAnsi"/>
        </w:rPr>
        <w:t xml:space="preserve"> </w:t>
      </w:r>
      <w:r w:rsidR="00D51B03">
        <w:rPr>
          <w:rFonts w:cstheme="minorHAnsi"/>
        </w:rPr>
        <w:t xml:space="preserve">by deriving </w:t>
      </w:r>
      <w:r w:rsidR="004F0A62">
        <w:rPr>
          <w:rFonts w:cstheme="minorHAnsi"/>
        </w:rPr>
        <w:t xml:space="preserve">their diet and foraging breadth </w:t>
      </w:r>
      <w:r w:rsidR="00C0224B">
        <w:rPr>
          <w:rFonts w:cstheme="minorHAnsi"/>
        </w:rPr>
        <w:t xml:space="preserve">from a global </w:t>
      </w:r>
      <w:r w:rsidR="00D51B03">
        <w:rPr>
          <w:rFonts w:cstheme="minorHAnsi"/>
        </w:rPr>
        <w:t>bird and mammal functional trait database (</w:t>
      </w:r>
      <w:commentRangeStart w:id="8"/>
      <w:proofErr w:type="spellStart"/>
      <w:r w:rsidR="00D51B03">
        <w:rPr>
          <w:rFonts w:cstheme="minorHAnsi"/>
        </w:rPr>
        <w:t>Wilman</w:t>
      </w:r>
      <w:proofErr w:type="spellEnd"/>
      <w:r w:rsidR="00D51B03">
        <w:rPr>
          <w:rFonts w:cstheme="minorHAnsi"/>
        </w:rPr>
        <w:t xml:space="preserve"> et al. 201</w:t>
      </w:r>
      <w:commentRangeEnd w:id="8"/>
      <w:r w:rsidR="00D51B03">
        <w:rPr>
          <w:rFonts w:cstheme="minorHAnsi"/>
        </w:rPr>
        <w:t>4</w:t>
      </w:r>
      <w:r w:rsidR="00D51B03">
        <w:rPr>
          <w:rStyle w:val="CommentReference"/>
        </w:rPr>
        <w:commentReference w:id="8"/>
      </w:r>
      <w:r w:rsidR="00D51B03">
        <w:rPr>
          <w:rFonts w:cstheme="minorHAnsi"/>
        </w:rPr>
        <w:t>)</w:t>
      </w:r>
      <w:r w:rsidR="004F0A62">
        <w:rPr>
          <w:rFonts w:cstheme="minorHAnsi"/>
        </w:rPr>
        <w:t xml:space="preserve">. For diet breadth we counted </w:t>
      </w:r>
      <w:r w:rsidR="00447BCA">
        <w:rPr>
          <w:rFonts w:cstheme="minorHAnsi"/>
        </w:rPr>
        <w:t>the</w:t>
      </w:r>
      <w:r w:rsidR="004F0A62">
        <w:rPr>
          <w:rFonts w:cstheme="minorHAnsi"/>
        </w:rPr>
        <w:t xml:space="preserve"> number of different diet categories that each species was known to forage on which could include invertebrates, mammals and birds, reptiles, fish, vertebrates, carrion, fruit, nectar, seeds, or other plant material such as seedlings, weeds, or lichen (n = 10</w:t>
      </w:r>
      <w:r w:rsidR="005629B9">
        <w:rPr>
          <w:rFonts w:cstheme="minorHAnsi"/>
        </w:rPr>
        <w:t>, mean = 1.6, min = 1, max = 6</w:t>
      </w:r>
      <w:r w:rsidR="00074BB9">
        <w:rPr>
          <w:rFonts w:cstheme="minorHAnsi"/>
        </w:rPr>
        <w:t>)</w:t>
      </w:r>
      <w:r w:rsidR="004F0A62">
        <w:rPr>
          <w:rFonts w:cstheme="minorHAnsi"/>
        </w:rPr>
        <w:t xml:space="preserve">. For </w:t>
      </w:r>
      <w:r w:rsidR="004F0A62">
        <w:rPr>
          <w:rFonts w:cstheme="minorHAnsi"/>
        </w:rPr>
        <w:lastRenderedPageBreak/>
        <w:t>foraging breadth</w:t>
      </w:r>
      <w:r w:rsidR="00074BB9">
        <w:rPr>
          <w:rFonts w:cstheme="minorHAnsi"/>
        </w:rPr>
        <w:t>,</w:t>
      </w:r>
      <w:r w:rsidR="004F0A62">
        <w:rPr>
          <w:rFonts w:cstheme="minorHAnsi"/>
        </w:rPr>
        <w:t xml:space="preserve"> we counted the number of different strategies a species was known to use to forage which </w:t>
      </w:r>
      <w:r w:rsidR="005629B9">
        <w:rPr>
          <w:rFonts w:cstheme="minorHAnsi"/>
        </w:rPr>
        <w:t>could include</w:t>
      </w:r>
      <w:r w:rsidR="004F0A62">
        <w:rPr>
          <w:rFonts w:cstheme="minorHAnsi"/>
        </w:rPr>
        <w:t xml:space="preserve"> foraging below water, on water, on the ground, in the understory, in the middle to high levels of trees, in the tree canopy, or in the air</w:t>
      </w:r>
      <w:r w:rsidR="00074BB9">
        <w:rPr>
          <w:rFonts w:cstheme="minorHAnsi"/>
        </w:rPr>
        <w:t xml:space="preserve"> (n = 7</w:t>
      </w:r>
      <w:r w:rsidR="005629B9">
        <w:rPr>
          <w:rFonts w:cstheme="minorHAnsi"/>
        </w:rPr>
        <w:t>, mean = 2.4, min = 1, max = 5</w:t>
      </w:r>
      <w:r w:rsidR="00074BB9">
        <w:rPr>
          <w:rFonts w:cstheme="minorHAnsi"/>
        </w:rPr>
        <w:t xml:space="preserve">). </w:t>
      </w:r>
      <w:r w:rsidR="005629B9">
        <w:rPr>
          <w:rFonts w:cstheme="minorHAnsi"/>
        </w:rPr>
        <w:t xml:space="preserve">To determine if changes in species relative frequency tracked statewide </w:t>
      </w:r>
      <w:r w:rsidR="005A579B">
        <w:rPr>
          <w:rFonts w:cstheme="minorHAnsi"/>
        </w:rPr>
        <w:t>trends over time,</w:t>
      </w:r>
      <w:r w:rsidR="005629B9">
        <w:rPr>
          <w:rFonts w:cstheme="minorHAnsi"/>
        </w:rPr>
        <w:t xml:space="preserve"> we used statewide estimates of the absolute change in occupancy of breeding birds throughout Illinois between 1906 and 2008 (Ward et al. 2018). </w:t>
      </w:r>
      <w:r w:rsidR="005A579B">
        <w:rPr>
          <w:rFonts w:cstheme="minorHAnsi"/>
        </w:rPr>
        <w:t>Only 55% of the birds in our analysis were represent in the Ward et al. (2018) dataset. Birds not represented</w:t>
      </w:r>
      <w:r w:rsidR="00BE261A">
        <w:rPr>
          <w:rFonts w:cstheme="minorHAnsi"/>
        </w:rPr>
        <w:t xml:space="preserve">, such as non-breeding birds, </w:t>
      </w:r>
      <w:r w:rsidR="005A579B">
        <w:rPr>
          <w:rFonts w:cstheme="minorHAnsi"/>
        </w:rPr>
        <w:t xml:space="preserve">were given a value of 0. </w:t>
      </w:r>
    </w:p>
    <w:p w14:paraId="6E43D3B8" w14:textId="75826A04" w:rsidR="00F95564" w:rsidRDefault="00334305" w:rsidP="00BE261A">
      <w:pPr>
        <w:spacing w:line="480" w:lineRule="auto"/>
        <w:ind w:firstLine="720"/>
        <w:rPr>
          <w:rFonts w:cstheme="minorHAnsi"/>
        </w:rPr>
      </w:pPr>
      <w:r>
        <w:rPr>
          <w:rFonts w:cstheme="minorHAnsi"/>
        </w:rPr>
        <w:t xml:space="preserve">Our GLMM included a few other independent variables. </w:t>
      </w:r>
      <w:r w:rsidR="005A579B">
        <w:rPr>
          <w:rFonts w:cstheme="minorHAnsi"/>
        </w:rPr>
        <w:t>In addition to th</w:t>
      </w:r>
      <w:r>
        <w:rPr>
          <w:rFonts w:cstheme="minorHAnsi"/>
        </w:rPr>
        <w:t>e</w:t>
      </w:r>
      <w:r w:rsidR="005A579B">
        <w:rPr>
          <w:rFonts w:cstheme="minorHAnsi"/>
        </w:rPr>
        <w:t xml:space="preserve"> </w:t>
      </w:r>
      <w:r>
        <w:rPr>
          <w:rFonts w:cstheme="minorHAnsi"/>
        </w:rPr>
        <w:t xml:space="preserve">three forementioned continuous </w:t>
      </w:r>
      <w:r w:rsidR="005A579B">
        <w:rPr>
          <w:rFonts w:cstheme="minorHAnsi"/>
        </w:rPr>
        <w:t>variables</w:t>
      </w:r>
      <w:r>
        <w:rPr>
          <w:rFonts w:cstheme="minorHAnsi"/>
        </w:rPr>
        <w:t xml:space="preserve"> (foraging breadth, diet breadth, and statewide trends)</w:t>
      </w:r>
      <w:r w:rsidR="005A579B">
        <w:rPr>
          <w:rFonts w:cstheme="minorHAnsi"/>
        </w:rPr>
        <w:t xml:space="preserve"> we </w:t>
      </w:r>
      <w:r>
        <w:rPr>
          <w:rFonts w:cstheme="minorHAnsi"/>
        </w:rPr>
        <w:t>also i</w:t>
      </w:r>
      <w:r w:rsidR="005A579B">
        <w:rPr>
          <w:rFonts w:cstheme="minorHAnsi"/>
        </w:rPr>
        <w:t>ncluded</w:t>
      </w:r>
      <w:r>
        <w:rPr>
          <w:rFonts w:cstheme="minorHAnsi"/>
        </w:rPr>
        <w:t xml:space="preserve"> survey period</w:t>
      </w:r>
      <w:r w:rsidR="005A579B">
        <w:rPr>
          <w:rFonts w:cstheme="minorHAnsi"/>
        </w:rPr>
        <w:t xml:space="preserve"> </w:t>
      </w:r>
      <w:r w:rsidR="005A579B" w:rsidRPr="00664493">
        <w:rPr>
          <w:rFonts w:cstheme="minorHAnsi"/>
        </w:rPr>
        <w:t>(1898 – 1903, 1922 – 1927, and 2012 – 2015) as categorical variable</w:t>
      </w:r>
      <w:r w:rsidR="005A579B">
        <w:rPr>
          <w:rFonts w:cstheme="minorHAnsi"/>
        </w:rPr>
        <w:t>s</w:t>
      </w:r>
      <w:r w:rsidR="00967D09">
        <w:rPr>
          <w:rFonts w:cstheme="minorHAnsi"/>
        </w:rPr>
        <w:t xml:space="preserve">. Given the large </w:t>
      </w:r>
      <w:r>
        <w:rPr>
          <w:rFonts w:cstheme="minorHAnsi"/>
        </w:rPr>
        <w:t>time span</w:t>
      </w:r>
      <w:r w:rsidR="00967D09">
        <w:rPr>
          <w:rFonts w:cstheme="minorHAnsi"/>
        </w:rPr>
        <w:t xml:space="preserve"> between our</w:t>
      </w:r>
      <w:r w:rsidR="006B6FF4">
        <w:rPr>
          <w:rFonts w:cstheme="minorHAnsi"/>
        </w:rPr>
        <w:t xml:space="preserve"> own</w:t>
      </w:r>
      <w:r w:rsidR="00967D09">
        <w:rPr>
          <w:rFonts w:cstheme="minorHAnsi"/>
        </w:rPr>
        <w:t xml:space="preserve"> sampling and the middle survey</w:t>
      </w:r>
      <w:r>
        <w:rPr>
          <w:rFonts w:cstheme="minorHAnsi"/>
        </w:rPr>
        <w:t xml:space="preserve"> relative to the time between the first and second sampling periods</w:t>
      </w:r>
      <w:r w:rsidR="00967D09">
        <w:rPr>
          <w:rFonts w:cstheme="minorHAnsi"/>
        </w:rPr>
        <w:t>,</w:t>
      </w:r>
      <w:r w:rsidR="003F0125">
        <w:rPr>
          <w:rFonts w:cstheme="minorHAnsi"/>
        </w:rPr>
        <w:t xml:space="preserve"> we</w:t>
      </w:r>
      <w:r w:rsidR="00967D09">
        <w:rPr>
          <w:rFonts w:cstheme="minorHAnsi"/>
        </w:rPr>
        <w:t xml:space="preserve"> </w:t>
      </w:r>
      <w:r w:rsidR="00942C83">
        <w:rPr>
          <w:rFonts w:cstheme="minorHAnsi"/>
        </w:rPr>
        <w:t xml:space="preserve">also </w:t>
      </w:r>
      <w:r w:rsidR="00967D09">
        <w:rPr>
          <w:rFonts w:cstheme="minorHAnsi"/>
        </w:rPr>
        <w:t xml:space="preserve">included interactions between the 2012-2015 period and the three continuous variables </w:t>
      </w:r>
      <w:r w:rsidR="003F0125">
        <w:rPr>
          <w:rFonts w:cstheme="minorHAnsi"/>
        </w:rPr>
        <w:t xml:space="preserve">to quantify if the response to these variables changed </w:t>
      </w:r>
      <w:r w:rsidR="00942C83">
        <w:rPr>
          <w:rFonts w:cstheme="minorHAnsi"/>
        </w:rPr>
        <w:t>in the last survey period relative to the other two periods</w:t>
      </w:r>
      <w:r w:rsidR="00967D09">
        <w:rPr>
          <w:rFonts w:cstheme="minorHAnsi"/>
        </w:rPr>
        <w:t>. For the random effect structure of the model we allowed all three survey periods to vary by species.</w:t>
      </w:r>
      <w:r w:rsidR="003F0125">
        <w:rPr>
          <w:rFonts w:cstheme="minorHAnsi"/>
        </w:rPr>
        <w:t xml:space="preserve"> This model was fit in V 2.19.1 of Stan (</w:t>
      </w:r>
      <w:commentRangeStart w:id="9"/>
      <w:r w:rsidR="00F95564">
        <w:rPr>
          <w:rFonts w:cstheme="minorHAnsi"/>
        </w:rPr>
        <w:t>Stan Development Team 2018</w:t>
      </w:r>
      <w:commentRangeEnd w:id="9"/>
      <w:r w:rsidR="00F95564">
        <w:rPr>
          <w:rStyle w:val="CommentReference"/>
        </w:rPr>
        <w:commentReference w:id="9"/>
      </w:r>
      <w:r w:rsidR="003F0125">
        <w:rPr>
          <w:rFonts w:cstheme="minorHAnsi"/>
        </w:rPr>
        <w:t xml:space="preserve">) using the </w:t>
      </w:r>
      <w:proofErr w:type="spellStart"/>
      <w:r w:rsidR="003F0125">
        <w:rPr>
          <w:rFonts w:cstheme="minorHAnsi"/>
        </w:rPr>
        <w:t>stan_glmer</w:t>
      </w:r>
      <w:proofErr w:type="spellEnd"/>
      <w:r w:rsidR="003F0125">
        <w:rPr>
          <w:rFonts w:cstheme="minorHAnsi"/>
        </w:rPr>
        <w:t xml:space="preserve"> function in </w:t>
      </w:r>
      <w:proofErr w:type="spellStart"/>
      <w:r w:rsidR="003F0125">
        <w:rPr>
          <w:rFonts w:cstheme="minorHAnsi"/>
        </w:rPr>
        <w:t>rstanarm</w:t>
      </w:r>
      <w:proofErr w:type="spellEnd"/>
      <w:r w:rsidR="003F0125">
        <w:rPr>
          <w:rFonts w:cstheme="minorHAnsi"/>
        </w:rPr>
        <w:t xml:space="preserve"> (</w:t>
      </w:r>
      <w:commentRangeStart w:id="10"/>
      <w:r w:rsidR="00F95564">
        <w:rPr>
          <w:rFonts w:cstheme="minorHAnsi"/>
        </w:rPr>
        <w:t>Goodrich et al. 2018</w:t>
      </w:r>
      <w:commentRangeEnd w:id="10"/>
      <w:r w:rsidR="00F95564">
        <w:rPr>
          <w:rStyle w:val="CommentReference"/>
        </w:rPr>
        <w:commentReference w:id="10"/>
      </w:r>
      <w:r w:rsidR="003F0125">
        <w:rPr>
          <w:rFonts w:cstheme="minorHAnsi"/>
        </w:rPr>
        <w:t xml:space="preserve">). Following a </w:t>
      </w:r>
      <w:proofErr w:type="gramStart"/>
      <w:r w:rsidR="003F0125">
        <w:rPr>
          <w:rFonts w:cstheme="minorHAnsi"/>
        </w:rPr>
        <w:t>1,000 step</w:t>
      </w:r>
      <w:proofErr w:type="gramEnd"/>
      <w:r w:rsidR="003F0125">
        <w:rPr>
          <w:rFonts w:cstheme="minorHAnsi"/>
        </w:rPr>
        <w:t xml:space="preserve"> burn-in the posterior was sampled a total of 24,000 times across 6 chains. The intercept of the model was given a vague </w:t>
      </w:r>
      <w:proofErr w:type="gramStart"/>
      <w:r w:rsidR="003F0125">
        <w:rPr>
          <w:rFonts w:cstheme="minorHAnsi"/>
        </w:rPr>
        <w:t>Cauchy(</w:t>
      </w:r>
      <w:proofErr w:type="gramEnd"/>
      <w:r w:rsidR="003F0125">
        <w:rPr>
          <w:rFonts w:cstheme="minorHAnsi"/>
        </w:rPr>
        <w:t>0,5) prior while slope terms were given a Cauchy(0, 2.5) prior</w:t>
      </w:r>
      <w:r w:rsidR="00F95564">
        <w:rPr>
          <w:rFonts w:cstheme="minorHAnsi"/>
        </w:rPr>
        <w:t xml:space="preserve"> (Gelman citation)</w:t>
      </w:r>
      <w:r w:rsidR="003F0125">
        <w:rPr>
          <w:rFonts w:cstheme="minorHAnsi"/>
        </w:rPr>
        <w:t xml:space="preserve">. </w:t>
      </w:r>
      <w:r w:rsidR="00F95564" w:rsidRPr="00664493">
        <w:rPr>
          <w:rFonts w:cstheme="minorHAnsi"/>
        </w:rPr>
        <w:t>Some data had to be censored from our GLM</w:t>
      </w:r>
      <w:r w:rsidR="00F95564">
        <w:rPr>
          <w:rFonts w:cstheme="minorHAnsi"/>
        </w:rPr>
        <w:t>M</w:t>
      </w:r>
      <w:r w:rsidR="00F95564" w:rsidRPr="00664493">
        <w:rPr>
          <w:rFonts w:cstheme="minorHAnsi"/>
        </w:rPr>
        <w:t xml:space="preserve"> analysis. For example, a species was </w:t>
      </w:r>
      <w:r w:rsidR="006B6FF4">
        <w:rPr>
          <w:rFonts w:cstheme="minorHAnsi"/>
        </w:rPr>
        <w:t xml:space="preserve">removed </w:t>
      </w:r>
      <w:r w:rsidR="00F95564" w:rsidRPr="00664493">
        <w:rPr>
          <w:rFonts w:cstheme="minorHAnsi"/>
        </w:rPr>
        <w:t xml:space="preserve">if they were only observed in one of the three survey </w:t>
      </w:r>
      <w:proofErr w:type="gramStart"/>
      <w:r w:rsidR="00F95564" w:rsidRPr="00664493">
        <w:rPr>
          <w:rFonts w:cstheme="minorHAnsi"/>
        </w:rPr>
        <w:t>periods,</w:t>
      </w:r>
      <w:r w:rsidR="00FA37AB">
        <w:rPr>
          <w:rFonts w:cstheme="minorHAnsi"/>
        </w:rPr>
        <w:t xml:space="preserve"> </w:t>
      </w:r>
      <w:r w:rsidR="00F95564" w:rsidRPr="00664493">
        <w:rPr>
          <w:rFonts w:cstheme="minorHAnsi"/>
        </w:rPr>
        <w:t>but</w:t>
      </w:r>
      <w:proofErr w:type="gramEnd"/>
      <w:r w:rsidR="00F95564" w:rsidRPr="00664493">
        <w:rPr>
          <w:rFonts w:cstheme="minorHAnsi"/>
        </w:rPr>
        <w:t xml:space="preserve"> were included if they were observed in at least two of the three survey periods. Likewise, waterbirds, shorebirds, and house sparrows were excluded from this analysis due to their omission from the first survey period.</w:t>
      </w:r>
    </w:p>
    <w:p w14:paraId="70DA8072" w14:textId="306E1309" w:rsidR="006B6FF4" w:rsidRPr="00664493" w:rsidRDefault="006B6FF4" w:rsidP="00FB41D3">
      <w:pPr>
        <w:spacing w:line="480" w:lineRule="auto"/>
        <w:rPr>
          <w:rFonts w:cstheme="minorHAnsi"/>
        </w:rPr>
      </w:pPr>
      <w:commentRangeStart w:id="11"/>
      <w:r>
        <w:rPr>
          <w:rFonts w:cstheme="minorHAnsi"/>
        </w:rPr>
        <w:t xml:space="preserve">Finally, </w:t>
      </w:r>
      <w:r w:rsidR="00550EE5">
        <w:rPr>
          <w:rFonts w:cstheme="minorHAnsi"/>
        </w:rPr>
        <w:t>we also</w:t>
      </w:r>
      <w:r>
        <w:rPr>
          <w:rFonts w:cstheme="minorHAnsi"/>
        </w:rPr>
        <w:t xml:space="preserve"> quantif</w:t>
      </w:r>
      <w:r w:rsidR="00550EE5">
        <w:rPr>
          <w:rFonts w:cstheme="minorHAnsi"/>
        </w:rPr>
        <w:t>ied</w:t>
      </w:r>
      <w:r>
        <w:rPr>
          <w:rFonts w:cstheme="minorHAnsi"/>
        </w:rPr>
        <w:t xml:space="preserve"> how much variability </w:t>
      </w:r>
      <w:r w:rsidR="00FA37AB">
        <w:rPr>
          <w:rFonts w:cstheme="minorHAnsi"/>
        </w:rPr>
        <w:t>survey</w:t>
      </w:r>
      <w:r>
        <w:rPr>
          <w:rFonts w:cstheme="minorHAnsi"/>
        </w:rPr>
        <w:t xml:space="preserve"> period explained in community composition</w:t>
      </w:r>
      <w:r w:rsidR="00550EE5">
        <w:rPr>
          <w:rFonts w:cstheme="minorHAnsi"/>
        </w:rPr>
        <w:t xml:space="preserve">. To do so </w:t>
      </w:r>
      <w:r>
        <w:rPr>
          <w:rFonts w:cstheme="minorHAnsi"/>
        </w:rPr>
        <w:t xml:space="preserve">we fit a </w:t>
      </w:r>
      <w:r w:rsidR="00550EE5">
        <w:rPr>
          <w:rFonts w:cstheme="minorHAnsi"/>
        </w:rPr>
        <w:t>PERM</w:t>
      </w:r>
      <w:r>
        <w:rPr>
          <w:rFonts w:cstheme="minorHAnsi"/>
        </w:rPr>
        <w:t xml:space="preserve">ANOVA to </w:t>
      </w:r>
      <w:r w:rsidR="00550EE5">
        <w:rPr>
          <w:rFonts w:cstheme="minorHAnsi"/>
        </w:rPr>
        <w:t>a combined version of the</w:t>
      </w:r>
      <w:r>
        <w:rPr>
          <w:rFonts w:cstheme="minorHAnsi"/>
        </w:rPr>
        <w:t xml:space="preserve"> </w:t>
      </w:r>
      <w:r w:rsidR="00550EE5">
        <w:rPr>
          <w:rFonts w:cstheme="minorHAnsi"/>
        </w:rPr>
        <w:t>three</w:t>
      </w:r>
      <w:r>
        <w:rPr>
          <w:rFonts w:cstheme="minorHAnsi"/>
        </w:rPr>
        <w:t xml:space="preserve"> community matri</w:t>
      </w:r>
      <w:r w:rsidR="00550EE5">
        <w:rPr>
          <w:rFonts w:cstheme="minorHAnsi"/>
        </w:rPr>
        <w:t xml:space="preserve">ces used for the species </w:t>
      </w:r>
      <w:r w:rsidR="00550EE5">
        <w:rPr>
          <w:rFonts w:cstheme="minorHAnsi"/>
        </w:rPr>
        <w:lastRenderedPageBreak/>
        <w:t xml:space="preserve">richness analysis except instead of representing species presence / absence as binary we input the proportion of </w:t>
      </w:r>
      <w:proofErr w:type="gramStart"/>
      <w:r w:rsidR="00550EE5">
        <w:rPr>
          <w:rFonts w:cstheme="minorHAnsi"/>
        </w:rPr>
        <w:t>days</w:t>
      </w:r>
      <w:proofErr w:type="gramEnd"/>
      <w:r w:rsidR="00550EE5">
        <w:rPr>
          <w:rFonts w:cstheme="minorHAnsi"/>
        </w:rPr>
        <w:t xml:space="preserve"> they were detected each year (citation). </w:t>
      </w:r>
      <w:r w:rsidR="00FA37AB">
        <w:rPr>
          <w:rFonts w:cstheme="minorHAnsi"/>
        </w:rPr>
        <w:t>Survey</w:t>
      </w:r>
      <w:r w:rsidR="00550EE5">
        <w:rPr>
          <w:rFonts w:cstheme="minorHAnsi"/>
        </w:rPr>
        <w:t xml:space="preserve"> period was used as a predictor in the PERMVANOVA.</w:t>
      </w:r>
      <w:commentRangeEnd w:id="11"/>
      <w:r w:rsidR="00BE261A">
        <w:rPr>
          <w:rStyle w:val="CommentReference"/>
        </w:rPr>
        <w:commentReference w:id="11"/>
      </w:r>
    </w:p>
    <w:p w14:paraId="00381562" w14:textId="38FD7367" w:rsidR="00FB41D3" w:rsidRDefault="00C44797" w:rsidP="00EA6A5A">
      <w:pPr>
        <w:spacing w:line="480" w:lineRule="auto"/>
        <w:rPr>
          <w:rFonts w:cstheme="minorHAnsi"/>
          <w:b/>
          <w:bCs/>
        </w:rPr>
      </w:pPr>
      <w:r>
        <w:rPr>
          <w:rFonts w:cstheme="minorHAnsi"/>
          <w:b/>
          <w:bCs/>
        </w:rPr>
        <w:t>Results</w:t>
      </w:r>
    </w:p>
    <w:p w14:paraId="618AF681" w14:textId="4B3D82E8" w:rsidR="00037388" w:rsidRPr="009379C5" w:rsidRDefault="00037388" w:rsidP="00037388">
      <w:pPr>
        <w:pStyle w:val="Heading2"/>
        <w:spacing w:line="480" w:lineRule="auto"/>
      </w:pPr>
      <w:r>
        <w:t>Bird richness</w:t>
      </w:r>
      <w:r w:rsidR="00317AC2">
        <w:t xml:space="preserve"> and similarity</w:t>
      </w:r>
    </w:p>
    <w:p w14:paraId="20AAC941" w14:textId="6464D6B2" w:rsidR="008F2936" w:rsidRDefault="00037388" w:rsidP="008F2936">
      <w:pPr>
        <w:spacing w:line="480" w:lineRule="auto"/>
      </w:pPr>
      <w:r>
        <w:t xml:space="preserve">In total, 145 species in 34 families were observed across all survey periods. </w:t>
      </w:r>
      <w:proofErr w:type="spellStart"/>
      <w:r>
        <w:rPr>
          <w:i/>
        </w:rPr>
        <w:t>Parulid</w:t>
      </w:r>
      <w:proofErr w:type="spellEnd"/>
      <w:r>
        <w:rPr>
          <w:i/>
        </w:rPr>
        <w:t xml:space="preserve"> </w:t>
      </w:r>
      <w:r>
        <w:t xml:space="preserve">warblers represented the greatest portion of the species pool (n = 33 species), followed by New World sparrows in </w:t>
      </w:r>
      <w:proofErr w:type="spellStart"/>
      <w:r>
        <w:rPr>
          <w:i/>
        </w:rPr>
        <w:t>Passerelidae</w:t>
      </w:r>
      <w:proofErr w:type="spellEnd"/>
      <w:r>
        <w:t xml:space="preserve"> (n = 19 species), and blackbirds in </w:t>
      </w:r>
      <w:r>
        <w:rPr>
          <w:i/>
        </w:rPr>
        <w:t>Icteridae</w:t>
      </w:r>
      <w:r>
        <w:t xml:space="preserve"> (n = 10 species).</w:t>
      </w:r>
      <w:r>
        <w:t xml:space="preserve"> </w:t>
      </w:r>
      <w:r>
        <w:t>Overall, fewer species were observed between 1898 – 1903 (</w:t>
      </w:r>
      <w:r w:rsidR="008F2936">
        <w:t xml:space="preserve">mean = 118.15, SE = </w:t>
      </w:r>
      <w:proofErr w:type="gramStart"/>
      <w:r w:rsidR="008F2936">
        <w:t xml:space="preserve">4.87 </w:t>
      </w:r>
      <w:r>
        <w:t>)</w:t>
      </w:r>
      <w:proofErr w:type="gramEnd"/>
      <w:r>
        <w:t>, while a</w:t>
      </w:r>
      <w:r w:rsidR="008F2936">
        <w:t xml:space="preserve"> similar</w:t>
      </w:r>
      <w:r>
        <w:t xml:space="preserve"> number of species were observed between 1927 – 1932 (</w:t>
      </w:r>
      <w:r w:rsidR="008F2936">
        <w:t>mean = 135.31, SE = 6.89</w:t>
      </w:r>
      <w:r>
        <w:t>) and 2012 – 2015 (</w:t>
      </w:r>
      <w:r w:rsidR="008F2936">
        <w:t>mean = 131.22, SE = 5.15</w:t>
      </w:r>
      <w:r>
        <w:t>).</w:t>
      </w:r>
      <w:r w:rsidR="008F2936">
        <w:t xml:space="preserve"> </w:t>
      </w:r>
      <w:r w:rsidR="008F2936">
        <w:t>Community composition as estimated by 1 – Jaccard dissimilarity was most similar between 1898 – 1903 and 1927 – 1932 (0.59), which were closer together in time, and most dissimilar between 1898 – 1903 and 2012 – 2015 (0.45). Community composition was also dissimilar between 1927 – 1932 and 2012 – 2015 (0.48). Only the American robin (</w:t>
      </w:r>
      <w:r w:rsidR="008F2936">
        <w:rPr>
          <w:i/>
        </w:rPr>
        <w:t xml:space="preserve">Turdus </w:t>
      </w:r>
      <w:proofErr w:type="spellStart"/>
      <w:r w:rsidR="008F2936">
        <w:rPr>
          <w:i/>
        </w:rPr>
        <w:t>migratorius</w:t>
      </w:r>
      <w:proofErr w:type="spellEnd"/>
      <w:r w:rsidR="008F2936">
        <w:t>) and common grackle (</w:t>
      </w:r>
      <w:proofErr w:type="spellStart"/>
      <w:r w:rsidR="008F2936">
        <w:rPr>
          <w:i/>
        </w:rPr>
        <w:t>Quiscalus</w:t>
      </w:r>
      <w:proofErr w:type="spellEnd"/>
      <w:r w:rsidR="008F2936">
        <w:rPr>
          <w:i/>
        </w:rPr>
        <w:t xml:space="preserve"> </w:t>
      </w:r>
      <w:proofErr w:type="spellStart"/>
      <w:r w:rsidR="008F2936">
        <w:rPr>
          <w:i/>
        </w:rPr>
        <w:t>quiscula</w:t>
      </w:r>
      <w:proofErr w:type="spellEnd"/>
      <w:r w:rsidR="008F2936">
        <w:t xml:space="preserve">) remained in the 10 most common species across survey periods (Table 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F2936" w14:paraId="7F23DB34" w14:textId="77777777" w:rsidTr="00793DB9">
        <w:tc>
          <w:tcPr>
            <w:tcW w:w="9350" w:type="dxa"/>
            <w:gridSpan w:val="3"/>
            <w:tcBorders>
              <w:bottom w:val="single" w:sz="4" w:space="0" w:color="auto"/>
            </w:tcBorders>
          </w:tcPr>
          <w:p w14:paraId="4A0D668C" w14:textId="77777777" w:rsidR="008F2936" w:rsidRDefault="008F2936" w:rsidP="00793DB9">
            <w:r w:rsidRPr="00741F7C">
              <w:rPr>
                <w:b/>
              </w:rPr>
              <w:t xml:space="preserve">Table </w:t>
            </w:r>
            <w:r>
              <w:rPr>
                <w:b/>
              </w:rPr>
              <w:t>1</w:t>
            </w:r>
            <w:r w:rsidRPr="00741F7C">
              <w:rPr>
                <w:b/>
              </w:rPr>
              <w:t>.</w:t>
            </w:r>
            <w:r>
              <w:t xml:space="preserve"> The proportion of days the 10 most common species were observed during each survey period in Lincoln Park, Chicago, IL, USA between March to May. Species are listed from most to least frequent. The proportion of days a species was observed per survey period follows their name.</w:t>
            </w:r>
          </w:p>
        </w:tc>
      </w:tr>
      <w:tr w:rsidR="008F2936" w14:paraId="1A6F1AB8" w14:textId="77777777" w:rsidTr="00793DB9">
        <w:tc>
          <w:tcPr>
            <w:tcW w:w="3116" w:type="dxa"/>
            <w:tcBorders>
              <w:top w:val="single" w:sz="4" w:space="0" w:color="auto"/>
              <w:bottom w:val="single" w:sz="4" w:space="0" w:color="auto"/>
            </w:tcBorders>
          </w:tcPr>
          <w:p w14:paraId="1D9D4BA2" w14:textId="77777777" w:rsidR="008F2936" w:rsidRDefault="008F2936" w:rsidP="00793DB9">
            <w:pPr>
              <w:jc w:val="right"/>
            </w:pPr>
            <w:r>
              <w:t xml:space="preserve">1898 – 1903 </w:t>
            </w:r>
          </w:p>
        </w:tc>
        <w:tc>
          <w:tcPr>
            <w:tcW w:w="3117" w:type="dxa"/>
            <w:tcBorders>
              <w:top w:val="single" w:sz="4" w:space="0" w:color="auto"/>
              <w:bottom w:val="single" w:sz="4" w:space="0" w:color="auto"/>
            </w:tcBorders>
          </w:tcPr>
          <w:p w14:paraId="366B5580" w14:textId="77777777" w:rsidR="008F2936" w:rsidRDefault="008F2936" w:rsidP="00793DB9">
            <w:pPr>
              <w:jc w:val="right"/>
            </w:pPr>
            <w:r>
              <w:t>1927 – 1932</w:t>
            </w:r>
          </w:p>
        </w:tc>
        <w:tc>
          <w:tcPr>
            <w:tcW w:w="3117" w:type="dxa"/>
            <w:tcBorders>
              <w:top w:val="single" w:sz="4" w:space="0" w:color="auto"/>
              <w:bottom w:val="single" w:sz="4" w:space="0" w:color="auto"/>
            </w:tcBorders>
          </w:tcPr>
          <w:p w14:paraId="4EBBEC8F" w14:textId="77777777" w:rsidR="008F2936" w:rsidRDefault="008F2936" w:rsidP="00793DB9">
            <w:pPr>
              <w:jc w:val="right"/>
            </w:pPr>
            <w:r>
              <w:t>2012 – 2015</w:t>
            </w:r>
          </w:p>
        </w:tc>
      </w:tr>
      <w:tr w:rsidR="008F2936" w14:paraId="19FE1B87" w14:textId="77777777" w:rsidTr="00793DB9">
        <w:tc>
          <w:tcPr>
            <w:tcW w:w="3116" w:type="dxa"/>
            <w:tcBorders>
              <w:top w:val="single" w:sz="4" w:space="0" w:color="auto"/>
            </w:tcBorders>
          </w:tcPr>
          <w:p w14:paraId="3360C67B" w14:textId="77777777" w:rsidR="008F2936" w:rsidRDefault="008F2936" w:rsidP="00793DB9">
            <w:pPr>
              <w:jc w:val="right"/>
            </w:pPr>
            <w:r>
              <w:t>American Robin – 0.84</w:t>
            </w:r>
          </w:p>
        </w:tc>
        <w:tc>
          <w:tcPr>
            <w:tcW w:w="3117" w:type="dxa"/>
            <w:tcBorders>
              <w:top w:val="single" w:sz="4" w:space="0" w:color="auto"/>
            </w:tcBorders>
          </w:tcPr>
          <w:p w14:paraId="22AB3B05" w14:textId="77777777" w:rsidR="008F2936" w:rsidRDefault="008F2936" w:rsidP="00793DB9">
            <w:pPr>
              <w:jc w:val="right"/>
            </w:pPr>
            <w:r>
              <w:t>Common Grackle – 0.90</w:t>
            </w:r>
          </w:p>
        </w:tc>
        <w:tc>
          <w:tcPr>
            <w:tcW w:w="3117" w:type="dxa"/>
            <w:tcBorders>
              <w:top w:val="single" w:sz="4" w:space="0" w:color="auto"/>
            </w:tcBorders>
          </w:tcPr>
          <w:p w14:paraId="1E03FC98" w14:textId="77777777" w:rsidR="008F2936" w:rsidRDefault="008F2936" w:rsidP="00793DB9">
            <w:pPr>
              <w:jc w:val="right"/>
            </w:pPr>
            <w:r>
              <w:t>Red-winged Blackbird – 0.91</w:t>
            </w:r>
          </w:p>
        </w:tc>
      </w:tr>
      <w:tr w:rsidR="008F2936" w14:paraId="1F53449B" w14:textId="77777777" w:rsidTr="00793DB9">
        <w:tc>
          <w:tcPr>
            <w:tcW w:w="3116" w:type="dxa"/>
          </w:tcPr>
          <w:p w14:paraId="4472C862" w14:textId="77777777" w:rsidR="008F2936" w:rsidRDefault="008F2936" w:rsidP="00793DB9">
            <w:pPr>
              <w:jc w:val="right"/>
            </w:pPr>
            <w:r>
              <w:t>Common Grackle – 0.80</w:t>
            </w:r>
          </w:p>
        </w:tc>
        <w:tc>
          <w:tcPr>
            <w:tcW w:w="3117" w:type="dxa"/>
          </w:tcPr>
          <w:p w14:paraId="027E363D" w14:textId="77777777" w:rsidR="008F2936" w:rsidRDefault="008F2936" w:rsidP="00793DB9">
            <w:pPr>
              <w:jc w:val="right"/>
            </w:pPr>
            <w:r>
              <w:t>American Robin – 0.71</w:t>
            </w:r>
          </w:p>
        </w:tc>
        <w:tc>
          <w:tcPr>
            <w:tcW w:w="3117" w:type="dxa"/>
          </w:tcPr>
          <w:p w14:paraId="3EF38572" w14:textId="77777777" w:rsidR="008F2936" w:rsidRDefault="008F2936" w:rsidP="00793DB9">
            <w:pPr>
              <w:jc w:val="right"/>
            </w:pPr>
            <w:r>
              <w:t>European Starling – 0.91</w:t>
            </w:r>
          </w:p>
        </w:tc>
      </w:tr>
      <w:tr w:rsidR="008F2936" w14:paraId="67BAE46A" w14:textId="77777777" w:rsidTr="00793DB9">
        <w:tc>
          <w:tcPr>
            <w:tcW w:w="3116" w:type="dxa"/>
          </w:tcPr>
          <w:p w14:paraId="587B9EC9" w14:textId="77777777" w:rsidR="008F2936" w:rsidRDefault="008F2936" w:rsidP="00793DB9">
            <w:pPr>
              <w:jc w:val="right"/>
            </w:pPr>
            <w:r>
              <w:t>Blue Jay – 0.72</w:t>
            </w:r>
          </w:p>
        </w:tc>
        <w:tc>
          <w:tcPr>
            <w:tcW w:w="3117" w:type="dxa"/>
          </w:tcPr>
          <w:p w14:paraId="198772DE" w14:textId="77777777" w:rsidR="008F2936" w:rsidRDefault="008F2936" w:rsidP="00793DB9">
            <w:pPr>
              <w:jc w:val="right"/>
            </w:pPr>
            <w:r>
              <w:t>Northern Flicker – 0.72</w:t>
            </w:r>
          </w:p>
        </w:tc>
        <w:tc>
          <w:tcPr>
            <w:tcW w:w="3117" w:type="dxa"/>
          </w:tcPr>
          <w:p w14:paraId="7C4E6D0F" w14:textId="77777777" w:rsidR="008F2936" w:rsidRDefault="008F2936" w:rsidP="00793DB9">
            <w:pPr>
              <w:jc w:val="right"/>
            </w:pPr>
            <w:r>
              <w:t>American Crow – 0.89</w:t>
            </w:r>
          </w:p>
        </w:tc>
      </w:tr>
      <w:tr w:rsidR="008F2936" w14:paraId="1E0E74F9" w14:textId="77777777" w:rsidTr="00793DB9">
        <w:tc>
          <w:tcPr>
            <w:tcW w:w="3116" w:type="dxa"/>
          </w:tcPr>
          <w:p w14:paraId="07D99C0A" w14:textId="77777777" w:rsidR="008F2936" w:rsidRDefault="008F2936" w:rsidP="00793DB9">
            <w:pPr>
              <w:jc w:val="center"/>
            </w:pPr>
            <w:r>
              <w:t>Brown-headed Cowbird – 0.56</w:t>
            </w:r>
          </w:p>
        </w:tc>
        <w:tc>
          <w:tcPr>
            <w:tcW w:w="3117" w:type="dxa"/>
          </w:tcPr>
          <w:p w14:paraId="4243E3D4" w14:textId="77777777" w:rsidR="008F2936" w:rsidRDefault="008F2936" w:rsidP="00793DB9">
            <w:pPr>
              <w:jc w:val="right"/>
            </w:pPr>
            <w:r>
              <w:t>Red-winged Blackbird – 0.62</w:t>
            </w:r>
          </w:p>
        </w:tc>
        <w:tc>
          <w:tcPr>
            <w:tcW w:w="3117" w:type="dxa"/>
          </w:tcPr>
          <w:p w14:paraId="41881EB2" w14:textId="77777777" w:rsidR="008F2936" w:rsidRDefault="008F2936" w:rsidP="00793DB9">
            <w:pPr>
              <w:jc w:val="right"/>
            </w:pPr>
            <w:r>
              <w:t>American Robin – 0.80</w:t>
            </w:r>
          </w:p>
        </w:tc>
      </w:tr>
      <w:tr w:rsidR="008F2936" w14:paraId="4D61DBB6" w14:textId="77777777" w:rsidTr="00793DB9">
        <w:tc>
          <w:tcPr>
            <w:tcW w:w="3116" w:type="dxa"/>
          </w:tcPr>
          <w:p w14:paraId="2BAA33EC" w14:textId="77777777" w:rsidR="008F2936" w:rsidRDefault="008F2936" w:rsidP="00793DB9">
            <w:pPr>
              <w:jc w:val="right"/>
            </w:pPr>
            <w:r>
              <w:t>Dark-eyed Junco – 0.50</w:t>
            </w:r>
          </w:p>
        </w:tc>
        <w:tc>
          <w:tcPr>
            <w:tcW w:w="3117" w:type="dxa"/>
          </w:tcPr>
          <w:p w14:paraId="3B96B8CE" w14:textId="77777777" w:rsidR="008F2936" w:rsidRDefault="008F2936" w:rsidP="00793DB9">
            <w:pPr>
              <w:jc w:val="right"/>
            </w:pPr>
            <w:r>
              <w:t>Purple Martin – 0.55</w:t>
            </w:r>
          </w:p>
        </w:tc>
        <w:tc>
          <w:tcPr>
            <w:tcW w:w="3117" w:type="dxa"/>
          </w:tcPr>
          <w:p w14:paraId="203C8909" w14:textId="77777777" w:rsidR="008F2936" w:rsidRDefault="008F2936" w:rsidP="00793DB9">
            <w:pPr>
              <w:jc w:val="right"/>
            </w:pPr>
            <w:r>
              <w:t>Common Grackle – 0.79</w:t>
            </w:r>
          </w:p>
        </w:tc>
      </w:tr>
      <w:tr w:rsidR="008F2936" w14:paraId="198448B6" w14:textId="77777777" w:rsidTr="00793DB9">
        <w:tc>
          <w:tcPr>
            <w:tcW w:w="3116" w:type="dxa"/>
          </w:tcPr>
          <w:p w14:paraId="3E36ACDC" w14:textId="77777777" w:rsidR="008F2936" w:rsidRDefault="008F2936" w:rsidP="00793DB9">
            <w:pPr>
              <w:jc w:val="right"/>
            </w:pPr>
            <w:r>
              <w:t>Eastern Towhee – 0.47</w:t>
            </w:r>
          </w:p>
        </w:tc>
        <w:tc>
          <w:tcPr>
            <w:tcW w:w="3117" w:type="dxa"/>
          </w:tcPr>
          <w:p w14:paraId="5292424C" w14:textId="77777777" w:rsidR="008F2936" w:rsidRDefault="008F2936" w:rsidP="00793DB9">
            <w:pPr>
              <w:jc w:val="right"/>
            </w:pPr>
            <w:r>
              <w:t>Dark-eyed Junco – 0.51</w:t>
            </w:r>
          </w:p>
        </w:tc>
        <w:tc>
          <w:tcPr>
            <w:tcW w:w="3117" w:type="dxa"/>
          </w:tcPr>
          <w:p w14:paraId="5006374C" w14:textId="77777777" w:rsidR="008F2936" w:rsidRDefault="008F2936" w:rsidP="00793DB9">
            <w:pPr>
              <w:jc w:val="right"/>
            </w:pPr>
            <w:r>
              <w:t>Northern Cardinal – 0.76</w:t>
            </w:r>
          </w:p>
        </w:tc>
      </w:tr>
      <w:tr w:rsidR="008F2936" w14:paraId="56334FA9" w14:textId="77777777" w:rsidTr="00793DB9">
        <w:tc>
          <w:tcPr>
            <w:tcW w:w="3116" w:type="dxa"/>
          </w:tcPr>
          <w:p w14:paraId="02E62964" w14:textId="77777777" w:rsidR="008F2936" w:rsidRDefault="008F2936" w:rsidP="00793DB9">
            <w:pPr>
              <w:jc w:val="right"/>
            </w:pPr>
            <w:r>
              <w:lastRenderedPageBreak/>
              <w:t>Song Sparrow – 0.42</w:t>
            </w:r>
          </w:p>
        </w:tc>
        <w:tc>
          <w:tcPr>
            <w:tcW w:w="3117" w:type="dxa"/>
          </w:tcPr>
          <w:p w14:paraId="52CE8871" w14:textId="77777777" w:rsidR="008F2936" w:rsidRDefault="008F2936" w:rsidP="00793DB9">
            <w:pPr>
              <w:jc w:val="right"/>
            </w:pPr>
            <w:r>
              <w:t>White-throated Sparrow – 0.50</w:t>
            </w:r>
          </w:p>
        </w:tc>
        <w:tc>
          <w:tcPr>
            <w:tcW w:w="3117" w:type="dxa"/>
          </w:tcPr>
          <w:p w14:paraId="585529D9" w14:textId="77777777" w:rsidR="008F2936" w:rsidRDefault="008F2936" w:rsidP="00793DB9">
            <w:pPr>
              <w:jc w:val="right"/>
            </w:pPr>
            <w:r>
              <w:t>Song Sparrow – 0.72</w:t>
            </w:r>
          </w:p>
        </w:tc>
      </w:tr>
      <w:tr w:rsidR="008F2936" w14:paraId="306F5D29" w14:textId="77777777" w:rsidTr="00793DB9">
        <w:tc>
          <w:tcPr>
            <w:tcW w:w="3116" w:type="dxa"/>
          </w:tcPr>
          <w:p w14:paraId="0983DA78" w14:textId="77777777" w:rsidR="008F2936" w:rsidRDefault="008F2936" w:rsidP="00793DB9">
            <w:pPr>
              <w:jc w:val="right"/>
            </w:pPr>
            <w:r>
              <w:t>Northern Flicker – 0.40</w:t>
            </w:r>
          </w:p>
        </w:tc>
        <w:tc>
          <w:tcPr>
            <w:tcW w:w="3117" w:type="dxa"/>
          </w:tcPr>
          <w:p w14:paraId="2260D96E" w14:textId="77777777" w:rsidR="008F2936" w:rsidRDefault="008F2936" w:rsidP="00793DB9">
            <w:pPr>
              <w:jc w:val="right"/>
            </w:pPr>
            <w:r>
              <w:t>Brown Thrasher – 0.49</w:t>
            </w:r>
          </w:p>
        </w:tc>
        <w:tc>
          <w:tcPr>
            <w:tcW w:w="3117" w:type="dxa"/>
          </w:tcPr>
          <w:p w14:paraId="78820E66" w14:textId="77777777" w:rsidR="008F2936" w:rsidRDefault="008F2936" w:rsidP="00793DB9">
            <w:pPr>
              <w:jc w:val="right"/>
            </w:pPr>
            <w:r>
              <w:t>Black-capped Chickadee – 0.72</w:t>
            </w:r>
          </w:p>
        </w:tc>
      </w:tr>
      <w:tr w:rsidR="008F2936" w14:paraId="7D896373" w14:textId="77777777" w:rsidTr="00793DB9">
        <w:tc>
          <w:tcPr>
            <w:tcW w:w="3116" w:type="dxa"/>
          </w:tcPr>
          <w:p w14:paraId="3B55BC58" w14:textId="77777777" w:rsidR="008F2936" w:rsidRDefault="008F2936" w:rsidP="00793DB9">
            <w:pPr>
              <w:jc w:val="right"/>
            </w:pPr>
            <w:r>
              <w:t>Ruby-crowned Kinglet – 0.38</w:t>
            </w:r>
          </w:p>
        </w:tc>
        <w:tc>
          <w:tcPr>
            <w:tcW w:w="3117" w:type="dxa"/>
          </w:tcPr>
          <w:p w14:paraId="63275CA0" w14:textId="77777777" w:rsidR="008F2936" w:rsidRDefault="008F2936" w:rsidP="00793DB9">
            <w:pPr>
              <w:jc w:val="right"/>
            </w:pPr>
            <w:r>
              <w:t>Eastern Towhee – 0.45</w:t>
            </w:r>
          </w:p>
        </w:tc>
        <w:tc>
          <w:tcPr>
            <w:tcW w:w="3117" w:type="dxa"/>
          </w:tcPr>
          <w:p w14:paraId="78194C19" w14:textId="77777777" w:rsidR="008F2936" w:rsidRDefault="008F2936" w:rsidP="00793DB9">
            <w:pPr>
              <w:jc w:val="right"/>
            </w:pPr>
            <w:r>
              <w:t>Rock Pigeon – 0.68</w:t>
            </w:r>
          </w:p>
        </w:tc>
      </w:tr>
      <w:tr w:rsidR="008F2936" w14:paraId="07945169" w14:textId="77777777" w:rsidTr="00793DB9">
        <w:tc>
          <w:tcPr>
            <w:tcW w:w="3116" w:type="dxa"/>
            <w:tcBorders>
              <w:bottom w:val="single" w:sz="4" w:space="0" w:color="auto"/>
            </w:tcBorders>
          </w:tcPr>
          <w:p w14:paraId="1AB92319" w14:textId="77777777" w:rsidR="008F2936" w:rsidRDefault="008F2936" w:rsidP="00793DB9">
            <w:pPr>
              <w:jc w:val="right"/>
            </w:pPr>
            <w:r>
              <w:t>White-throated Sparrow – 0.37</w:t>
            </w:r>
          </w:p>
        </w:tc>
        <w:tc>
          <w:tcPr>
            <w:tcW w:w="3117" w:type="dxa"/>
            <w:tcBorders>
              <w:bottom w:val="single" w:sz="4" w:space="0" w:color="auto"/>
            </w:tcBorders>
          </w:tcPr>
          <w:p w14:paraId="4B843459" w14:textId="77777777" w:rsidR="008F2936" w:rsidRDefault="008F2936" w:rsidP="00793DB9">
            <w:pPr>
              <w:jc w:val="right"/>
            </w:pPr>
            <w:r>
              <w:t>Yellow-</w:t>
            </w:r>
            <w:proofErr w:type="spellStart"/>
            <w:r>
              <w:t>rumped</w:t>
            </w:r>
            <w:proofErr w:type="spellEnd"/>
            <w:r>
              <w:t xml:space="preserve"> Warbler – 0.43</w:t>
            </w:r>
          </w:p>
        </w:tc>
        <w:tc>
          <w:tcPr>
            <w:tcW w:w="3117" w:type="dxa"/>
            <w:tcBorders>
              <w:bottom w:val="single" w:sz="4" w:space="0" w:color="auto"/>
            </w:tcBorders>
          </w:tcPr>
          <w:p w14:paraId="29D91200" w14:textId="77777777" w:rsidR="008F2936" w:rsidRDefault="008F2936" w:rsidP="00793DB9">
            <w:pPr>
              <w:jc w:val="right"/>
            </w:pPr>
            <w:r>
              <w:t>Downy Woodpecker – 0.64</w:t>
            </w:r>
          </w:p>
        </w:tc>
      </w:tr>
    </w:tbl>
    <w:p w14:paraId="0B8D62A1" w14:textId="6003E097" w:rsidR="008F2936" w:rsidRDefault="008F2936" w:rsidP="008F2936">
      <w:pPr>
        <w:spacing w:line="480" w:lineRule="auto"/>
      </w:pPr>
    </w:p>
    <w:p w14:paraId="0FCBEA95" w14:textId="15342B5C" w:rsidR="008F2936" w:rsidRPr="008F2936" w:rsidRDefault="008F2936" w:rsidP="008F2936">
      <w:pPr>
        <w:spacing w:line="480" w:lineRule="auto"/>
        <w:rPr>
          <w:b/>
          <w:bCs/>
        </w:rPr>
      </w:pPr>
      <w:r>
        <w:rPr>
          <w:b/>
          <w:bCs/>
        </w:rPr>
        <w:t>Species trends over time</w:t>
      </w:r>
    </w:p>
    <w:p w14:paraId="6E40F834" w14:textId="52F7860C" w:rsidR="00C44797" w:rsidRPr="00C44797" w:rsidRDefault="00C44797" w:rsidP="00037388">
      <w:pPr>
        <w:spacing w:line="480" w:lineRule="auto"/>
        <w:rPr>
          <w:rFonts w:cstheme="minorHAnsi"/>
        </w:rPr>
      </w:pPr>
    </w:p>
    <w:p w14:paraId="0F4C5CB5" w14:textId="77777777" w:rsidR="00EA6A5A" w:rsidRPr="0082004A" w:rsidRDefault="00EA6A5A" w:rsidP="00130EB0">
      <w:pPr>
        <w:spacing w:line="240" w:lineRule="auto"/>
        <w:ind w:firstLine="720"/>
        <w:rPr>
          <w:rFonts w:cstheme="minorHAnsi"/>
        </w:rPr>
      </w:pPr>
    </w:p>
    <w:p w14:paraId="2B064710" w14:textId="77777777" w:rsidR="00BF4453" w:rsidRDefault="00BF4453"/>
    <w:sectPr w:rsidR="00BF4453" w:rsidSect="004D7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dino, Mason" w:date="2020-09-09T16:42:00Z" w:initials="FM">
    <w:p w14:paraId="353F028C" w14:textId="3EC1992D" w:rsidR="00130EB0" w:rsidRDefault="00130EB0">
      <w:pPr>
        <w:pStyle w:val="CommentText"/>
      </w:pPr>
      <w:r>
        <w:rPr>
          <w:rStyle w:val="CommentReference"/>
        </w:rPr>
        <w:annotationRef/>
      </w:r>
      <w:r>
        <w:t>This also assumes that the rate at which species adapt to urban environments is less than the rate at which an area urbanizes. Seem okay, or should we get explicit with this?</w:t>
      </w:r>
    </w:p>
  </w:comment>
  <w:comment w:id="1" w:author="Fidino, Mason" w:date="2020-09-08T15:23:00Z" w:initials="FM">
    <w:p w14:paraId="3016E829" w14:textId="77777777" w:rsidR="00130EB0" w:rsidRPr="004C5E87" w:rsidRDefault="00130EB0" w:rsidP="00130EB0">
      <w:pPr>
        <w:rPr>
          <w:rFonts w:ascii="Times New Roman" w:eastAsia="Times New Roman" w:hAnsi="Times New Roman" w:cs="Times New Roman"/>
          <w:sz w:val="24"/>
          <w:szCs w:val="24"/>
        </w:rPr>
      </w:pPr>
      <w:r>
        <w:rPr>
          <w:rStyle w:val="CommentReference"/>
        </w:rPr>
        <w:annotationRef/>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P., </w:t>
      </w:r>
      <w:proofErr w:type="spellStart"/>
      <w:r w:rsidRPr="004C5E87">
        <w:rPr>
          <w:rFonts w:ascii="Arial" w:eastAsia="Times New Roman" w:hAnsi="Arial" w:cs="Arial"/>
          <w:color w:val="222222"/>
          <w:sz w:val="20"/>
          <w:szCs w:val="20"/>
          <w:shd w:val="clear" w:color="auto" w:fill="FFFFFF"/>
        </w:rPr>
        <w:t>Chocholousková</w:t>
      </w:r>
      <w:proofErr w:type="spellEnd"/>
      <w:r w:rsidRPr="004C5E87">
        <w:rPr>
          <w:rFonts w:ascii="Arial" w:eastAsia="Times New Roman" w:hAnsi="Arial" w:cs="Arial"/>
          <w:color w:val="222222"/>
          <w:sz w:val="20"/>
          <w:szCs w:val="20"/>
          <w:shd w:val="clear" w:color="auto" w:fill="FFFFFF"/>
        </w:rPr>
        <w:t xml:space="preserve">, Z., † </w:t>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A., </w:t>
      </w:r>
      <w:proofErr w:type="spellStart"/>
      <w:r w:rsidRPr="004C5E87">
        <w:rPr>
          <w:rFonts w:ascii="Arial" w:eastAsia="Times New Roman" w:hAnsi="Arial" w:cs="Arial"/>
          <w:color w:val="222222"/>
          <w:sz w:val="20"/>
          <w:szCs w:val="20"/>
          <w:shd w:val="clear" w:color="auto" w:fill="FFFFFF"/>
        </w:rPr>
        <w:t>Jarošík</w:t>
      </w:r>
      <w:proofErr w:type="spellEnd"/>
      <w:r w:rsidRPr="004C5E87">
        <w:rPr>
          <w:rFonts w:ascii="Arial" w:eastAsia="Times New Roman" w:hAnsi="Arial" w:cs="Arial"/>
          <w:color w:val="222222"/>
          <w:sz w:val="20"/>
          <w:szCs w:val="20"/>
          <w:shd w:val="clear" w:color="auto" w:fill="FFFFFF"/>
        </w:rPr>
        <w:t xml:space="preserve">, V., </w:t>
      </w:r>
      <w:proofErr w:type="spellStart"/>
      <w:r w:rsidRPr="004C5E87">
        <w:rPr>
          <w:rFonts w:ascii="Arial" w:eastAsia="Times New Roman" w:hAnsi="Arial" w:cs="Arial"/>
          <w:color w:val="222222"/>
          <w:sz w:val="20"/>
          <w:szCs w:val="20"/>
          <w:shd w:val="clear" w:color="auto" w:fill="FFFFFF"/>
        </w:rPr>
        <w:t>Chytrý</w:t>
      </w:r>
      <w:proofErr w:type="spellEnd"/>
      <w:r w:rsidRPr="004C5E87">
        <w:rPr>
          <w:rFonts w:ascii="Arial" w:eastAsia="Times New Roman" w:hAnsi="Arial" w:cs="Arial"/>
          <w:color w:val="222222"/>
          <w:sz w:val="20"/>
          <w:szCs w:val="20"/>
          <w:shd w:val="clear" w:color="auto" w:fill="FFFFFF"/>
        </w:rPr>
        <w:t xml:space="preserve">, M., &amp; </w:t>
      </w:r>
      <w:proofErr w:type="spellStart"/>
      <w:r w:rsidRPr="004C5E87">
        <w:rPr>
          <w:rFonts w:ascii="Arial" w:eastAsia="Times New Roman" w:hAnsi="Arial" w:cs="Arial"/>
          <w:color w:val="222222"/>
          <w:sz w:val="20"/>
          <w:szCs w:val="20"/>
          <w:shd w:val="clear" w:color="auto" w:fill="FFFFFF"/>
        </w:rPr>
        <w:t>Tichý</w:t>
      </w:r>
      <w:proofErr w:type="spellEnd"/>
      <w:r w:rsidRPr="004C5E87">
        <w:rPr>
          <w:rFonts w:ascii="Arial" w:eastAsia="Times New Roman" w:hAnsi="Arial" w:cs="Arial"/>
          <w:color w:val="222222"/>
          <w:sz w:val="20"/>
          <w:szCs w:val="20"/>
          <w:shd w:val="clear" w:color="auto" w:fill="FFFFFF"/>
        </w:rPr>
        <w:t>, L. (2004). Trends in species diversity and composition of urban vegetation over three decades. </w:t>
      </w:r>
      <w:r w:rsidRPr="004C5E87">
        <w:rPr>
          <w:rFonts w:ascii="Arial" w:eastAsia="Times New Roman" w:hAnsi="Arial" w:cs="Arial"/>
          <w:i/>
          <w:iCs/>
          <w:color w:val="222222"/>
          <w:sz w:val="20"/>
          <w:szCs w:val="20"/>
          <w:shd w:val="clear" w:color="auto" w:fill="FFFFFF"/>
        </w:rPr>
        <w:t>Journal of Vegetation Science</w:t>
      </w:r>
      <w:r w:rsidRPr="004C5E87">
        <w:rPr>
          <w:rFonts w:ascii="Arial" w:eastAsia="Times New Roman" w:hAnsi="Arial" w:cs="Arial"/>
          <w:color w:val="222222"/>
          <w:sz w:val="20"/>
          <w:szCs w:val="20"/>
          <w:shd w:val="clear" w:color="auto" w:fill="FFFFFF"/>
        </w:rPr>
        <w:t>, </w:t>
      </w:r>
      <w:r w:rsidRPr="004C5E87">
        <w:rPr>
          <w:rFonts w:ascii="Arial" w:eastAsia="Times New Roman" w:hAnsi="Arial" w:cs="Arial"/>
          <w:i/>
          <w:iCs/>
          <w:color w:val="222222"/>
          <w:sz w:val="20"/>
          <w:szCs w:val="20"/>
          <w:shd w:val="clear" w:color="auto" w:fill="FFFFFF"/>
        </w:rPr>
        <w:t>15</w:t>
      </w:r>
      <w:r w:rsidRPr="004C5E87">
        <w:rPr>
          <w:rFonts w:ascii="Arial" w:eastAsia="Times New Roman" w:hAnsi="Arial" w:cs="Arial"/>
          <w:color w:val="222222"/>
          <w:sz w:val="20"/>
          <w:szCs w:val="20"/>
          <w:shd w:val="clear" w:color="auto" w:fill="FFFFFF"/>
        </w:rPr>
        <w:t>(6), 781-788.</w:t>
      </w:r>
    </w:p>
    <w:p w14:paraId="79D544B5" w14:textId="77777777" w:rsidR="00130EB0" w:rsidRDefault="00130EB0" w:rsidP="00130EB0">
      <w:pPr>
        <w:pStyle w:val="CommentText"/>
      </w:pPr>
    </w:p>
  </w:comment>
  <w:comment w:id="2" w:author="Fidino, Mason" w:date="2020-09-09T16:44:00Z" w:initials="FM">
    <w:p w14:paraId="1958A68C" w14:textId="77777777" w:rsidR="00130EB0" w:rsidRDefault="00130EB0">
      <w:pPr>
        <w:pStyle w:val="CommentText"/>
      </w:pPr>
      <w:r>
        <w:rPr>
          <w:rStyle w:val="CommentReference"/>
        </w:rPr>
        <w:annotationRef/>
      </w:r>
      <w:r>
        <w:t>Had this sentence here but removed it:</w:t>
      </w:r>
    </w:p>
    <w:p w14:paraId="2D79D111" w14:textId="77777777" w:rsidR="00130EB0" w:rsidRDefault="00130EB0">
      <w:pPr>
        <w:pStyle w:val="CommentText"/>
      </w:pPr>
    </w:p>
    <w:p w14:paraId="7476C72A" w14:textId="355635F2" w:rsidR="00130EB0" w:rsidRDefault="00130EB0">
      <w:pPr>
        <w:pStyle w:val="CommentText"/>
      </w:pPr>
      <w:r>
        <w:rPr>
          <w:rFonts w:cstheme="minorHAnsi"/>
          <w:color w:val="1C1D1E"/>
          <w:shd w:val="clear" w:color="auto" w:fill="FFFFFF"/>
        </w:rPr>
        <w:t xml:space="preserve">For most species, after all, a city only represents a portion of </w:t>
      </w:r>
      <w:proofErr w:type="spellStart"/>
      <w:proofErr w:type="gramStart"/>
      <w:r>
        <w:rPr>
          <w:rFonts w:cstheme="minorHAnsi"/>
          <w:color w:val="1C1D1E"/>
          <w:shd w:val="clear" w:color="auto" w:fill="FFFFFF"/>
        </w:rPr>
        <w:t>it’s</w:t>
      </w:r>
      <w:proofErr w:type="spellEnd"/>
      <w:proofErr w:type="gramEnd"/>
      <w:r>
        <w:rPr>
          <w:rFonts w:cstheme="minorHAnsi"/>
          <w:color w:val="1C1D1E"/>
          <w:shd w:val="clear" w:color="auto" w:fill="FFFFFF"/>
        </w:rPr>
        <w:t xml:space="preserve"> overall distribution.</w:t>
      </w:r>
    </w:p>
  </w:comment>
  <w:comment w:id="3" w:author="Fidino, Mason" w:date="2020-09-09T16:17:00Z" w:initials="FM">
    <w:p w14:paraId="05B9CF77" w14:textId="77777777" w:rsidR="00130EB0" w:rsidRDefault="00130EB0" w:rsidP="00130EB0">
      <w:pPr>
        <w:pStyle w:val="CommentText"/>
      </w:pPr>
      <w:r>
        <w:rPr>
          <w:rStyle w:val="CommentReference"/>
        </w:rPr>
        <w:annotationRef/>
      </w:r>
      <w:r>
        <w:t xml:space="preserve">Any help here would be welcome. I think I like this </w:t>
      </w:r>
      <w:proofErr w:type="gramStart"/>
      <w:r>
        <w:t>direction,</w:t>
      </w:r>
      <w:proofErr w:type="gramEnd"/>
      <w:r>
        <w:t xml:space="preserve"> it helps connect some of this to the first paragraph’s ideas a bit, but I can’t really think of a succinct answer here.</w:t>
      </w:r>
    </w:p>
  </w:comment>
  <w:comment w:id="4" w:author="Fidino, Mason" w:date="2020-09-08T15:10:00Z" w:initials="FM">
    <w:p w14:paraId="4458B783" w14:textId="77777777" w:rsidR="00130EB0" w:rsidRDefault="00130EB0" w:rsidP="00130EB0">
      <w:pPr>
        <w:pStyle w:val="CommentText"/>
      </w:pPr>
      <w:r>
        <w:rPr>
          <w:rStyle w:val="CommentReference"/>
        </w:rPr>
        <w:annotationRef/>
      </w:r>
      <w:r>
        <w:t>This feels like a really weak end to this paragraph, any thoughts on how to wrap up this thought and send us on to paragraph 3?</w:t>
      </w:r>
    </w:p>
  </w:comment>
  <w:comment w:id="5" w:author="Fidino, Mason" w:date="2020-09-09T16:19:00Z" w:initials="FM">
    <w:p w14:paraId="1A84E7AC" w14:textId="77777777" w:rsidR="00130EB0" w:rsidRDefault="00130EB0" w:rsidP="00130EB0">
      <w:pPr>
        <w:pStyle w:val="CommentText"/>
      </w:pPr>
      <w:r>
        <w:rPr>
          <w:rStyle w:val="CommentReference"/>
        </w:rPr>
        <w:annotationRef/>
      </w:r>
      <w:r>
        <w:t xml:space="preserve">Do we need a sentence about why birds are a good choice? I had one right after </w:t>
      </w:r>
      <w:proofErr w:type="gramStart"/>
      <w:r>
        <w:t>here</w:t>
      </w:r>
      <w:proofErr w:type="gramEnd"/>
      <w:r>
        <w:t xml:space="preserve"> but I didn’t like it’s place.</w:t>
      </w:r>
    </w:p>
    <w:p w14:paraId="77B8651B" w14:textId="77777777" w:rsidR="00130EB0" w:rsidRDefault="00130EB0" w:rsidP="00130EB0">
      <w:pPr>
        <w:pStyle w:val="CommentText"/>
      </w:pPr>
    </w:p>
    <w:p w14:paraId="780BC2C7" w14:textId="77777777" w:rsidR="00130EB0" w:rsidRDefault="00130EB0" w:rsidP="00130EB0">
      <w:pPr>
        <w:pStyle w:val="CommentText"/>
      </w:pPr>
      <w:r>
        <w:t>Birds likely represent the ideal taxon to study this process. Not only are they diverse, they are widely appreciated by people and relatively to observe, thereby increasing the chances of obtaining accurate historical data sets for comparison.</w:t>
      </w:r>
    </w:p>
  </w:comment>
  <w:comment w:id="6" w:author="Fidino, Mason" w:date="2020-09-09T16:29:00Z" w:initials="FM">
    <w:p w14:paraId="763C43CD" w14:textId="77777777" w:rsidR="00130EB0" w:rsidRDefault="00130EB0" w:rsidP="00130EB0">
      <w:pPr>
        <w:pStyle w:val="CommentText"/>
      </w:pPr>
      <w:r>
        <w:rPr>
          <w:rStyle w:val="CommentReference"/>
        </w:rPr>
        <w:annotationRef/>
      </w:r>
      <w:r>
        <w:t>Should this get changed over to sort of the first note from above (i.e., see if species richness decreased and if we just have a subset of what was there historically?)</w:t>
      </w:r>
    </w:p>
  </w:comment>
  <w:comment w:id="7" w:author="Fidino, Mason [2]" w:date="2020-09-28T15:34:00Z" w:initials="FM">
    <w:p w14:paraId="3E106CDB" w14:textId="77777777" w:rsidR="001B194E" w:rsidRDefault="001B194E" w:rsidP="001B194E">
      <w:pPr>
        <w:pStyle w:val="CommentText"/>
      </w:pPr>
      <w:r>
        <w:rPr>
          <w:rStyle w:val="CommentReference"/>
        </w:rPr>
        <w:annotationRef/>
      </w:r>
      <w:r>
        <w:t>O’Hara, R. B. (2005). How many species can dance on the head of a pin? J. Anim. Ecol. 74, 375-386.</w:t>
      </w:r>
    </w:p>
  </w:comment>
  <w:comment w:id="8" w:author="Fidino, Mason" w:date="2020-09-30T10:55:00Z" w:initials="FM">
    <w:p w14:paraId="4C5C2089" w14:textId="77777777" w:rsidR="00D51B03" w:rsidRPr="00D51B03" w:rsidRDefault="00D51B03" w:rsidP="00D51B03">
      <w:pPr>
        <w:spacing w:after="0" w:line="240" w:lineRule="auto"/>
        <w:rPr>
          <w:rFonts w:ascii="Times New Roman" w:eastAsia="Times New Roman" w:hAnsi="Times New Roman" w:cs="Times New Roman"/>
          <w:sz w:val="24"/>
          <w:szCs w:val="24"/>
        </w:rPr>
      </w:pPr>
      <w:r>
        <w:rPr>
          <w:rStyle w:val="CommentReference"/>
        </w:rPr>
        <w:annotationRef/>
      </w:r>
      <w:proofErr w:type="spellStart"/>
      <w:r w:rsidRPr="00D51B03">
        <w:rPr>
          <w:rFonts w:ascii="Arial" w:eastAsia="Times New Roman" w:hAnsi="Arial" w:cs="Arial"/>
          <w:color w:val="222222"/>
          <w:sz w:val="20"/>
          <w:szCs w:val="20"/>
          <w:shd w:val="clear" w:color="auto" w:fill="FFFFFF"/>
        </w:rPr>
        <w:t>Wilman</w:t>
      </w:r>
      <w:proofErr w:type="spellEnd"/>
      <w:r w:rsidRPr="00D51B03">
        <w:rPr>
          <w:rFonts w:ascii="Arial" w:eastAsia="Times New Roman" w:hAnsi="Arial" w:cs="Arial"/>
          <w:color w:val="222222"/>
          <w:sz w:val="20"/>
          <w:szCs w:val="20"/>
          <w:shd w:val="clear" w:color="auto" w:fill="FFFFFF"/>
        </w:rPr>
        <w:t xml:space="preserve">, H., </w:t>
      </w:r>
      <w:proofErr w:type="spellStart"/>
      <w:r w:rsidRPr="00D51B03">
        <w:rPr>
          <w:rFonts w:ascii="Arial" w:eastAsia="Times New Roman" w:hAnsi="Arial" w:cs="Arial"/>
          <w:color w:val="222222"/>
          <w:sz w:val="20"/>
          <w:szCs w:val="20"/>
          <w:shd w:val="clear" w:color="auto" w:fill="FFFFFF"/>
        </w:rPr>
        <w:t>Belmaker</w:t>
      </w:r>
      <w:proofErr w:type="spellEnd"/>
      <w:r w:rsidRPr="00D51B03">
        <w:rPr>
          <w:rFonts w:ascii="Arial" w:eastAsia="Times New Roman" w:hAnsi="Arial" w:cs="Arial"/>
          <w:color w:val="222222"/>
          <w:sz w:val="20"/>
          <w:szCs w:val="20"/>
          <w:shd w:val="clear" w:color="auto" w:fill="FFFFFF"/>
        </w:rPr>
        <w:t xml:space="preserve">, J., Simpson, J., de la Rosa, C., </w:t>
      </w:r>
      <w:proofErr w:type="spellStart"/>
      <w:r w:rsidRPr="00D51B03">
        <w:rPr>
          <w:rFonts w:ascii="Arial" w:eastAsia="Times New Roman" w:hAnsi="Arial" w:cs="Arial"/>
          <w:color w:val="222222"/>
          <w:sz w:val="20"/>
          <w:szCs w:val="20"/>
          <w:shd w:val="clear" w:color="auto" w:fill="FFFFFF"/>
        </w:rPr>
        <w:t>Rivadeneira</w:t>
      </w:r>
      <w:proofErr w:type="spellEnd"/>
      <w:r w:rsidRPr="00D51B03">
        <w:rPr>
          <w:rFonts w:ascii="Arial" w:eastAsia="Times New Roman" w:hAnsi="Arial" w:cs="Arial"/>
          <w:color w:val="222222"/>
          <w:sz w:val="20"/>
          <w:szCs w:val="20"/>
          <w:shd w:val="clear" w:color="auto" w:fill="FFFFFF"/>
        </w:rPr>
        <w:t xml:space="preserve">, M. M., &amp; </w:t>
      </w:r>
      <w:proofErr w:type="spellStart"/>
      <w:r w:rsidRPr="00D51B03">
        <w:rPr>
          <w:rFonts w:ascii="Arial" w:eastAsia="Times New Roman" w:hAnsi="Arial" w:cs="Arial"/>
          <w:color w:val="222222"/>
          <w:sz w:val="20"/>
          <w:szCs w:val="20"/>
          <w:shd w:val="clear" w:color="auto" w:fill="FFFFFF"/>
        </w:rPr>
        <w:t>Jetz</w:t>
      </w:r>
      <w:proofErr w:type="spellEnd"/>
      <w:r w:rsidRPr="00D51B03">
        <w:rPr>
          <w:rFonts w:ascii="Arial" w:eastAsia="Times New Roman" w:hAnsi="Arial" w:cs="Arial"/>
          <w:color w:val="222222"/>
          <w:sz w:val="20"/>
          <w:szCs w:val="20"/>
          <w:shd w:val="clear" w:color="auto" w:fill="FFFFFF"/>
        </w:rPr>
        <w:t xml:space="preserve">, W. (2014). </w:t>
      </w:r>
      <w:proofErr w:type="spellStart"/>
      <w:r w:rsidRPr="00D51B03">
        <w:rPr>
          <w:rFonts w:ascii="Arial" w:eastAsia="Times New Roman" w:hAnsi="Arial" w:cs="Arial"/>
          <w:color w:val="222222"/>
          <w:sz w:val="20"/>
          <w:szCs w:val="20"/>
          <w:shd w:val="clear" w:color="auto" w:fill="FFFFFF"/>
        </w:rPr>
        <w:t>EltonTraits</w:t>
      </w:r>
      <w:proofErr w:type="spellEnd"/>
      <w:r w:rsidRPr="00D51B03">
        <w:rPr>
          <w:rFonts w:ascii="Arial" w:eastAsia="Times New Roman" w:hAnsi="Arial" w:cs="Arial"/>
          <w:color w:val="222222"/>
          <w:sz w:val="20"/>
          <w:szCs w:val="20"/>
          <w:shd w:val="clear" w:color="auto" w:fill="FFFFFF"/>
        </w:rPr>
        <w:t xml:space="preserve"> 1.0: Species</w:t>
      </w:r>
      <w:r w:rsidRPr="00D51B03">
        <w:rPr>
          <w:rFonts w:ascii="Cambria Math" w:eastAsia="Times New Roman" w:hAnsi="Cambria Math" w:cs="Cambria Math"/>
          <w:color w:val="222222"/>
          <w:sz w:val="20"/>
          <w:szCs w:val="20"/>
          <w:shd w:val="clear" w:color="auto" w:fill="FFFFFF"/>
        </w:rPr>
        <w:t>‐</w:t>
      </w:r>
      <w:r w:rsidRPr="00D51B03">
        <w:rPr>
          <w:rFonts w:ascii="Arial" w:eastAsia="Times New Roman" w:hAnsi="Arial" w:cs="Arial"/>
          <w:color w:val="222222"/>
          <w:sz w:val="20"/>
          <w:szCs w:val="20"/>
          <w:shd w:val="clear" w:color="auto" w:fill="FFFFFF"/>
        </w:rPr>
        <w:t>level foraging attributes of the world's birds and mammals: Ecological Archives E095</w:t>
      </w:r>
      <w:r w:rsidRPr="00D51B03">
        <w:rPr>
          <w:rFonts w:ascii="Cambria Math" w:eastAsia="Times New Roman" w:hAnsi="Cambria Math" w:cs="Cambria Math"/>
          <w:color w:val="222222"/>
          <w:sz w:val="20"/>
          <w:szCs w:val="20"/>
          <w:shd w:val="clear" w:color="auto" w:fill="FFFFFF"/>
        </w:rPr>
        <w:t>‐</w:t>
      </w:r>
      <w:r w:rsidRPr="00D51B03">
        <w:rPr>
          <w:rFonts w:ascii="Arial" w:eastAsia="Times New Roman" w:hAnsi="Arial" w:cs="Arial"/>
          <w:color w:val="222222"/>
          <w:sz w:val="20"/>
          <w:szCs w:val="20"/>
          <w:shd w:val="clear" w:color="auto" w:fill="FFFFFF"/>
        </w:rPr>
        <w:t>178. </w:t>
      </w:r>
      <w:r w:rsidRPr="00D51B03">
        <w:rPr>
          <w:rFonts w:ascii="Arial" w:eastAsia="Times New Roman" w:hAnsi="Arial" w:cs="Arial"/>
          <w:i/>
          <w:iCs/>
          <w:color w:val="222222"/>
          <w:sz w:val="20"/>
          <w:szCs w:val="20"/>
          <w:shd w:val="clear" w:color="auto" w:fill="FFFFFF"/>
        </w:rPr>
        <w:t>Ecology</w:t>
      </w:r>
      <w:r w:rsidRPr="00D51B03">
        <w:rPr>
          <w:rFonts w:ascii="Arial" w:eastAsia="Times New Roman" w:hAnsi="Arial" w:cs="Arial"/>
          <w:color w:val="222222"/>
          <w:sz w:val="20"/>
          <w:szCs w:val="20"/>
          <w:shd w:val="clear" w:color="auto" w:fill="FFFFFF"/>
        </w:rPr>
        <w:t>, </w:t>
      </w:r>
      <w:r w:rsidRPr="00D51B03">
        <w:rPr>
          <w:rFonts w:ascii="Arial" w:eastAsia="Times New Roman" w:hAnsi="Arial" w:cs="Arial"/>
          <w:i/>
          <w:iCs/>
          <w:color w:val="222222"/>
          <w:sz w:val="20"/>
          <w:szCs w:val="20"/>
          <w:shd w:val="clear" w:color="auto" w:fill="FFFFFF"/>
        </w:rPr>
        <w:t>95</w:t>
      </w:r>
      <w:r w:rsidRPr="00D51B03">
        <w:rPr>
          <w:rFonts w:ascii="Arial" w:eastAsia="Times New Roman" w:hAnsi="Arial" w:cs="Arial"/>
          <w:color w:val="222222"/>
          <w:sz w:val="20"/>
          <w:szCs w:val="20"/>
          <w:shd w:val="clear" w:color="auto" w:fill="FFFFFF"/>
        </w:rPr>
        <w:t>(7), 2027-2027.</w:t>
      </w:r>
    </w:p>
    <w:p w14:paraId="064D65FE" w14:textId="0558FE3E" w:rsidR="00D51B03" w:rsidRDefault="00D51B03">
      <w:pPr>
        <w:pStyle w:val="CommentText"/>
      </w:pPr>
    </w:p>
  </w:comment>
  <w:comment w:id="9" w:author="Fidino, Mason" w:date="2020-09-30T14:14:00Z" w:initials="FM">
    <w:p w14:paraId="5E179594" w14:textId="77777777" w:rsidR="00F95564" w:rsidRPr="00F95564" w:rsidRDefault="00F95564" w:rsidP="00F95564">
      <w:pPr>
        <w:spacing w:after="0" w:line="240" w:lineRule="auto"/>
        <w:rPr>
          <w:rFonts w:ascii="Times New Roman" w:eastAsia="Times New Roman" w:hAnsi="Times New Roman" w:cs="Times New Roman"/>
          <w:sz w:val="24"/>
          <w:szCs w:val="24"/>
        </w:rPr>
      </w:pPr>
      <w:r>
        <w:rPr>
          <w:rStyle w:val="CommentReference"/>
        </w:rPr>
        <w:annotationRef/>
      </w:r>
      <w:r w:rsidRPr="00F95564">
        <w:rPr>
          <w:rFonts w:ascii="Arial" w:eastAsia="Times New Roman" w:hAnsi="Arial" w:cs="Arial"/>
          <w:color w:val="222222"/>
          <w:sz w:val="27"/>
          <w:szCs w:val="27"/>
          <w:shd w:val="clear" w:color="auto" w:fill="FFFFFF"/>
        </w:rPr>
        <w:t>Stan Development Team. 2018. </w:t>
      </w:r>
      <w:r w:rsidRPr="00F95564">
        <w:rPr>
          <w:rFonts w:ascii="Arial" w:eastAsia="Times New Roman" w:hAnsi="Arial" w:cs="Arial"/>
          <w:i/>
          <w:iCs/>
          <w:color w:val="222222"/>
          <w:sz w:val="27"/>
          <w:szCs w:val="27"/>
          <w:shd w:val="clear" w:color="auto" w:fill="FFFFFF"/>
        </w:rPr>
        <w:t>The Stan Core Library</w:t>
      </w:r>
      <w:r w:rsidRPr="00F95564">
        <w:rPr>
          <w:rFonts w:ascii="Arial" w:eastAsia="Times New Roman" w:hAnsi="Arial" w:cs="Arial"/>
          <w:color w:val="222222"/>
          <w:sz w:val="27"/>
          <w:szCs w:val="27"/>
          <w:shd w:val="clear" w:color="auto" w:fill="FFFFFF"/>
        </w:rPr>
        <w:t>, Version 2.18.0.   </w:t>
      </w:r>
      <w:r w:rsidRPr="00F95564">
        <w:rPr>
          <w:rFonts w:ascii="Courier New" w:eastAsia="Times New Roman" w:hAnsi="Courier New" w:cs="Courier New"/>
          <w:color w:val="222222"/>
          <w:sz w:val="26"/>
          <w:szCs w:val="26"/>
          <w:shd w:val="clear" w:color="auto" w:fill="FFFFFF"/>
        </w:rPr>
        <w:t>http://mc-stan.org</w:t>
      </w:r>
    </w:p>
    <w:p w14:paraId="0B1F810C" w14:textId="49D23C76" w:rsidR="00F95564" w:rsidRDefault="00F95564">
      <w:pPr>
        <w:pStyle w:val="CommentText"/>
      </w:pPr>
    </w:p>
  </w:comment>
  <w:comment w:id="10" w:author="Fidino, Mason" w:date="2020-09-30T14:13:00Z" w:initials="FM">
    <w:p w14:paraId="471BE004" w14:textId="77777777" w:rsidR="00F95564" w:rsidRDefault="00F95564" w:rsidP="00F95564">
      <w:pPr>
        <w:pStyle w:val="CommentText"/>
      </w:pPr>
      <w:r>
        <w:rPr>
          <w:rStyle w:val="CommentReference"/>
        </w:rPr>
        <w:annotationRef/>
      </w:r>
      <w:r>
        <w:t xml:space="preserve">Goodrich B, </w:t>
      </w:r>
      <w:proofErr w:type="spellStart"/>
      <w:r>
        <w:t>Gabry</w:t>
      </w:r>
      <w:proofErr w:type="spellEnd"/>
      <w:r>
        <w:t xml:space="preserve"> J, Ali I &amp; </w:t>
      </w:r>
      <w:proofErr w:type="spellStart"/>
      <w:r>
        <w:t>Brilleman</w:t>
      </w:r>
      <w:proofErr w:type="spellEnd"/>
      <w:r>
        <w:t xml:space="preserve"> S. (2018). </w:t>
      </w:r>
      <w:proofErr w:type="spellStart"/>
      <w:r>
        <w:t>rstanarm</w:t>
      </w:r>
      <w:proofErr w:type="spellEnd"/>
      <w:r>
        <w:t>:</w:t>
      </w:r>
    </w:p>
    <w:p w14:paraId="136DCB81" w14:textId="77777777" w:rsidR="00F95564" w:rsidRDefault="00F95564" w:rsidP="00F95564">
      <w:pPr>
        <w:pStyle w:val="CommentText"/>
      </w:pPr>
      <w:r>
        <w:t xml:space="preserve">  Bayesian applied regression modeling via Stan. R package</w:t>
      </w:r>
    </w:p>
    <w:p w14:paraId="1288A2C0" w14:textId="7624C35D" w:rsidR="00F95564" w:rsidRDefault="00F95564" w:rsidP="00F95564">
      <w:pPr>
        <w:pStyle w:val="CommentText"/>
      </w:pPr>
      <w:r>
        <w:t xml:space="preserve">  version 2.17.4.</w:t>
      </w:r>
    </w:p>
  </w:comment>
  <w:comment w:id="11" w:author="Fidino, Mason" w:date="2020-09-30T16:45:00Z" w:initials="FM">
    <w:p w14:paraId="086D729D" w14:textId="0F26999A" w:rsidR="00BE261A" w:rsidRDefault="00BE261A">
      <w:pPr>
        <w:pStyle w:val="CommentText"/>
      </w:pPr>
      <w:r>
        <w:rPr>
          <w:rStyle w:val="CommentReference"/>
        </w:rPr>
        <w:annotationRef/>
      </w:r>
      <w:r>
        <w:t>This may be a kill your darlings thing here, not sure if this is completely necessary to tell our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F028C" w15:done="0"/>
  <w15:commentEx w15:paraId="79D544B5" w15:done="0"/>
  <w15:commentEx w15:paraId="7476C72A" w15:done="0"/>
  <w15:commentEx w15:paraId="05B9CF77" w15:done="0"/>
  <w15:commentEx w15:paraId="4458B783" w15:done="0"/>
  <w15:commentEx w15:paraId="780BC2C7" w15:done="0"/>
  <w15:commentEx w15:paraId="763C43CD" w15:done="0"/>
  <w15:commentEx w15:paraId="3E106CDB" w15:done="0"/>
  <w15:commentEx w15:paraId="064D65FE" w15:done="0"/>
  <w15:commentEx w15:paraId="0B1F810C" w15:done="0"/>
  <w15:commentEx w15:paraId="1288A2C0" w15:done="0"/>
  <w15:commentEx w15:paraId="086D72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847C" w16cex:dateUtc="2020-09-09T21:42:00Z"/>
  <w16cex:commentExtensible w16cex:durableId="23022087" w16cex:dateUtc="2020-09-08T20:23:00Z"/>
  <w16cex:commentExtensible w16cex:durableId="230384F5" w16cex:dateUtc="2020-09-09T21:44:00Z"/>
  <w16cex:commentExtensible w16cex:durableId="23037E84" w16cex:dateUtc="2020-09-09T21:17:00Z"/>
  <w16cex:commentExtensible w16cex:durableId="23021D48" w16cex:dateUtc="2020-09-08T20:10:00Z"/>
  <w16cex:commentExtensible w16cex:durableId="23037F0D" w16cex:dateUtc="2020-09-09T21:19:00Z"/>
  <w16cex:commentExtensible w16cex:durableId="2303816A" w16cex:dateUtc="2020-09-09T21:29:00Z"/>
  <w16cex:commentExtensible w16cex:durableId="231EE285" w16cex:dateUtc="2020-09-30T15:55:00Z"/>
  <w16cex:commentExtensible w16cex:durableId="231F1135" w16cex:dateUtc="2020-09-30T19:14:00Z"/>
  <w16cex:commentExtensible w16cex:durableId="231F10EC" w16cex:dateUtc="2020-09-30T19:13:00Z"/>
  <w16cex:commentExtensible w16cex:durableId="231F34A2" w16cex:dateUtc="2020-09-3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F028C" w16cid:durableId="2303847C"/>
  <w16cid:commentId w16cid:paraId="79D544B5" w16cid:durableId="23022087"/>
  <w16cid:commentId w16cid:paraId="7476C72A" w16cid:durableId="230384F5"/>
  <w16cid:commentId w16cid:paraId="05B9CF77" w16cid:durableId="23037E84"/>
  <w16cid:commentId w16cid:paraId="4458B783" w16cid:durableId="23021D48"/>
  <w16cid:commentId w16cid:paraId="780BC2C7" w16cid:durableId="23037F0D"/>
  <w16cid:commentId w16cid:paraId="763C43CD" w16cid:durableId="2303816A"/>
  <w16cid:commentId w16cid:paraId="3E106CDB" w16cid:durableId="231C8108"/>
  <w16cid:commentId w16cid:paraId="064D65FE" w16cid:durableId="231EE285"/>
  <w16cid:commentId w16cid:paraId="0B1F810C" w16cid:durableId="231F1135"/>
  <w16cid:commentId w16cid:paraId="1288A2C0" w16cid:durableId="231F10EC"/>
  <w16cid:commentId w16cid:paraId="086D729D" w16cid:durableId="231F3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A46ED"/>
    <w:multiLevelType w:val="hybridMultilevel"/>
    <w:tmpl w:val="FD1CC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A741C"/>
    <w:multiLevelType w:val="hybridMultilevel"/>
    <w:tmpl w:val="255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dino, Mason">
    <w15:presenceInfo w15:providerId="AD" w15:userId="S::mfidino@lpzoo.org::25d99e7c-47a8-4e5d-bd6c-7e79826230b0"/>
  </w15:person>
  <w15:person w15:author="Fidino, Mason [2]">
    <w15:presenceInfo w15:providerId="None" w15:userId="Fidino, M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0"/>
    <w:rsid w:val="00037388"/>
    <w:rsid w:val="00074BB9"/>
    <w:rsid w:val="000C4DD7"/>
    <w:rsid w:val="00130EB0"/>
    <w:rsid w:val="001B194E"/>
    <w:rsid w:val="0025192E"/>
    <w:rsid w:val="002B1B03"/>
    <w:rsid w:val="003035AB"/>
    <w:rsid w:val="00317AC2"/>
    <w:rsid w:val="00334305"/>
    <w:rsid w:val="003F0125"/>
    <w:rsid w:val="003F5555"/>
    <w:rsid w:val="0040684A"/>
    <w:rsid w:val="00417BEE"/>
    <w:rsid w:val="00436039"/>
    <w:rsid w:val="00447BCA"/>
    <w:rsid w:val="004D704C"/>
    <w:rsid w:val="004F0A62"/>
    <w:rsid w:val="004F4533"/>
    <w:rsid w:val="005341DA"/>
    <w:rsid w:val="00550EE5"/>
    <w:rsid w:val="005629B9"/>
    <w:rsid w:val="00573818"/>
    <w:rsid w:val="005A579B"/>
    <w:rsid w:val="006570A2"/>
    <w:rsid w:val="0068437B"/>
    <w:rsid w:val="006B6FF4"/>
    <w:rsid w:val="007D3501"/>
    <w:rsid w:val="008F2936"/>
    <w:rsid w:val="00942C83"/>
    <w:rsid w:val="00967D09"/>
    <w:rsid w:val="009E195D"/>
    <w:rsid w:val="00BE261A"/>
    <w:rsid w:val="00BF4453"/>
    <w:rsid w:val="00C0224B"/>
    <w:rsid w:val="00C44797"/>
    <w:rsid w:val="00D51B03"/>
    <w:rsid w:val="00EA6A5A"/>
    <w:rsid w:val="00F95564"/>
    <w:rsid w:val="00FA37AB"/>
    <w:rsid w:val="00FB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4CB5"/>
  <w15:chartTrackingRefBased/>
  <w15:docId w15:val="{F6D5022B-ECB0-1546-845B-B081D976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B0"/>
    <w:pPr>
      <w:spacing w:after="160" w:line="259" w:lineRule="auto"/>
    </w:pPr>
    <w:rPr>
      <w:sz w:val="22"/>
      <w:szCs w:val="22"/>
    </w:rPr>
  </w:style>
  <w:style w:type="paragraph" w:styleId="Heading1">
    <w:name w:val="heading 1"/>
    <w:basedOn w:val="Normal"/>
    <w:next w:val="Normal"/>
    <w:link w:val="Heading1Char"/>
    <w:uiPriority w:val="9"/>
    <w:qFormat/>
    <w:rsid w:val="00EA6A5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A6A5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EB0"/>
    <w:rPr>
      <w:sz w:val="16"/>
      <w:szCs w:val="16"/>
    </w:rPr>
  </w:style>
  <w:style w:type="paragraph" w:styleId="CommentText">
    <w:name w:val="annotation text"/>
    <w:basedOn w:val="Normal"/>
    <w:link w:val="CommentTextChar"/>
    <w:uiPriority w:val="99"/>
    <w:semiHidden/>
    <w:unhideWhenUsed/>
    <w:rsid w:val="00130EB0"/>
    <w:pPr>
      <w:spacing w:line="240" w:lineRule="auto"/>
    </w:pPr>
    <w:rPr>
      <w:sz w:val="20"/>
      <w:szCs w:val="20"/>
    </w:rPr>
  </w:style>
  <w:style w:type="character" w:customStyle="1" w:styleId="CommentTextChar">
    <w:name w:val="Comment Text Char"/>
    <w:basedOn w:val="DefaultParagraphFont"/>
    <w:link w:val="CommentText"/>
    <w:uiPriority w:val="99"/>
    <w:semiHidden/>
    <w:rsid w:val="00130EB0"/>
    <w:rPr>
      <w:sz w:val="20"/>
      <w:szCs w:val="20"/>
    </w:rPr>
  </w:style>
  <w:style w:type="paragraph" w:styleId="BalloonText">
    <w:name w:val="Balloon Text"/>
    <w:basedOn w:val="Normal"/>
    <w:link w:val="BalloonTextChar"/>
    <w:uiPriority w:val="99"/>
    <w:semiHidden/>
    <w:unhideWhenUsed/>
    <w:rsid w:val="00130E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E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30EB0"/>
    <w:rPr>
      <w:b/>
      <w:bCs/>
    </w:rPr>
  </w:style>
  <w:style w:type="character" w:customStyle="1" w:styleId="CommentSubjectChar">
    <w:name w:val="Comment Subject Char"/>
    <w:basedOn w:val="CommentTextChar"/>
    <w:link w:val="CommentSubject"/>
    <w:uiPriority w:val="99"/>
    <w:semiHidden/>
    <w:rsid w:val="00130EB0"/>
    <w:rPr>
      <w:b/>
      <w:bCs/>
      <w:sz w:val="20"/>
      <w:szCs w:val="20"/>
    </w:rPr>
  </w:style>
  <w:style w:type="character" w:customStyle="1" w:styleId="Heading1Char">
    <w:name w:val="Heading 1 Char"/>
    <w:basedOn w:val="DefaultParagraphFont"/>
    <w:link w:val="Heading1"/>
    <w:uiPriority w:val="9"/>
    <w:rsid w:val="00EA6A5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A6A5A"/>
    <w:rPr>
      <w:rFonts w:asciiTheme="majorHAnsi" w:eastAsiaTheme="majorEastAsia" w:hAnsiTheme="majorHAnsi" w:cstheme="majorBidi"/>
      <w:sz w:val="26"/>
      <w:szCs w:val="26"/>
    </w:rPr>
  </w:style>
  <w:style w:type="paragraph" w:styleId="ListParagraph">
    <w:name w:val="List Paragraph"/>
    <w:basedOn w:val="Normal"/>
    <w:uiPriority w:val="34"/>
    <w:qFormat/>
    <w:rsid w:val="003035AB"/>
    <w:pPr>
      <w:ind w:left="720"/>
      <w:contextualSpacing/>
    </w:pPr>
  </w:style>
  <w:style w:type="character" w:styleId="HTMLTypewriter">
    <w:name w:val="HTML Typewriter"/>
    <w:basedOn w:val="DefaultParagraphFont"/>
    <w:uiPriority w:val="99"/>
    <w:semiHidden/>
    <w:unhideWhenUsed/>
    <w:rsid w:val="00F95564"/>
    <w:rPr>
      <w:rFonts w:ascii="Courier New" w:eastAsia="Times New Roman" w:hAnsi="Courier New" w:cs="Courier New"/>
      <w:sz w:val="20"/>
      <w:szCs w:val="20"/>
    </w:rPr>
  </w:style>
  <w:style w:type="table" w:styleId="TableGrid">
    <w:name w:val="Table Grid"/>
    <w:basedOn w:val="TableNormal"/>
    <w:uiPriority w:val="39"/>
    <w:rsid w:val="008F293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6423">
      <w:bodyDiv w:val="1"/>
      <w:marLeft w:val="0"/>
      <w:marRight w:val="0"/>
      <w:marTop w:val="0"/>
      <w:marBottom w:val="0"/>
      <w:divBdr>
        <w:top w:val="none" w:sz="0" w:space="0" w:color="auto"/>
        <w:left w:val="none" w:sz="0" w:space="0" w:color="auto"/>
        <w:bottom w:val="none" w:sz="0" w:space="0" w:color="auto"/>
        <w:right w:val="none" w:sz="0" w:space="0" w:color="auto"/>
      </w:divBdr>
    </w:div>
    <w:div w:id="1900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7</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9</cp:revision>
  <dcterms:created xsi:type="dcterms:W3CDTF">2020-09-09T21:35:00Z</dcterms:created>
  <dcterms:modified xsi:type="dcterms:W3CDTF">2020-10-28T21:08:00Z</dcterms:modified>
</cp:coreProperties>
</file>