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CD43" w14:textId="77777777" w:rsidR="007D3BEB" w:rsidRPr="00B80C69" w:rsidRDefault="006E14BE" w:rsidP="004D433E">
      <w:pPr>
        <w:pStyle w:val="Heading1"/>
      </w:pPr>
      <w:r w:rsidRPr="00B80C69">
        <w:t>Introduction</w:t>
      </w:r>
    </w:p>
    <w:p w14:paraId="6FB150E3" w14:textId="77777777" w:rsidR="006E14BE" w:rsidRDefault="006E14BE"/>
    <w:p w14:paraId="00791499" w14:textId="31AE6D53" w:rsidR="00A6337D" w:rsidRDefault="00DC50C7" w:rsidP="00A6337D">
      <w:r>
        <w:t>Urbanization is changing the face of our planet (</w:t>
      </w:r>
      <w:proofErr w:type="spellStart"/>
      <w:r>
        <w:t>Acuto</w:t>
      </w:r>
      <w:proofErr w:type="spellEnd"/>
      <w:r>
        <w:t xml:space="preserve"> et al. 2018). </w:t>
      </w:r>
      <w:r w:rsidR="00CD60D2">
        <w:t xml:space="preserve">Not only do more people live in urban areas </w:t>
      </w:r>
      <w:r w:rsidR="006D6BAB">
        <w:t>worldwide</w:t>
      </w:r>
      <w:r>
        <w:t>,</w:t>
      </w:r>
      <w:r w:rsidR="001C2C6E">
        <w:t xml:space="preserve"> </w:t>
      </w:r>
      <w:r w:rsidR="00014306">
        <w:t xml:space="preserve">but </w:t>
      </w:r>
      <w:r w:rsidR="001C2C6E">
        <w:t>urban areas</w:t>
      </w:r>
      <w:r w:rsidR="00E302C3">
        <w:t xml:space="preserve"> </w:t>
      </w:r>
      <w:r w:rsidR="00CD60D2">
        <w:t xml:space="preserve">are </w:t>
      </w:r>
      <w:r w:rsidR="00014306">
        <w:t xml:space="preserve">also </w:t>
      </w:r>
      <w:r w:rsidR="001C2C6E">
        <w:t>expan</w:t>
      </w:r>
      <w:r w:rsidR="00071AD5">
        <w:t>d</w:t>
      </w:r>
      <w:r w:rsidR="00CD60D2">
        <w:t>ing</w:t>
      </w:r>
      <w:r w:rsidR="001C2C6E">
        <w:t xml:space="preserve"> at about twice the rate of their population size</w:t>
      </w:r>
      <w:r w:rsidR="00CD60D2">
        <w:t xml:space="preserve"> </w:t>
      </w:r>
      <w:r w:rsidR="001C2C6E">
        <w:t>(Angel et al. 2011). This u</w:t>
      </w:r>
      <w:r w:rsidR="006E6912">
        <w:t>rban</w:t>
      </w:r>
      <w:r w:rsidR="00A6337D">
        <w:t xml:space="preserve"> expansion</w:t>
      </w:r>
      <w:r w:rsidR="00B81992">
        <w:t>, combined with an increasing urban population,</w:t>
      </w:r>
      <w:r w:rsidR="00A6337D">
        <w:t xml:space="preserve"> drives global environmental change and threatens biodiversity</w:t>
      </w:r>
      <w:r w:rsidR="00F15826">
        <w:t xml:space="preserve"> worldwide</w:t>
      </w:r>
      <w:r w:rsidR="00A6337D">
        <w:t xml:space="preserve"> (Grimm et al. 2008, </w:t>
      </w:r>
      <w:proofErr w:type="spellStart"/>
      <w:r w:rsidR="00A6337D">
        <w:t>Seto</w:t>
      </w:r>
      <w:proofErr w:type="spellEnd"/>
      <w:r w:rsidR="00A6337D">
        <w:t xml:space="preserve"> et al. 2012)</w:t>
      </w:r>
      <w:r w:rsidR="00F15826">
        <w:t xml:space="preserve">. </w:t>
      </w:r>
      <w:commentRangeStart w:id="0"/>
      <w:r w:rsidR="00B81992">
        <w:t xml:space="preserve">And although a small percentile of Earth’s total land cover is classified as urban, the cumulative effects of urbanization on the planet </w:t>
      </w:r>
      <w:r w:rsidR="00CD60D2">
        <w:t>are immense</w:t>
      </w:r>
      <w:r w:rsidR="00B81992">
        <w:t xml:space="preserve"> (Schneider et al. 2010). </w:t>
      </w:r>
      <w:commentRangeEnd w:id="0"/>
      <w:r w:rsidR="00E302C3">
        <w:rPr>
          <w:rStyle w:val="CommentReference"/>
        </w:rPr>
        <w:commentReference w:id="0"/>
      </w:r>
      <w:commentRangeStart w:id="1"/>
      <w:r w:rsidR="00B81992">
        <w:t>Thus, there is a great need to</w:t>
      </w:r>
      <w:r w:rsidR="006A2F3B">
        <w:t xml:space="preserve"> understand how</w:t>
      </w:r>
      <w:r w:rsidR="006E6912">
        <w:t xml:space="preserve"> urbanization influences</w:t>
      </w:r>
      <w:r w:rsidR="006A2F3B">
        <w:t xml:space="preserve"> </w:t>
      </w:r>
      <w:r w:rsidR="006D6BAB">
        <w:t>Earth’s ecology and</w:t>
      </w:r>
      <w:r w:rsidR="00071AD5">
        <w:t xml:space="preserve"> – possibly due to this need – rates of urban ecological research have dramatically increased in recent decades</w:t>
      </w:r>
      <w:r w:rsidR="00CD60D2">
        <w:t xml:space="preserve"> </w:t>
      </w:r>
      <w:r w:rsidR="006A2F3B">
        <w:t xml:space="preserve"> </w:t>
      </w:r>
      <w:commentRangeEnd w:id="1"/>
      <w:r w:rsidR="00B81992">
        <w:rPr>
          <w:rStyle w:val="CommentReference"/>
        </w:rPr>
        <w:commentReference w:id="1"/>
      </w:r>
      <w:r w:rsidR="006A2F3B">
        <w:t>(Magle et al. 2012, Fidino and Magle, 2017, SOME OTHER REVIEW).</w:t>
      </w:r>
      <w:r w:rsidR="00CD60D2">
        <w:t xml:space="preserve"> </w:t>
      </w:r>
    </w:p>
    <w:p w14:paraId="4A30E1DF" w14:textId="7FCA9056" w:rsidR="00CD60D2" w:rsidRDefault="00CD60D2" w:rsidP="00A6337D"/>
    <w:p w14:paraId="6966F151" w14:textId="5A4EE31D" w:rsidR="00B3184A" w:rsidRDefault="00A130C0" w:rsidP="00A6337D">
      <w:r>
        <w:t xml:space="preserve">While urban ecological research </w:t>
      </w:r>
      <w:r w:rsidR="00453A1B">
        <w:t>is increasing</w:t>
      </w:r>
      <w:r>
        <w:t>, m</w:t>
      </w:r>
      <w:r w:rsidR="0046353F">
        <w:t xml:space="preserve">ost </w:t>
      </w:r>
      <w:r>
        <w:t>studies</w:t>
      </w:r>
      <w:r w:rsidR="0046353F">
        <w:t xml:space="preserve"> </w:t>
      </w:r>
      <w:r w:rsidR="001E4C38">
        <w:t>occur with</w:t>
      </w:r>
      <w:r w:rsidR="0046353F">
        <w:t>in a single city</w:t>
      </w:r>
      <w:r>
        <w:t xml:space="preserve"> which limit</w:t>
      </w:r>
      <w:r w:rsidR="00014306">
        <w:t>s</w:t>
      </w:r>
      <w:r>
        <w:t xml:space="preserve"> our understanding of urban ecosystems</w:t>
      </w:r>
      <w:r w:rsidR="0046353F">
        <w:t xml:space="preserve"> (Magle et al. 2019).</w:t>
      </w:r>
      <w:r w:rsidR="00B35FB5">
        <w:t xml:space="preserve"> While single-city research </w:t>
      </w:r>
      <w:r w:rsidR="001E4C38">
        <w:t>can</w:t>
      </w:r>
      <w:r>
        <w:t xml:space="preserve">, for example, </w:t>
      </w:r>
      <w:r w:rsidR="00FF0225">
        <w:t>identif</w:t>
      </w:r>
      <w:r w:rsidR="001E4C38">
        <w:t>y</w:t>
      </w:r>
      <w:r w:rsidR="00B35FB5">
        <w:t xml:space="preserve"> how species respond to urbanization locally, it is difficult to extrapolate </w:t>
      </w:r>
      <w:r w:rsidR="00014306">
        <w:t>these</w:t>
      </w:r>
      <w:r w:rsidR="00FF0225">
        <w:t xml:space="preserve"> </w:t>
      </w:r>
      <w:r w:rsidR="00B35FB5">
        <w:t xml:space="preserve">findings </w:t>
      </w:r>
      <w:r w:rsidR="00453A1B">
        <w:t>to other</w:t>
      </w:r>
      <w:r w:rsidR="00B35FB5">
        <w:t xml:space="preserve"> cities</w:t>
      </w:r>
      <w:r w:rsidR="00453A1B">
        <w:t xml:space="preserve"> that</w:t>
      </w:r>
      <w:r w:rsidR="00FF0225">
        <w:t xml:space="preserve"> </w:t>
      </w:r>
      <w:r w:rsidR="00B35FB5">
        <w:t xml:space="preserve">vary in age, </w:t>
      </w:r>
      <w:r w:rsidR="00EF5117">
        <w:t>cityscape structure</w:t>
      </w:r>
      <w:r w:rsidR="00B35FB5">
        <w:t xml:space="preserve">, size, </w:t>
      </w:r>
      <w:r w:rsidR="00FF0225">
        <w:t xml:space="preserve">climate, </w:t>
      </w:r>
      <w:r w:rsidR="006D6BAB">
        <w:t>or</w:t>
      </w:r>
      <w:r w:rsidR="00B35FB5">
        <w:t xml:space="preserve"> </w:t>
      </w:r>
      <w:r w:rsidR="00453A1B">
        <w:t xml:space="preserve">human </w:t>
      </w:r>
      <w:r w:rsidR="00B35FB5">
        <w:t>population density (Aronson et al. 2016</w:t>
      </w:r>
      <w:r w:rsidR="00FF0225">
        <w:t>, Magle et al. 2019</w:t>
      </w:r>
      <w:r w:rsidR="00B35FB5">
        <w:t>).</w:t>
      </w:r>
      <w:r w:rsidR="00FF0225">
        <w:t xml:space="preserve"> </w:t>
      </w:r>
      <w:r w:rsidR="004C68F9">
        <w:t xml:space="preserve">Differences </w:t>
      </w:r>
      <w:r w:rsidR="00121DFE">
        <w:t>in</w:t>
      </w:r>
      <w:r w:rsidR="004C68F9">
        <w:t xml:space="preserve"> land-cover and age</w:t>
      </w:r>
      <w:r w:rsidR="00121DFE">
        <w:t xml:space="preserve"> between cities</w:t>
      </w:r>
      <w:r w:rsidR="004C68F9">
        <w:t xml:space="preserve">, for example, </w:t>
      </w:r>
      <w:r w:rsidR="00BE4162">
        <w:t>are</w:t>
      </w:r>
      <w:r w:rsidR="001767F5">
        <w:t xml:space="preserve"> correlated to differences in</w:t>
      </w:r>
      <w:r w:rsidR="004C68F9">
        <w:t xml:space="preserve"> bird and plant </w:t>
      </w:r>
      <w:commentRangeStart w:id="2"/>
      <w:r w:rsidR="004C68F9">
        <w:t>richness</w:t>
      </w:r>
      <w:commentRangeEnd w:id="2"/>
      <w:r w:rsidR="00B12EB1">
        <w:rPr>
          <w:rStyle w:val="CommentReference"/>
        </w:rPr>
        <w:commentReference w:id="2"/>
      </w:r>
      <w:r w:rsidR="00014306">
        <w:t xml:space="preserve"> (Aronson et al. 2014)</w:t>
      </w:r>
      <w:r w:rsidR="00780BFF">
        <w:t xml:space="preserve">. </w:t>
      </w:r>
      <w:r w:rsidR="005660CA">
        <w:t>S</w:t>
      </w:r>
      <w:r w:rsidR="00B2723D">
        <w:t xml:space="preserve">tructural components that vary across cities </w:t>
      </w:r>
      <w:r w:rsidR="00EF5117">
        <w:t xml:space="preserve">can </w:t>
      </w:r>
      <w:r w:rsidR="005660CA">
        <w:t xml:space="preserve">also </w:t>
      </w:r>
      <w:r w:rsidR="00EF5117">
        <w:t xml:space="preserve">influence </w:t>
      </w:r>
      <w:r w:rsidR="00295328">
        <w:t>population dynamics</w:t>
      </w:r>
      <w:r w:rsidR="00EF5117">
        <w:t xml:space="preserve">. </w:t>
      </w:r>
      <w:r w:rsidR="00430626">
        <w:t>For example, g</w:t>
      </w:r>
      <w:r w:rsidR="00EF5117">
        <w:t xml:space="preserve">ene flow between populations of smaller, less motile species </w:t>
      </w:r>
      <w:r w:rsidR="006D6BAB">
        <w:t>are</w:t>
      </w:r>
      <w:r w:rsidR="00EF5117">
        <w:t xml:space="preserve"> reduced across water bodies within a city</w:t>
      </w:r>
      <w:r w:rsidR="00430626">
        <w:t xml:space="preserve"> </w:t>
      </w:r>
      <w:r w:rsidR="00EF5117">
        <w:t>while other features such as railways facilitate gene flow (</w:t>
      </w:r>
      <w:proofErr w:type="spellStart"/>
      <w:r w:rsidR="00EF5117">
        <w:t>Beninde</w:t>
      </w:r>
      <w:proofErr w:type="spellEnd"/>
      <w:r w:rsidR="00EF5117">
        <w:t xml:space="preserve"> et al. 2018).</w:t>
      </w:r>
      <w:r w:rsidR="00295328">
        <w:t xml:space="preserve"> As a result, the structural layout of a city influences where species may persist and can help or hinder movement between populations.</w:t>
      </w:r>
      <w:r w:rsidR="00EF5117">
        <w:t xml:space="preserve"> </w:t>
      </w:r>
      <w:r w:rsidR="00780BFF">
        <w:t>Such patterns</w:t>
      </w:r>
      <w:r w:rsidR="00121DFE">
        <w:t xml:space="preserve"> highlight</w:t>
      </w:r>
      <w:r w:rsidR="00295328">
        <w:t xml:space="preserve"> how differences between cities influence wildlife population dynamics and </w:t>
      </w:r>
      <w:r w:rsidR="008C513E">
        <w:t xml:space="preserve">therefore indicates </w:t>
      </w:r>
      <w:r w:rsidR="00295328">
        <w:t xml:space="preserve">that multi-city comparative approaches are necessary to understand how biodiversity responds to urbanization (Aronson et al. 2014; </w:t>
      </w:r>
      <w:proofErr w:type="spellStart"/>
      <w:r w:rsidR="00295328">
        <w:t>Beninde</w:t>
      </w:r>
      <w:proofErr w:type="spellEnd"/>
      <w:r w:rsidR="00295328">
        <w:t xml:space="preserve"> et al. 2018; Magle et al. 2019)</w:t>
      </w:r>
      <w:r w:rsidR="00423B3B">
        <w:t xml:space="preserve">. </w:t>
      </w:r>
    </w:p>
    <w:p w14:paraId="2705E33F" w14:textId="27EBC014" w:rsidR="00121DFE" w:rsidRDefault="00121DFE" w:rsidP="00A6337D"/>
    <w:p w14:paraId="32F523B9" w14:textId="1163B9DC" w:rsidR="005C389C" w:rsidRDefault="00AE0849" w:rsidP="00A6337D">
      <w:r>
        <w:t>In this study we</w:t>
      </w:r>
      <w:r w:rsidR="00C2013A">
        <w:t xml:space="preserve"> used data from the Urban Wildlife Information Network (UWIN) – a systematic multi-city biodiversity monitoring survey</w:t>
      </w:r>
      <w:r w:rsidR="006665BC">
        <w:t xml:space="preserve"> of urban green space</w:t>
      </w:r>
      <w:r w:rsidR="00C2013A">
        <w:t xml:space="preserve"> – to</w:t>
      </w:r>
      <w:r>
        <w:t xml:space="preserve"> quantif</w:t>
      </w:r>
      <w:r w:rsidR="00C2013A">
        <w:t>y</w:t>
      </w:r>
      <w:r>
        <w:t xml:space="preserve"> how differences between cities</w:t>
      </w:r>
      <w:r w:rsidR="005C389C">
        <w:t xml:space="preserve"> </w:t>
      </w:r>
      <w:r>
        <w:t>influence the distribution and relative occupancy of urban-adapted mammals</w:t>
      </w:r>
      <w:r w:rsidR="00453A1B">
        <w:t xml:space="preserve"> </w:t>
      </w:r>
      <w:r w:rsidR="00C2013A">
        <w:t>throughout North America. O</w:t>
      </w:r>
      <w:r w:rsidR="00A130C0">
        <w:t>ur goals were to determine</w:t>
      </w:r>
      <w:r w:rsidR="00EF5117">
        <w:t xml:space="preserve"> if</w:t>
      </w:r>
      <w:r w:rsidR="00C2013A">
        <w:t xml:space="preserve"> </w:t>
      </w:r>
      <w:r w:rsidR="00AC714B">
        <w:t>the relative occupancy</w:t>
      </w:r>
      <w:r w:rsidR="00A130C0">
        <w:t xml:space="preserve"> or </w:t>
      </w:r>
      <w:r w:rsidR="00AC714B">
        <w:t xml:space="preserve">distribution of a species </w:t>
      </w:r>
      <w:r w:rsidR="00A130C0">
        <w:t xml:space="preserve">within a city changes as function of 1) </w:t>
      </w:r>
      <w:r w:rsidR="005C389C">
        <w:t xml:space="preserve">the average </w:t>
      </w:r>
      <w:r w:rsidR="00014306">
        <w:t>housing</w:t>
      </w:r>
      <w:r w:rsidR="005C389C">
        <w:t xml:space="preserve"> density of a city</w:t>
      </w:r>
      <w:r w:rsidR="00A130C0">
        <w:t xml:space="preserve"> and 2) how much habitat is available within a city.</w:t>
      </w:r>
      <w:r w:rsidR="00557038">
        <w:t xml:space="preserve"> We predict that a species relative occupancy will decrease as the average housing density of a city increases but increase as the amount of habitat increases. Likewise, we predict that the magnitude of a species response to urbanization will be greater in more densely populated cities, but this relationship could be lessened in cities with more available habitat. </w:t>
      </w:r>
      <w:r w:rsidR="005660CA">
        <w:t>W</w:t>
      </w:r>
      <w:r w:rsidR="00EF5117">
        <w:t>e further previous</w:t>
      </w:r>
      <w:r w:rsidR="00A130C0">
        <w:t xml:space="preserve"> multi-city</w:t>
      </w:r>
      <w:r w:rsidR="005C389C">
        <w:t xml:space="preserve"> biodiversity</w:t>
      </w:r>
      <w:r w:rsidR="00A130C0">
        <w:t xml:space="preserve"> assessments</w:t>
      </w:r>
      <w:r w:rsidR="00EF5117">
        <w:t xml:space="preserve"> by</w:t>
      </w:r>
      <w:r w:rsidR="00EA1630">
        <w:t>,</w:t>
      </w:r>
      <w:r w:rsidR="00557038">
        <w:t xml:space="preserve"> </w:t>
      </w:r>
      <w:r w:rsidR="00EA1630">
        <w:t>for the first time,</w:t>
      </w:r>
      <w:r w:rsidR="00EF5117">
        <w:t xml:space="preserve"> </w:t>
      </w:r>
      <w:r w:rsidR="009F6387">
        <w:t>explor</w:t>
      </w:r>
      <w:r w:rsidR="00EF5117">
        <w:t>ing</w:t>
      </w:r>
      <w:r w:rsidR="009F6387">
        <w:t xml:space="preserve"> </w:t>
      </w:r>
      <w:r w:rsidR="00EA1630">
        <w:t>whether</w:t>
      </w:r>
      <w:r w:rsidR="009F6387">
        <w:t xml:space="preserve"> </w:t>
      </w:r>
      <w:r w:rsidR="00B34D6A">
        <w:t xml:space="preserve">the magnitude and direction of </w:t>
      </w:r>
      <w:r w:rsidR="009F6387">
        <w:t xml:space="preserve">a species response to urbanization </w:t>
      </w:r>
      <w:r w:rsidR="00AE7C5B">
        <w:t>changes as a function of</w:t>
      </w:r>
      <w:r w:rsidR="009F6387">
        <w:t xml:space="preserve"> how a city is built. This unique approach </w:t>
      </w:r>
      <w:r w:rsidR="00B34D6A">
        <w:t xml:space="preserve">therefore allows us to determine if results from a single-city generalize to other </w:t>
      </w:r>
      <w:r w:rsidR="00423B3B">
        <w:t>cities</w:t>
      </w:r>
      <w:r w:rsidR="00B34D6A">
        <w:t xml:space="preserve"> or if differences between </w:t>
      </w:r>
      <w:r w:rsidR="00C2013A">
        <w:t>cities</w:t>
      </w:r>
      <w:r w:rsidR="00B34D6A">
        <w:t xml:space="preserve"> result in distributional shifts of a species.</w:t>
      </w:r>
      <w:r w:rsidR="00431C1C">
        <w:t xml:space="preserve"> </w:t>
      </w:r>
    </w:p>
    <w:p w14:paraId="3F9FFDDB" w14:textId="77DA91FF" w:rsidR="004D433E" w:rsidRDefault="004D433E" w:rsidP="00A6337D"/>
    <w:p w14:paraId="171FE2DE" w14:textId="5A80BC0C" w:rsidR="004D433E" w:rsidRDefault="004D433E" w:rsidP="00A6337D"/>
    <w:p w14:paraId="00854A12" w14:textId="1ACCC7F4" w:rsidR="009F6387" w:rsidRDefault="00453A1B" w:rsidP="00453A1B">
      <w:pPr>
        <w:pStyle w:val="Heading1"/>
      </w:pPr>
      <w:r>
        <w:t>Methods</w:t>
      </w:r>
    </w:p>
    <w:p w14:paraId="0FA49870" w14:textId="3878A9D3" w:rsidR="00F26B63" w:rsidRDefault="00F26B63" w:rsidP="00A6337D"/>
    <w:p w14:paraId="0817D2C8" w14:textId="764B43C4" w:rsidR="00F26B63" w:rsidRDefault="000E7B0B" w:rsidP="00F26B63">
      <w:pPr>
        <w:pStyle w:val="Heading2"/>
      </w:pPr>
      <w:r>
        <w:t>Site selection</w:t>
      </w:r>
    </w:p>
    <w:p w14:paraId="58D41BC9" w14:textId="5C3AC5AF" w:rsidR="00F26B63" w:rsidRDefault="00F26B63" w:rsidP="00F26B63"/>
    <w:p w14:paraId="55BEB858" w14:textId="377D8A82" w:rsidR="00F26B63" w:rsidRDefault="00F26B63" w:rsidP="00F26B63">
      <w:r>
        <w:t>Partnering UWIN cities follow a standard protocol to select sampling locations and monitor biodiversity, which is centered on the establishment of at least 25 sampling locations along spatial urbanization gradients (Magle et al. 2019</w:t>
      </w:r>
      <w:r w:rsidR="00D11016">
        <w:t>; Figure 1</w:t>
      </w:r>
      <w:r>
        <w:t xml:space="preserve">). Sampling locations (hereafter sites) include an array of potential wildlife habitat in a city </w:t>
      </w:r>
      <w:r w:rsidR="00014306">
        <w:t>such as</w:t>
      </w:r>
      <w:r>
        <w:t xml:space="preserve"> city parks, cemeteries, golf courses, natural areas, and backyards</w:t>
      </w:r>
      <w:r w:rsidR="005018EB">
        <w:t xml:space="preserve">. </w:t>
      </w:r>
      <w:r w:rsidR="00AC714B">
        <w:t>T</w:t>
      </w:r>
      <w:r w:rsidR="000E7B0B">
        <w:t>ransects originate in the urban core of a city and travel outwards through suburban, exurban, and rural areas</w:t>
      </w:r>
      <w:r w:rsidR="0096088E">
        <w:t xml:space="preserve"> across varying levels of impervious cover and housing density</w:t>
      </w:r>
      <w:r w:rsidR="000E7B0B">
        <w:t xml:space="preserve">. The average number of sites per city was </w:t>
      </w:r>
      <w:r w:rsidR="00AC714B">
        <w:t>51</w:t>
      </w:r>
      <w:r w:rsidR="000E7B0B">
        <w:t xml:space="preserve"> (min = </w:t>
      </w:r>
      <w:commentRangeStart w:id="3"/>
      <w:r w:rsidR="00AC714B">
        <w:t>23</w:t>
      </w:r>
      <w:commentRangeEnd w:id="3"/>
      <w:r w:rsidR="00AC714B">
        <w:rPr>
          <w:rStyle w:val="CommentReference"/>
        </w:rPr>
        <w:commentReference w:id="3"/>
      </w:r>
      <w:r w:rsidR="000E7B0B">
        <w:t xml:space="preserve">, max = </w:t>
      </w:r>
      <w:r w:rsidR="003E2811">
        <w:t>104</w:t>
      </w:r>
      <w:r w:rsidR="000E7B0B">
        <w:t xml:space="preserve">). Sites are </w:t>
      </w:r>
      <w:r w:rsidR="00014306">
        <w:t xml:space="preserve">located </w:t>
      </w:r>
      <w:r w:rsidR="000E7B0B">
        <w:t>within 2 km of a transect</w:t>
      </w:r>
      <w:r w:rsidR="00AC714B">
        <w:t xml:space="preserve"> – </w:t>
      </w:r>
      <w:r w:rsidR="000E7B0B">
        <w:t xml:space="preserve">which </w:t>
      </w:r>
      <w:r w:rsidR="00AC714B">
        <w:t>generally</w:t>
      </w:r>
      <w:r w:rsidR="000E7B0B">
        <w:t xml:space="preserve"> follow</w:t>
      </w:r>
      <w:r w:rsidR="00AC714B">
        <w:t>s</w:t>
      </w:r>
      <w:r w:rsidR="000E7B0B">
        <w:t xml:space="preserve"> a road</w:t>
      </w:r>
      <w:r w:rsidR="00AC714B">
        <w:t>, bike path,</w:t>
      </w:r>
      <w:r w:rsidR="000E7B0B">
        <w:t xml:space="preserve"> or natural feature </w:t>
      </w:r>
      <w:r w:rsidR="0096088E">
        <w:t>like</w:t>
      </w:r>
      <w:r w:rsidR="000E7B0B">
        <w:t xml:space="preserve"> a river</w:t>
      </w:r>
      <w:r w:rsidR="00AC714B">
        <w:t xml:space="preserve"> – </w:t>
      </w:r>
      <w:r w:rsidR="000E7B0B">
        <w:t>and all sites are at least 1 km apart from one another. This 1</w:t>
      </w:r>
      <w:r w:rsidR="0096088E">
        <w:t xml:space="preserve"> </w:t>
      </w:r>
      <w:r w:rsidR="000E7B0B">
        <w:t>km distance was selected because it is greater than the radiuses of most city dwelling mammals, save for the coyote (</w:t>
      </w:r>
      <w:proofErr w:type="spellStart"/>
      <w:r w:rsidR="000E7B0B">
        <w:rPr>
          <w:i/>
        </w:rPr>
        <w:t>Canis</w:t>
      </w:r>
      <w:proofErr w:type="spellEnd"/>
      <w:r w:rsidR="000E7B0B">
        <w:rPr>
          <w:i/>
        </w:rPr>
        <w:t xml:space="preserve"> </w:t>
      </w:r>
      <w:proofErr w:type="spellStart"/>
      <w:r w:rsidR="000E7B0B">
        <w:rPr>
          <w:i/>
        </w:rPr>
        <w:t>latrans</w:t>
      </w:r>
      <w:proofErr w:type="spellEnd"/>
      <w:r w:rsidR="000E7B0B">
        <w:rPr>
          <w:i/>
        </w:rPr>
        <w:t xml:space="preserve">, </w:t>
      </w:r>
      <w:commentRangeStart w:id="4"/>
      <w:proofErr w:type="spellStart"/>
      <w:r w:rsidR="000E7B0B">
        <w:t>Gehrt</w:t>
      </w:r>
      <w:proofErr w:type="spellEnd"/>
      <w:r w:rsidR="000E7B0B">
        <w:t xml:space="preserve"> et al. 2010</w:t>
      </w:r>
      <w:commentRangeEnd w:id="4"/>
      <w:r w:rsidR="000E7B0B">
        <w:rPr>
          <w:rStyle w:val="CommentReference"/>
        </w:rPr>
        <w:commentReference w:id="4"/>
      </w:r>
      <w:r w:rsidR="000E7B0B">
        <w:t>). Likewise, many spatial covariates (e.g., impervious cover, housing density, etc.) from partnering UWIN cities are available at a 1 km spatial grain.</w:t>
      </w:r>
    </w:p>
    <w:p w14:paraId="2CAD1A25" w14:textId="7275301A" w:rsidR="000E7B0B" w:rsidRDefault="000E7B0B" w:rsidP="00F26B63"/>
    <w:p w14:paraId="14C33EB9" w14:textId="7C470217" w:rsidR="000E7B0B" w:rsidRDefault="000E7B0B" w:rsidP="000E7B0B">
      <w:pPr>
        <w:pStyle w:val="Heading2"/>
      </w:pPr>
      <w:r>
        <w:t>Biological sampling</w:t>
      </w:r>
    </w:p>
    <w:p w14:paraId="4B283912" w14:textId="6122462C" w:rsidR="000E7B0B" w:rsidRDefault="000E7B0B" w:rsidP="000E7B0B"/>
    <w:p w14:paraId="78599C9A" w14:textId="0214596E" w:rsidR="003E2811" w:rsidRDefault="00C03040" w:rsidP="00FD7B48">
      <w:r>
        <w:t>T</w:t>
      </w:r>
      <w:r w:rsidR="000E7B0B">
        <w:t xml:space="preserve">he </w:t>
      </w:r>
      <w:r>
        <w:t xml:space="preserve">current </w:t>
      </w:r>
      <w:r w:rsidR="000E7B0B">
        <w:t>focus of UWIN has been passive monitor</w:t>
      </w:r>
      <w:r w:rsidR="001D1A36">
        <w:t>ing of</w:t>
      </w:r>
      <w:r w:rsidR="000E7B0B">
        <w:t xml:space="preserve"> medium to large-sized mammals with motion-triggered trail cameras</w:t>
      </w:r>
      <w:r>
        <w:t xml:space="preserve"> (hereafter camera trap</w:t>
      </w:r>
      <w:r w:rsidR="003E2811">
        <w:t>s</w:t>
      </w:r>
      <w:r>
        <w:t>)</w:t>
      </w:r>
      <w:r w:rsidR="000E7B0B">
        <w:t xml:space="preserve">. To do so, one </w:t>
      </w:r>
      <w:r>
        <w:t xml:space="preserve">camera trap is placed at a site four times per year for at least 28 consecutive days per deployment. Camera traps are placed roughly 1 to 1.5 m up from the ground on the trunk of a tree and angled in a downward trajectory towards another tree 2.5 – 6 m away. </w:t>
      </w:r>
      <w:commentRangeStart w:id="5"/>
      <w:r>
        <w:t>To potentially increase species detectability</w:t>
      </w:r>
      <w:r w:rsidR="00714EB6">
        <w:t>,</w:t>
      </w:r>
      <w:r>
        <w:t xml:space="preserve"> a synthetic fatty acid scent (USDA Wildlife Services, Pocatello, Idaho) was placed in a mesh bag and nailed roughly 30 cm from the ground to the tree the camera trap was angled towards</w:t>
      </w:r>
      <w:commentRangeEnd w:id="5"/>
      <w:r w:rsidR="00714EB6">
        <w:rPr>
          <w:rStyle w:val="CommentReference"/>
        </w:rPr>
        <w:commentReference w:id="5"/>
      </w:r>
      <w:r>
        <w:t>.</w:t>
      </w:r>
      <w:r w:rsidR="001D1A36">
        <w:t xml:space="preserve"> To capture seasonality that may occur within a city, camera traps are deployed near the first day of January, April, July, and October each year. Some UWIN partners</w:t>
      </w:r>
      <w:r w:rsidR="003E2811">
        <w:t xml:space="preserve">, however, </w:t>
      </w:r>
      <w:r w:rsidR="001D1A36">
        <w:t>sample continuously.</w:t>
      </w:r>
    </w:p>
    <w:p w14:paraId="4980983E" w14:textId="655D6820" w:rsidR="00C54ECB" w:rsidRDefault="00C54ECB" w:rsidP="000E7B0B"/>
    <w:p w14:paraId="4B707927" w14:textId="53B2B38F" w:rsidR="00C54ECB" w:rsidRDefault="00714EB6" w:rsidP="00C54ECB">
      <w:r>
        <w:t xml:space="preserve">While UWIN currently has 23 partnering cities, a total of 10 </w:t>
      </w:r>
      <w:r w:rsidR="001D174B">
        <w:t xml:space="preserve">cities </w:t>
      </w:r>
      <w:r>
        <w:t xml:space="preserve">had data that was available for this analysis, most of which comes from the July 2017 sampling season </w:t>
      </w:r>
      <w:r w:rsidR="002E0DB2">
        <w:t>(Table 1)</w:t>
      </w:r>
      <w:r w:rsidR="00C54ECB">
        <w:t xml:space="preserve">. A </w:t>
      </w:r>
      <w:r>
        <w:t>few</w:t>
      </w:r>
      <w:r w:rsidR="00C54ECB">
        <w:t xml:space="preserve"> UWIN partners had data from multiple </w:t>
      </w:r>
      <w:r w:rsidR="002E0DB2">
        <w:t xml:space="preserve">July </w:t>
      </w:r>
      <w:r>
        <w:t xml:space="preserve">sampling </w:t>
      </w:r>
      <w:r w:rsidR="002E0DB2">
        <w:t xml:space="preserve">seasons, which </w:t>
      </w:r>
      <w:r w:rsidR="003E2811">
        <w:t>we</w:t>
      </w:r>
      <w:r w:rsidR="002E0DB2">
        <w:t xml:space="preserve"> included in this analysis. Likewise, two UWIN cities (Long Beach, California and Wilmington, Delaware) only had data from July 2018</w:t>
      </w:r>
      <w:r>
        <w:t>.</w:t>
      </w:r>
      <w:r w:rsidR="00431C1C">
        <w:t xml:space="preserve"> </w:t>
      </w:r>
    </w:p>
    <w:p w14:paraId="7DCF7F46" w14:textId="46F46CE0" w:rsidR="002E0DB2" w:rsidRDefault="002E0DB2" w:rsidP="00C54ECB"/>
    <w:p w14:paraId="2A019CE0" w14:textId="1AEC0C80" w:rsidR="00714EB6" w:rsidRDefault="00714EB6" w:rsidP="00C54ECB"/>
    <w:p w14:paraId="6CA85D25" w14:textId="120A3BB2" w:rsidR="00714EB6" w:rsidRDefault="00714EB6" w:rsidP="00C54ECB"/>
    <w:p w14:paraId="2DA0DAD4" w14:textId="0EF7D594" w:rsidR="00714EB6" w:rsidRDefault="00714EB6" w:rsidP="00C54ECB"/>
    <w:p w14:paraId="54C94B15" w14:textId="495246EF" w:rsidR="00714EB6" w:rsidRDefault="00714EB6" w:rsidP="00C54ECB"/>
    <w:p w14:paraId="747824A6" w14:textId="77777777" w:rsidR="00714EB6" w:rsidRDefault="00714EB6" w:rsidP="00C54ECB"/>
    <w:p w14:paraId="2642D71F" w14:textId="77777777" w:rsidR="002E0DB2" w:rsidRDefault="002E0DB2" w:rsidP="00C54ECB"/>
    <w:p w14:paraId="74350D86" w14:textId="3254B7B4" w:rsidR="002E0DB2" w:rsidRDefault="002E0DB2" w:rsidP="00C54EC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2163"/>
        <w:gridCol w:w="2163"/>
        <w:gridCol w:w="2163"/>
      </w:tblGrid>
      <w:tr w:rsidR="002E0DB2" w14:paraId="6DCB9EFE" w14:textId="77777777" w:rsidTr="002E0DB2">
        <w:tc>
          <w:tcPr>
            <w:tcW w:w="9350" w:type="dxa"/>
            <w:gridSpan w:val="4"/>
            <w:tcBorders>
              <w:bottom w:val="single" w:sz="4" w:space="0" w:color="auto"/>
            </w:tcBorders>
            <w:vAlign w:val="center"/>
          </w:tcPr>
          <w:p w14:paraId="73D281D4" w14:textId="73271839" w:rsidR="002E0DB2" w:rsidRDefault="002E0DB2" w:rsidP="002E0DB2">
            <w:commentRangeStart w:id="6"/>
            <w:r>
              <w:t xml:space="preserve">Table 1. The number of sites </w:t>
            </w:r>
            <w:r w:rsidR="001D174B">
              <w:t>with</w:t>
            </w:r>
            <w:r>
              <w:t xml:space="preserve"> </w:t>
            </w:r>
            <w:r w:rsidR="001D174B">
              <w:t xml:space="preserve">classified </w:t>
            </w:r>
            <w:r>
              <w:t>data per year and city.</w:t>
            </w:r>
            <w:r w:rsidR="001D174B">
              <w:t xml:space="preserve"> A dash indicates data was not available.</w:t>
            </w:r>
          </w:p>
        </w:tc>
      </w:tr>
      <w:tr w:rsidR="002E0DB2" w14:paraId="0BC72ED0" w14:textId="68A2CAFD" w:rsidTr="002E0DB2">
        <w:tc>
          <w:tcPr>
            <w:tcW w:w="2861" w:type="dxa"/>
            <w:tcBorders>
              <w:top w:val="single" w:sz="4" w:space="0" w:color="auto"/>
            </w:tcBorders>
          </w:tcPr>
          <w:p w14:paraId="696718DB" w14:textId="37077B16" w:rsidR="002E0DB2" w:rsidRDefault="002E0DB2" w:rsidP="002E0DB2"/>
        </w:tc>
        <w:tc>
          <w:tcPr>
            <w:tcW w:w="6489" w:type="dxa"/>
            <w:gridSpan w:val="3"/>
            <w:tcBorders>
              <w:top w:val="single" w:sz="4" w:space="0" w:color="auto"/>
              <w:bottom w:val="single" w:sz="4" w:space="0" w:color="auto"/>
            </w:tcBorders>
            <w:vAlign w:val="center"/>
          </w:tcPr>
          <w:p w14:paraId="48524106" w14:textId="007AA734" w:rsidR="002E0DB2" w:rsidRDefault="002E0DB2" w:rsidP="002E0DB2">
            <w:pPr>
              <w:jc w:val="center"/>
            </w:pPr>
            <w:r>
              <w:t>Sites sampled and images completely classified</w:t>
            </w:r>
          </w:p>
        </w:tc>
      </w:tr>
      <w:tr w:rsidR="002E0DB2" w14:paraId="467DE70A" w14:textId="77777777" w:rsidTr="002E0DB2">
        <w:tc>
          <w:tcPr>
            <w:tcW w:w="2861" w:type="dxa"/>
            <w:tcBorders>
              <w:bottom w:val="single" w:sz="4" w:space="0" w:color="auto"/>
            </w:tcBorders>
          </w:tcPr>
          <w:p w14:paraId="1CBD835F" w14:textId="3509C446" w:rsidR="002E0DB2" w:rsidRDefault="002E0DB2" w:rsidP="002E0DB2">
            <w:r>
              <w:t>City</w:t>
            </w:r>
          </w:p>
        </w:tc>
        <w:tc>
          <w:tcPr>
            <w:tcW w:w="2163" w:type="dxa"/>
            <w:tcBorders>
              <w:top w:val="single" w:sz="4" w:space="0" w:color="auto"/>
              <w:bottom w:val="single" w:sz="4" w:space="0" w:color="auto"/>
            </w:tcBorders>
          </w:tcPr>
          <w:p w14:paraId="2D65A4BC" w14:textId="5C4BAC4D" w:rsidR="002E0DB2" w:rsidRDefault="002E0DB2" w:rsidP="002E0DB2">
            <w:pPr>
              <w:jc w:val="right"/>
            </w:pPr>
            <w:r>
              <w:t>2016</w:t>
            </w:r>
          </w:p>
        </w:tc>
        <w:tc>
          <w:tcPr>
            <w:tcW w:w="2163" w:type="dxa"/>
            <w:tcBorders>
              <w:top w:val="single" w:sz="4" w:space="0" w:color="auto"/>
              <w:bottom w:val="single" w:sz="4" w:space="0" w:color="auto"/>
            </w:tcBorders>
            <w:vAlign w:val="center"/>
          </w:tcPr>
          <w:p w14:paraId="2F6D963E" w14:textId="566F9C49" w:rsidR="002E0DB2" w:rsidRDefault="002E0DB2" w:rsidP="002E0DB2">
            <w:pPr>
              <w:jc w:val="right"/>
            </w:pPr>
            <w:r>
              <w:t>2017</w:t>
            </w:r>
          </w:p>
        </w:tc>
        <w:tc>
          <w:tcPr>
            <w:tcW w:w="2163" w:type="dxa"/>
            <w:tcBorders>
              <w:top w:val="single" w:sz="4" w:space="0" w:color="auto"/>
              <w:bottom w:val="single" w:sz="4" w:space="0" w:color="auto"/>
            </w:tcBorders>
          </w:tcPr>
          <w:p w14:paraId="1A29891D" w14:textId="5AF220DA" w:rsidR="002E0DB2" w:rsidRDefault="002E0DB2" w:rsidP="002E0DB2">
            <w:pPr>
              <w:jc w:val="right"/>
            </w:pPr>
            <w:r>
              <w:t>2018</w:t>
            </w:r>
          </w:p>
        </w:tc>
      </w:tr>
      <w:tr w:rsidR="002E0DB2" w14:paraId="7807A4BF" w14:textId="1695595A" w:rsidTr="002E0DB2">
        <w:tc>
          <w:tcPr>
            <w:tcW w:w="2861" w:type="dxa"/>
            <w:tcBorders>
              <w:top w:val="single" w:sz="4" w:space="0" w:color="auto"/>
            </w:tcBorders>
          </w:tcPr>
          <w:p w14:paraId="735B9470" w14:textId="663B6E71" w:rsidR="002E0DB2" w:rsidRDefault="002E0DB2" w:rsidP="002E0DB2">
            <w:r>
              <w:t>Austin, Texas</w:t>
            </w:r>
          </w:p>
        </w:tc>
        <w:tc>
          <w:tcPr>
            <w:tcW w:w="2163" w:type="dxa"/>
            <w:tcBorders>
              <w:top w:val="single" w:sz="4" w:space="0" w:color="auto"/>
            </w:tcBorders>
          </w:tcPr>
          <w:p w14:paraId="1B5A7358" w14:textId="3E192A38" w:rsidR="002E0DB2" w:rsidRDefault="002E0DB2" w:rsidP="002E0DB2">
            <w:pPr>
              <w:jc w:val="right"/>
            </w:pPr>
            <w:r>
              <w:t>-</w:t>
            </w:r>
          </w:p>
        </w:tc>
        <w:tc>
          <w:tcPr>
            <w:tcW w:w="2163" w:type="dxa"/>
            <w:tcBorders>
              <w:top w:val="single" w:sz="4" w:space="0" w:color="auto"/>
            </w:tcBorders>
          </w:tcPr>
          <w:p w14:paraId="07782083" w14:textId="6D4C64CF" w:rsidR="002E0DB2" w:rsidRDefault="002E0DB2" w:rsidP="002E0DB2">
            <w:pPr>
              <w:jc w:val="right"/>
            </w:pPr>
            <w:r>
              <w:t>25</w:t>
            </w:r>
          </w:p>
        </w:tc>
        <w:tc>
          <w:tcPr>
            <w:tcW w:w="2163" w:type="dxa"/>
            <w:tcBorders>
              <w:top w:val="single" w:sz="4" w:space="0" w:color="auto"/>
            </w:tcBorders>
          </w:tcPr>
          <w:p w14:paraId="7A9180D2" w14:textId="26C446D2" w:rsidR="002E0DB2" w:rsidRDefault="002E0DB2" w:rsidP="002E0DB2">
            <w:pPr>
              <w:jc w:val="right"/>
            </w:pPr>
            <w:r>
              <w:t>-</w:t>
            </w:r>
          </w:p>
        </w:tc>
      </w:tr>
      <w:tr w:rsidR="002E0DB2" w14:paraId="04D09029" w14:textId="3B080228" w:rsidTr="002E0DB2">
        <w:tc>
          <w:tcPr>
            <w:tcW w:w="2861" w:type="dxa"/>
          </w:tcPr>
          <w:p w14:paraId="584832EA" w14:textId="26302139" w:rsidR="002E0DB2" w:rsidRDefault="002E0DB2" w:rsidP="002E0DB2">
            <w:r>
              <w:t>Chicago, Illinois</w:t>
            </w:r>
          </w:p>
        </w:tc>
        <w:tc>
          <w:tcPr>
            <w:tcW w:w="2163" w:type="dxa"/>
          </w:tcPr>
          <w:p w14:paraId="64D61AD7" w14:textId="415C63EF" w:rsidR="002E0DB2" w:rsidRDefault="002E0DB2" w:rsidP="002E0DB2">
            <w:pPr>
              <w:jc w:val="right"/>
            </w:pPr>
            <w:r>
              <w:t>97</w:t>
            </w:r>
          </w:p>
        </w:tc>
        <w:tc>
          <w:tcPr>
            <w:tcW w:w="2163" w:type="dxa"/>
          </w:tcPr>
          <w:p w14:paraId="2FADDB3A" w14:textId="39D5F544" w:rsidR="002E0DB2" w:rsidRDefault="002E0DB2" w:rsidP="002E0DB2">
            <w:pPr>
              <w:jc w:val="right"/>
            </w:pPr>
            <w:r>
              <w:t>104</w:t>
            </w:r>
          </w:p>
        </w:tc>
        <w:tc>
          <w:tcPr>
            <w:tcW w:w="2163" w:type="dxa"/>
          </w:tcPr>
          <w:p w14:paraId="3D479AC3" w14:textId="4B148690" w:rsidR="002E0DB2" w:rsidRDefault="002E0DB2" w:rsidP="002E0DB2">
            <w:pPr>
              <w:jc w:val="right"/>
            </w:pPr>
            <w:r>
              <w:t>100</w:t>
            </w:r>
          </w:p>
        </w:tc>
      </w:tr>
      <w:tr w:rsidR="002E0DB2" w14:paraId="0761F062" w14:textId="7F0909B2" w:rsidTr="002E0DB2">
        <w:tc>
          <w:tcPr>
            <w:tcW w:w="2861" w:type="dxa"/>
          </w:tcPr>
          <w:p w14:paraId="50373781" w14:textId="288BC2C5" w:rsidR="002E0DB2" w:rsidRDefault="002E0DB2" w:rsidP="002E0DB2">
            <w:r>
              <w:t>Denver, Colorado</w:t>
            </w:r>
          </w:p>
        </w:tc>
        <w:tc>
          <w:tcPr>
            <w:tcW w:w="2163" w:type="dxa"/>
          </w:tcPr>
          <w:p w14:paraId="71593C0F" w14:textId="6D7B0D3D" w:rsidR="002E0DB2" w:rsidRDefault="002E0DB2" w:rsidP="002E0DB2">
            <w:pPr>
              <w:jc w:val="right"/>
            </w:pPr>
            <w:r>
              <w:t>-</w:t>
            </w:r>
          </w:p>
        </w:tc>
        <w:tc>
          <w:tcPr>
            <w:tcW w:w="2163" w:type="dxa"/>
          </w:tcPr>
          <w:p w14:paraId="5392129C" w14:textId="3AA32254" w:rsidR="002E0DB2" w:rsidRDefault="002E0DB2" w:rsidP="002E0DB2">
            <w:pPr>
              <w:jc w:val="right"/>
            </w:pPr>
            <w:r>
              <w:t>40</w:t>
            </w:r>
          </w:p>
        </w:tc>
        <w:tc>
          <w:tcPr>
            <w:tcW w:w="2163" w:type="dxa"/>
          </w:tcPr>
          <w:p w14:paraId="18C5F038" w14:textId="1F68C7E2" w:rsidR="002E0DB2" w:rsidRDefault="002E0DB2" w:rsidP="002E0DB2">
            <w:pPr>
              <w:jc w:val="right"/>
            </w:pPr>
            <w:r>
              <w:t>-</w:t>
            </w:r>
          </w:p>
        </w:tc>
      </w:tr>
      <w:tr w:rsidR="002E0DB2" w14:paraId="409B4DF2" w14:textId="7C9D663D" w:rsidTr="002E0DB2">
        <w:tc>
          <w:tcPr>
            <w:tcW w:w="2861" w:type="dxa"/>
          </w:tcPr>
          <w:p w14:paraId="534F867D" w14:textId="0FCAF129" w:rsidR="002E0DB2" w:rsidRDefault="002E0DB2" w:rsidP="002E0DB2">
            <w:r>
              <w:t>Fort Collins, Colorado</w:t>
            </w:r>
          </w:p>
        </w:tc>
        <w:tc>
          <w:tcPr>
            <w:tcW w:w="2163" w:type="dxa"/>
          </w:tcPr>
          <w:p w14:paraId="2CE74DAA" w14:textId="11C8FB00" w:rsidR="002E0DB2" w:rsidRDefault="002E0DB2" w:rsidP="002E0DB2">
            <w:pPr>
              <w:jc w:val="right"/>
            </w:pPr>
            <w:r>
              <w:t>-</w:t>
            </w:r>
          </w:p>
        </w:tc>
        <w:tc>
          <w:tcPr>
            <w:tcW w:w="2163" w:type="dxa"/>
          </w:tcPr>
          <w:p w14:paraId="3B3BA320" w14:textId="717AF0AF" w:rsidR="002E0DB2" w:rsidRDefault="002E0DB2" w:rsidP="002E0DB2">
            <w:pPr>
              <w:jc w:val="right"/>
            </w:pPr>
            <w:r>
              <w:t>31</w:t>
            </w:r>
          </w:p>
        </w:tc>
        <w:tc>
          <w:tcPr>
            <w:tcW w:w="2163" w:type="dxa"/>
          </w:tcPr>
          <w:p w14:paraId="3D682075" w14:textId="14705CD1" w:rsidR="002E0DB2" w:rsidRDefault="002E0DB2" w:rsidP="002E0DB2">
            <w:pPr>
              <w:jc w:val="right"/>
            </w:pPr>
            <w:r>
              <w:t>-</w:t>
            </w:r>
          </w:p>
        </w:tc>
      </w:tr>
      <w:tr w:rsidR="002E0DB2" w14:paraId="7685E63C" w14:textId="5EB1EA5D" w:rsidTr="002E0DB2">
        <w:tc>
          <w:tcPr>
            <w:tcW w:w="2861" w:type="dxa"/>
          </w:tcPr>
          <w:p w14:paraId="210A18EE" w14:textId="11189853" w:rsidR="002E0DB2" w:rsidRDefault="002E0DB2" w:rsidP="002E0DB2">
            <w:r>
              <w:t>Iowa City, Iowa</w:t>
            </w:r>
          </w:p>
        </w:tc>
        <w:tc>
          <w:tcPr>
            <w:tcW w:w="2163" w:type="dxa"/>
          </w:tcPr>
          <w:p w14:paraId="1B6B180A" w14:textId="35A57F7D" w:rsidR="002E0DB2" w:rsidRDefault="002E0DB2" w:rsidP="002E0DB2">
            <w:pPr>
              <w:jc w:val="right"/>
            </w:pPr>
            <w:r>
              <w:t>-</w:t>
            </w:r>
          </w:p>
        </w:tc>
        <w:tc>
          <w:tcPr>
            <w:tcW w:w="2163" w:type="dxa"/>
          </w:tcPr>
          <w:p w14:paraId="329A70A6" w14:textId="34026531" w:rsidR="002E0DB2" w:rsidRDefault="002E0DB2" w:rsidP="002E0DB2">
            <w:pPr>
              <w:jc w:val="right"/>
            </w:pPr>
            <w:r>
              <w:t>37</w:t>
            </w:r>
          </w:p>
        </w:tc>
        <w:tc>
          <w:tcPr>
            <w:tcW w:w="2163" w:type="dxa"/>
          </w:tcPr>
          <w:p w14:paraId="6A78E506" w14:textId="63847E28" w:rsidR="002E0DB2" w:rsidRDefault="002E0DB2" w:rsidP="002E0DB2">
            <w:pPr>
              <w:jc w:val="right"/>
            </w:pPr>
            <w:r>
              <w:t>39</w:t>
            </w:r>
          </w:p>
        </w:tc>
      </w:tr>
      <w:tr w:rsidR="002E0DB2" w14:paraId="082F35D7" w14:textId="3AF6FEF5" w:rsidTr="002E0DB2">
        <w:tc>
          <w:tcPr>
            <w:tcW w:w="2861" w:type="dxa"/>
          </w:tcPr>
          <w:p w14:paraId="09DE8B41" w14:textId="2DD0408C" w:rsidR="002E0DB2" w:rsidRDefault="002E0DB2" w:rsidP="002E0DB2">
            <w:r>
              <w:t>Indianapolis, Indiana</w:t>
            </w:r>
          </w:p>
        </w:tc>
        <w:tc>
          <w:tcPr>
            <w:tcW w:w="2163" w:type="dxa"/>
          </w:tcPr>
          <w:p w14:paraId="3990EF0A" w14:textId="6CE8B7C5" w:rsidR="002E0DB2" w:rsidRDefault="002E0DB2" w:rsidP="002E0DB2">
            <w:pPr>
              <w:jc w:val="right"/>
            </w:pPr>
            <w:r>
              <w:t>-</w:t>
            </w:r>
          </w:p>
        </w:tc>
        <w:tc>
          <w:tcPr>
            <w:tcW w:w="2163" w:type="dxa"/>
          </w:tcPr>
          <w:p w14:paraId="5F947349" w14:textId="2084417A" w:rsidR="002E0DB2" w:rsidRDefault="002E0DB2" w:rsidP="002E0DB2">
            <w:pPr>
              <w:jc w:val="right"/>
            </w:pPr>
            <w:r>
              <w:t>45</w:t>
            </w:r>
          </w:p>
        </w:tc>
        <w:tc>
          <w:tcPr>
            <w:tcW w:w="2163" w:type="dxa"/>
          </w:tcPr>
          <w:p w14:paraId="309FC66F" w14:textId="0AE9CC49" w:rsidR="002E0DB2" w:rsidRDefault="00014306" w:rsidP="002E0DB2">
            <w:pPr>
              <w:jc w:val="right"/>
            </w:pPr>
            <w:r>
              <w:t>43</w:t>
            </w:r>
          </w:p>
        </w:tc>
      </w:tr>
      <w:tr w:rsidR="002E0DB2" w14:paraId="49D5CB4F" w14:textId="7C8C6A76" w:rsidTr="002E0DB2">
        <w:tc>
          <w:tcPr>
            <w:tcW w:w="2861" w:type="dxa"/>
          </w:tcPr>
          <w:p w14:paraId="16313F77" w14:textId="3EAB4339" w:rsidR="002E0DB2" w:rsidRDefault="002E0DB2" w:rsidP="002E0DB2">
            <w:r>
              <w:t>Long Beach, California</w:t>
            </w:r>
          </w:p>
        </w:tc>
        <w:tc>
          <w:tcPr>
            <w:tcW w:w="2163" w:type="dxa"/>
          </w:tcPr>
          <w:p w14:paraId="7A5C8135" w14:textId="3A996F3D" w:rsidR="002E0DB2" w:rsidRDefault="002E0DB2" w:rsidP="002E0DB2">
            <w:pPr>
              <w:jc w:val="right"/>
            </w:pPr>
            <w:r>
              <w:t>-</w:t>
            </w:r>
          </w:p>
        </w:tc>
        <w:tc>
          <w:tcPr>
            <w:tcW w:w="2163" w:type="dxa"/>
          </w:tcPr>
          <w:p w14:paraId="707A56B0" w14:textId="2B4D4071" w:rsidR="002E0DB2" w:rsidRDefault="002E0DB2" w:rsidP="002E0DB2">
            <w:pPr>
              <w:jc w:val="right"/>
            </w:pPr>
            <w:r>
              <w:t>-</w:t>
            </w:r>
          </w:p>
        </w:tc>
        <w:tc>
          <w:tcPr>
            <w:tcW w:w="2163" w:type="dxa"/>
          </w:tcPr>
          <w:p w14:paraId="31DD1E6A" w14:textId="268CBC0A" w:rsidR="002E0DB2" w:rsidRDefault="002E0DB2" w:rsidP="002E0DB2">
            <w:pPr>
              <w:jc w:val="right"/>
            </w:pPr>
            <w:r>
              <w:t>24</w:t>
            </w:r>
          </w:p>
        </w:tc>
      </w:tr>
      <w:tr w:rsidR="002E0DB2" w14:paraId="779BABCD" w14:textId="0AE49191" w:rsidTr="002E0DB2">
        <w:tc>
          <w:tcPr>
            <w:tcW w:w="2861" w:type="dxa"/>
          </w:tcPr>
          <w:p w14:paraId="2CCD664C" w14:textId="43B0BBFD" w:rsidR="002E0DB2" w:rsidRDefault="002E0DB2" w:rsidP="002E0DB2">
            <w:r>
              <w:t>Manhattan, Kansas</w:t>
            </w:r>
          </w:p>
        </w:tc>
        <w:tc>
          <w:tcPr>
            <w:tcW w:w="2163" w:type="dxa"/>
          </w:tcPr>
          <w:p w14:paraId="5EDA4BD2" w14:textId="52F45076" w:rsidR="002E0DB2" w:rsidRDefault="00014306" w:rsidP="002E0DB2">
            <w:pPr>
              <w:jc w:val="right"/>
            </w:pPr>
            <w:r>
              <w:t>74</w:t>
            </w:r>
          </w:p>
        </w:tc>
        <w:tc>
          <w:tcPr>
            <w:tcW w:w="2163" w:type="dxa"/>
          </w:tcPr>
          <w:p w14:paraId="1BE69FEE" w14:textId="49242FAF" w:rsidR="002E0DB2" w:rsidRDefault="002E0DB2" w:rsidP="002E0DB2">
            <w:pPr>
              <w:jc w:val="right"/>
            </w:pPr>
            <w:r>
              <w:t>74</w:t>
            </w:r>
          </w:p>
        </w:tc>
        <w:tc>
          <w:tcPr>
            <w:tcW w:w="2163" w:type="dxa"/>
          </w:tcPr>
          <w:p w14:paraId="7DB11EF8" w14:textId="0C461CD3" w:rsidR="002E0DB2" w:rsidRDefault="002E0DB2" w:rsidP="002E0DB2">
            <w:pPr>
              <w:jc w:val="right"/>
            </w:pPr>
            <w:r>
              <w:t>-</w:t>
            </w:r>
          </w:p>
        </w:tc>
      </w:tr>
      <w:tr w:rsidR="002E0DB2" w14:paraId="113137BB" w14:textId="0EFE123F" w:rsidTr="002E0DB2">
        <w:tc>
          <w:tcPr>
            <w:tcW w:w="2861" w:type="dxa"/>
          </w:tcPr>
          <w:p w14:paraId="75F1212B" w14:textId="0F2C8660" w:rsidR="002E0DB2" w:rsidRDefault="002E0DB2" w:rsidP="002E0DB2">
            <w:r>
              <w:t>Madison, Wisconsin</w:t>
            </w:r>
          </w:p>
        </w:tc>
        <w:tc>
          <w:tcPr>
            <w:tcW w:w="2163" w:type="dxa"/>
          </w:tcPr>
          <w:p w14:paraId="3E9264C9" w14:textId="78CC92BB" w:rsidR="002E0DB2" w:rsidRDefault="002E0DB2" w:rsidP="002E0DB2">
            <w:pPr>
              <w:jc w:val="right"/>
            </w:pPr>
            <w:r>
              <w:t>-</w:t>
            </w:r>
          </w:p>
        </w:tc>
        <w:tc>
          <w:tcPr>
            <w:tcW w:w="2163" w:type="dxa"/>
          </w:tcPr>
          <w:p w14:paraId="7A535753" w14:textId="5CC4B1CA" w:rsidR="002E0DB2" w:rsidRDefault="002E0DB2" w:rsidP="002E0DB2">
            <w:pPr>
              <w:jc w:val="right"/>
            </w:pPr>
            <w:r>
              <w:t>23</w:t>
            </w:r>
          </w:p>
        </w:tc>
        <w:tc>
          <w:tcPr>
            <w:tcW w:w="2163" w:type="dxa"/>
          </w:tcPr>
          <w:p w14:paraId="440EC1FE" w14:textId="7FB45300" w:rsidR="002E0DB2" w:rsidRDefault="002E0DB2" w:rsidP="002E0DB2">
            <w:pPr>
              <w:jc w:val="right"/>
            </w:pPr>
            <w:r>
              <w:t>24</w:t>
            </w:r>
          </w:p>
        </w:tc>
      </w:tr>
      <w:tr w:rsidR="002E0DB2" w14:paraId="5553F90F" w14:textId="05351594" w:rsidTr="002E0DB2">
        <w:tc>
          <w:tcPr>
            <w:tcW w:w="2861" w:type="dxa"/>
            <w:tcBorders>
              <w:bottom w:val="single" w:sz="4" w:space="0" w:color="auto"/>
            </w:tcBorders>
          </w:tcPr>
          <w:p w14:paraId="377342B8" w14:textId="79776D90" w:rsidR="002E0DB2" w:rsidRDefault="002E0DB2" w:rsidP="002E0DB2">
            <w:r>
              <w:t>Wilmington, Delaware</w:t>
            </w:r>
          </w:p>
        </w:tc>
        <w:tc>
          <w:tcPr>
            <w:tcW w:w="2163" w:type="dxa"/>
            <w:tcBorders>
              <w:bottom w:val="single" w:sz="4" w:space="0" w:color="auto"/>
            </w:tcBorders>
          </w:tcPr>
          <w:p w14:paraId="5BD35440" w14:textId="43E12508" w:rsidR="002E0DB2" w:rsidRDefault="002E0DB2" w:rsidP="002E0DB2">
            <w:pPr>
              <w:jc w:val="right"/>
            </w:pPr>
            <w:r>
              <w:t>-</w:t>
            </w:r>
          </w:p>
        </w:tc>
        <w:tc>
          <w:tcPr>
            <w:tcW w:w="2163" w:type="dxa"/>
            <w:tcBorders>
              <w:bottom w:val="single" w:sz="4" w:space="0" w:color="auto"/>
            </w:tcBorders>
          </w:tcPr>
          <w:p w14:paraId="34C23DE5" w14:textId="2F5676DA" w:rsidR="002E0DB2" w:rsidRDefault="002E0DB2" w:rsidP="002E0DB2">
            <w:pPr>
              <w:jc w:val="right"/>
            </w:pPr>
            <w:r>
              <w:t>-</w:t>
            </w:r>
          </w:p>
        </w:tc>
        <w:tc>
          <w:tcPr>
            <w:tcW w:w="2163" w:type="dxa"/>
            <w:tcBorders>
              <w:bottom w:val="single" w:sz="4" w:space="0" w:color="auto"/>
            </w:tcBorders>
          </w:tcPr>
          <w:p w14:paraId="60897C3F" w14:textId="46C63CE6" w:rsidR="002E0DB2" w:rsidRDefault="002E0DB2" w:rsidP="002E0DB2">
            <w:pPr>
              <w:jc w:val="right"/>
            </w:pPr>
            <w:r>
              <w:t>28</w:t>
            </w:r>
            <w:commentRangeEnd w:id="6"/>
            <w:r w:rsidR="00740DD9">
              <w:rPr>
                <w:rStyle w:val="CommentReference"/>
              </w:rPr>
              <w:commentReference w:id="6"/>
            </w:r>
          </w:p>
        </w:tc>
      </w:tr>
    </w:tbl>
    <w:p w14:paraId="77184F20" w14:textId="77777777" w:rsidR="002E0DB2" w:rsidRDefault="002E0DB2" w:rsidP="00C54ECB"/>
    <w:p w14:paraId="7D3758A3" w14:textId="4F506CD6" w:rsidR="002E0DB2" w:rsidRDefault="002E0DB2" w:rsidP="000E7B0B"/>
    <w:p w14:paraId="3B7111FD" w14:textId="0D3076E9" w:rsidR="002E0DB2" w:rsidRDefault="002E0DB2" w:rsidP="002E0DB2">
      <w:r>
        <w:t>At the time data was collected partners uploaded their camera trap photos in</w:t>
      </w:r>
      <w:r w:rsidR="003E2811">
        <w:t>to</w:t>
      </w:r>
      <w:r>
        <w:t xml:space="preserve"> a modified version of the Colorado Parks and Wildlife Photo Warehouse database (Ivan and Newkirk 2016). Briefly, this distributed database allowed UWIN partners to link images</w:t>
      </w:r>
      <w:r w:rsidR="001D174B">
        <w:t xml:space="preserve"> from</w:t>
      </w:r>
      <w:r>
        <w:t xml:space="preserve"> a </w:t>
      </w:r>
      <w:r w:rsidR="001D174B">
        <w:t>deployed camera to</w:t>
      </w:r>
      <w:r w:rsidR="003E2811">
        <w:t xml:space="preserve"> a site</w:t>
      </w:r>
      <w:r>
        <w:t xml:space="preserve">, distribute images to experts for identification, and link </w:t>
      </w:r>
      <w:r w:rsidR="001D174B">
        <w:t>image identifications</w:t>
      </w:r>
      <w:r w:rsidR="003E2811">
        <w:t xml:space="preserve"> </w:t>
      </w:r>
      <w:r w:rsidR="001D174B">
        <w:t>to a site</w:t>
      </w:r>
      <w:r w:rsidR="00ED3A83">
        <w:t xml:space="preserve"> and camera deployment</w:t>
      </w:r>
      <w:r>
        <w:t xml:space="preserve"> in a standardized relational database. A custom R package, </w:t>
      </w:r>
      <w:proofErr w:type="spellStart"/>
      <w:r>
        <w:rPr>
          <w:i/>
        </w:rPr>
        <w:t>uwinr</w:t>
      </w:r>
      <w:proofErr w:type="spellEnd"/>
      <w:r>
        <w:t xml:space="preserve">, was used to check a cities respective database for errors and </w:t>
      </w:r>
      <w:r w:rsidR="00014306">
        <w:t>prepare</w:t>
      </w:r>
      <w:r>
        <w:t xml:space="preserve"> data for analysis (Fidino 2017). </w:t>
      </w:r>
      <w:r w:rsidR="00431C1C">
        <w:t>For this analysis</w:t>
      </w:r>
      <w:r w:rsidR="00B43D55">
        <w:t xml:space="preserve">, we generated daily detection histories for each site and species. </w:t>
      </w:r>
      <w:r w:rsidR="00E20EBF">
        <w:t>A detection history would take the value of 1 if</w:t>
      </w:r>
      <w:r w:rsidR="00B43D55">
        <w:t xml:space="preserve"> a species was detected at a site on a given day. </w:t>
      </w:r>
      <w:r w:rsidR="00E20EBF">
        <w:t>A value of 0 indicates a species</w:t>
      </w:r>
      <w:r w:rsidR="00B43D55">
        <w:t xml:space="preserve"> was not detected </w:t>
      </w:r>
      <w:r w:rsidR="00E20EBF">
        <w:t xml:space="preserve">on </w:t>
      </w:r>
      <w:r w:rsidR="00284E87">
        <w:t>that day</w:t>
      </w:r>
      <w:r w:rsidR="00B43D55">
        <w:t>, and</w:t>
      </w:r>
      <w:r w:rsidR="00284E87">
        <w:t xml:space="preserve"> the value</w:t>
      </w:r>
      <w:r w:rsidR="00E20EBF">
        <w:t xml:space="preserve"> NA indicates that</w:t>
      </w:r>
      <w:r w:rsidR="00B43D55">
        <w:t xml:space="preserve"> </w:t>
      </w:r>
      <w:r w:rsidR="00E20EBF">
        <w:t xml:space="preserve">a camera </w:t>
      </w:r>
      <w:r w:rsidR="00B43D55">
        <w:t>was not deployed on a given day or it</w:t>
      </w:r>
      <w:r w:rsidR="00E20EBF">
        <w:t xml:space="preserve"> malfunctioned (e.g., batteries ran out). For example, the detection history {0, 0, 1, NA} indicates that a species was not detected on the first two days, detected on the third, and then either the camera malfunctioned or was removed on the fourth day.</w:t>
      </w:r>
      <w:r w:rsidR="00431C1C">
        <w:t xml:space="preserve"> Detection histories were generated with a two-week buffer around each July sampling period to account for minor differences in deployment timings between cities.</w:t>
      </w:r>
    </w:p>
    <w:p w14:paraId="5B6C1EE3" w14:textId="5DE9DFCD" w:rsidR="002E0DB2" w:rsidRDefault="002E0DB2" w:rsidP="000E7B0B"/>
    <w:p w14:paraId="703BA68B" w14:textId="77777777" w:rsidR="002E0DB2" w:rsidRDefault="002E0DB2" w:rsidP="000E7B0B"/>
    <w:p w14:paraId="0C1E98A7" w14:textId="411CCB60" w:rsidR="00C54ECB" w:rsidRPr="000E7B0B" w:rsidRDefault="00C54ECB" w:rsidP="00C54ECB">
      <w:pPr>
        <w:pStyle w:val="Heading2"/>
      </w:pPr>
      <w:r>
        <w:t>Statistical analysis</w:t>
      </w:r>
    </w:p>
    <w:p w14:paraId="4FA713FB" w14:textId="613099F2" w:rsidR="00F26B63" w:rsidRDefault="00F26B63" w:rsidP="00F26B63"/>
    <w:p w14:paraId="30E632A9" w14:textId="7D7DFCAD" w:rsidR="00621B90" w:rsidRDefault="00D77B93" w:rsidP="00F26B63">
      <w:r>
        <w:t xml:space="preserve">We </w:t>
      </w:r>
      <w:r w:rsidR="00014306">
        <w:t>fit</w:t>
      </w:r>
      <w:r>
        <w:t xml:space="preserve"> </w:t>
      </w:r>
      <w:r w:rsidR="00893D46">
        <w:t xml:space="preserve">hierarchical </w:t>
      </w:r>
      <w:r>
        <w:t>single-season</w:t>
      </w:r>
      <w:r w:rsidR="00621B90">
        <w:t xml:space="preserve"> single-species</w:t>
      </w:r>
      <w:r>
        <w:t xml:space="preserve"> occupancy model</w:t>
      </w:r>
      <w:r w:rsidR="00621B90">
        <w:t>s</w:t>
      </w:r>
      <w:r>
        <w:t xml:space="preserve"> </w:t>
      </w:r>
      <w:r w:rsidR="00014306">
        <w:t>to</w:t>
      </w:r>
      <w:r w:rsidR="00284E87">
        <w:t xml:space="preserve"> our </w:t>
      </w:r>
      <w:r w:rsidR="00557038">
        <w:t>data</w:t>
      </w:r>
      <w:r w:rsidR="00284E87">
        <w:t xml:space="preserve"> </w:t>
      </w:r>
      <w:r>
        <w:t>to estimate if the magnitude or direction of a species response to urbanization change</w:t>
      </w:r>
      <w:r w:rsidR="00284E87">
        <w:t>d</w:t>
      </w:r>
      <w:r>
        <w:t xml:space="preserve"> as function of </w:t>
      </w:r>
      <w:r w:rsidR="00C71B54">
        <w:t xml:space="preserve">structural </w:t>
      </w:r>
      <w:r>
        <w:t>differences between cities</w:t>
      </w:r>
      <w:r w:rsidR="00ED3A83">
        <w:t xml:space="preserve"> (</w:t>
      </w:r>
      <w:proofErr w:type="spellStart"/>
      <w:r w:rsidR="00ED3A83">
        <w:t>MacKenzie</w:t>
      </w:r>
      <w:proofErr w:type="spellEnd"/>
      <w:r w:rsidR="00ED3A83">
        <w:t xml:space="preserve"> et al. 2017)</w:t>
      </w:r>
      <w:r>
        <w:t xml:space="preserve">. </w:t>
      </w:r>
      <w:r w:rsidR="00014306">
        <w:t>Four candidate models were fit to each species</w:t>
      </w:r>
      <w:r w:rsidR="00557038">
        <w:t xml:space="preserve"> data</w:t>
      </w:r>
      <w:r w:rsidR="00A13B33">
        <w:t>. We explain the global model below</w:t>
      </w:r>
      <w:r w:rsidR="00557038">
        <w:t>. T</w:t>
      </w:r>
      <w:r w:rsidR="00A13B33">
        <w:t>he remaining three models are simplifications of th</w:t>
      </w:r>
      <w:r w:rsidR="00557038">
        <w:t>e</w:t>
      </w:r>
      <w:r w:rsidR="00A13B33">
        <w:t xml:space="preserve"> global model.</w:t>
      </w:r>
    </w:p>
    <w:p w14:paraId="4538ADC6" w14:textId="77777777" w:rsidR="00621B90" w:rsidRDefault="00621B90" w:rsidP="00F26B63"/>
    <w:p w14:paraId="1D9A8C7C" w14:textId="3A8BEDD7" w:rsidR="00030016" w:rsidRDefault="00893D46" w:rsidP="00F26B63">
      <w:r>
        <w:lastRenderedPageBreak/>
        <w:t>In our global occupancy model</w:t>
      </w:r>
      <w:r w:rsidR="00284E87">
        <w:t>,</w:t>
      </w:r>
      <w:r>
        <w:t xml:space="preserve"> we included</w:t>
      </w:r>
      <w:r w:rsidR="00621B90">
        <w:t xml:space="preserve"> one within-city and two between-city spatial covariates. </w:t>
      </w:r>
      <w:r w:rsidR="00631A55">
        <w:t>Our within-city covariate was the housing density around a site</w:t>
      </w:r>
      <w:r w:rsidR="00621B90">
        <w:t xml:space="preserve"> w</w:t>
      </w:r>
      <w:r w:rsidR="00631A55">
        <w:t>hich was</w:t>
      </w:r>
      <w:r w:rsidR="00621B90">
        <w:t xml:space="preserve"> calculated</w:t>
      </w:r>
      <w:r>
        <w:t xml:space="preserve"> as the </w:t>
      </w:r>
      <w:r w:rsidR="006E03B4">
        <w:t>thousands</w:t>
      </w:r>
      <w:r>
        <w:t xml:space="preserve"> of housing units within</w:t>
      </w:r>
      <w:r w:rsidR="00621B90">
        <w:t xml:space="preserve"> 1 km buffer of a deployed camera trap</w:t>
      </w:r>
      <w:r w:rsidR="00A945B1">
        <w:t xml:space="preserve"> (</w:t>
      </w:r>
      <w:r w:rsidR="006E03B4">
        <w:t>e.g., 2,500 units = 2.5</w:t>
      </w:r>
      <w:r w:rsidR="00A945B1">
        <w:t>)</w:t>
      </w:r>
      <w:r w:rsidR="00631A55">
        <w:t>.</w:t>
      </w:r>
      <w:r w:rsidR="00621B90">
        <w:t xml:space="preserve"> </w:t>
      </w:r>
      <w:r>
        <w:t>This term</w:t>
      </w:r>
      <w:r w:rsidR="00621B90">
        <w:t xml:space="preserve"> served as a proxy for the level of urbanization around a </w:t>
      </w:r>
      <w:r>
        <w:t xml:space="preserve">sampled </w:t>
      </w:r>
      <w:r w:rsidR="00621B90">
        <w:t xml:space="preserve">habitat patch. For </w:t>
      </w:r>
      <w:r w:rsidR="00631A55">
        <w:t>our first</w:t>
      </w:r>
      <w:r w:rsidR="00621B90">
        <w:t xml:space="preserve"> between</w:t>
      </w:r>
      <w:r w:rsidR="006C7202">
        <w:t>-</w:t>
      </w:r>
      <w:r w:rsidR="00621B90">
        <w:t>city covariate we</w:t>
      </w:r>
      <w:r w:rsidR="00540754">
        <w:t xml:space="preserve"> used NLCD data to</w:t>
      </w:r>
      <w:r w:rsidR="00621B90">
        <w:t xml:space="preserve"> calculate the proportion of available green space within a city (CITATION). To do so, we </w:t>
      </w:r>
      <w:r w:rsidR="00372B8A">
        <w:t xml:space="preserve">first </w:t>
      </w:r>
      <w:r w:rsidR="00621B90">
        <w:t>extended the width of each transect</w:t>
      </w:r>
      <w:r w:rsidR="00372B8A">
        <w:t xml:space="preserve"> in a city by its respective length. </w:t>
      </w:r>
      <w:r w:rsidR="00A945B1">
        <w:t>A 2</w:t>
      </w:r>
      <w:r w:rsidR="00372B8A">
        <w:t>0 km trans</w:t>
      </w:r>
      <w:r w:rsidR="00540754">
        <w:t>ect</w:t>
      </w:r>
      <w:r w:rsidR="00A945B1">
        <w:t>, for example, would</w:t>
      </w:r>
      <w:r w:rsidR="00540754">
        <w:t xml:space="preserve"> </w:t>
      </w:r>
      <w:r w:rsidR="00A945B1">
        <w:t xml:space="preserve">become </w:t>
      </w:r>
      <w:r w:rsidR="00372B8A">
        <w:t>a square with 20 km sides</w:t>
      </w:r>
      <w:r w:rsidR="00A945B1">
        <w:t xml:space="preserve"> wherein the</w:t>
      </w:r>
      <w:r>
        <w:t xml:space="preserve"> transect line</w:t>
      </w:r>
      <w:r w:rsidR="00372B8A">
        <w:t xml:space="preserve"> bisect</w:t>
      </w:r>
      <w:r w:rsidR="00A945B1">
        <w:t>s</w:t>
      </w:r>
      <w:r w:rsidR="00372B8A">
        <w:t xml:space="preserve"> the center</w:t>
      </w:r>
      <w:r>
        <w:t xml:space="preserve"> of </w:t>
      </w:r>
      <w:r w:rsidR="00A945B1">
        <w:t>the</w:t>
      </w:r>
      <w:r>
        <w:t xml:space="preserve"> square</w:t>
      </w:r>
      <w:r w:rsidR="00372B8A">
        <w:t>.</w:t>
      </w:r>
      <w:r>
        <w:t xml:space="preserve"> O</w:t>
      </w:r>
      <w:r w:rsidR="00372B8A">
        <w:t>verlapping squares within a city were spatially joined to create eac</w:t>
      </w:r>
      <w:r>
        <w:t>h</w:t>
      </w:r>
      <w:r w:rsidR="00372B8A">
        <w:t xml:space="preserve"> city’s sampled area. </w:t>
      </w:r>
      <w:r>
        <w:t>W</w:t>
      </w:r>
      <w:r w:rsidR="00372B8A">
        <w:t xml:space="preserve">e </w:t>
      </w:r>
      <w:r w:rsidR="00A945B1">
        <w:t xml:space="preserve">then </w:t>
      </w:r>
      <w:r w:rsidR="00372B8A">
        <w:t xml:space="preserve">calculated </w:t>
      </w:r>
      <w:r>
        <w:t>proportion</w:t>
      </w:r>
      <w:r w:rsidR="00372B8A">
        <w:t xml:space="preserve"> of available green space </w:t>
      </w:r>
      <w:r w:rsidR="00B43D55">
        <w:t xml:space="preserve">by combining the </w:t>
      </w:r>
      <w:r w:rsidR="00372B8A">
        <w:t>forest, herbaceous, shrub &amp; grass, and low urban development land cover classes</w:t>
      </w:r>
      <w:r w:rsidR="00A945B1">
        <w:t xml:space="preserve"> and dividing the area of those classes by the total sampled area</w:t>
      </w:r>
      <w:r w:rsidR="00540754">
        <w:t xml:space="preserve"> (NLCD CITATION)</w:t>
      </w:r>
      <w:r w:rsidR="00372B8A">
        <w:t xml:space="preserve">. </w:t>
      </w:r>
      <w:r w:rsidR="00631A55">
        <w:t>For our second between-city covariate</w:t>
      </w:r>
      <w:r w:rsidR="00372B8A">
        <w:t xml:space="preserve"> we </w:t>
      </w:r>
      <w:r w:rsidR="00631A55">
        <w:t>calculated the average housing density across all sampled locations of a city.</w:t>
      </w:r>
      <w:r w:rsidR="00540754">
        <w:t xml:space="preserve"> For example, the average housing density of Fort Collins, Colorado was calculated from its 31 </w:t>
      </w:r>
      <w:r w:rsidR="00A13B33">
        <w:t xml:space="preserve">sampled </w:t>
      </w:r>
      <w:r w:rsidR="00540754">
        <w:t>sites</w:t>
      </w:r>
      <w:r w:rsidR="00372B8A">
        <w:t xml:space="preserve"> </w:t>
      </w:r>
      <w:r w:rsidR="00540754">
        <w:t xml:space="preserve">(Table 1). </w:t>
      </w:r>
      <w:r w:rsidR="00B43D55">
        <w:t>This</w:t>
      </w:r>
      <w:r w:rsidR="00540754">
        <w:t xml:space="preserve"> covariate </w:t>
      </w:r>
      <w:r w:rsidR="00B43D55">
        <w:t xml:space="preserve">therefore </w:t>
      </w:r>
      <w:r w:rsidR="00540754">
        <w:t>represents the average housing density near greenspace within a city.</w:t>
      </w:r>
      <w:r w:rsidR="00442994">
        <w:t xml:space="preserve"> </w:t>
      </w:r>
      <w:r w:rsidR="00030016">
        <w:t>Therefore, for a single species the logit-linear predictor of the probability of occupancy</w:t>
      </w:r>
      <w:r w:rsidR="00C31E5B">
        <w:t xml:space="preserve"> (</w:t>
      </w:r>
      <w:proofErr w:type="spellStart"/>
      <w:r w:rsidR="00C31E5B" w:rsidRPr="00740DD9">
        <w:rPr>
          <w:rFonts w:cstheme="minorHAnsi"/>
          <w:i/>
        </w:rPr>
        <w:t>Ψ</w:t>
      </w:r>
      <w:r w:rsidR="00740DD9" w:rsidRPr="00740DD9">
        <w:rPr>
          <w:rFonts w:cstheme="minorHAnsi"/>
          <w:i/>
        </w:rPr>
        <w:softHyphen/>
      </w:r>
      <w:r w:rsidR="00740DD9" w:rsidRPr="00740DD9">
        <w:rPr>
          <w:rFonts w:cstheme="minorHAnsi"/>
          <w:i/>
          <w:vertAlign w:val="subscript"/>
        </w:rPr>
        <w:t>js</w:t>
      </w:r>
      <w:proofErr w:type="spellEnd"/>
      <w:r w:rsidR="00C31E5B">
        <w:t>)</w:t>
      </w:r>
      <w:r w:rsidR="00030016">
        <w:t xml:space="preserve"> at</w:t>
      </w:r>
      <w:r w:rsidR="00C31E5B">
        <w:t xml:space="preserve"> </w:t>
      </w:r>
      <w:r w:rsidR="00C31E5B">
        <w:rPr>
          <w:i/>
        </w:rPr>
        <w:t>j</w:t>
      </w:r>
      <w:r w:rsidR="00C31E5B">
        <w:t xml:space="preserve"> in </w:t>
      </w:r>
      <w:proofErr w:type="gramStart"/>
      <w:r w:rsidR="00C31E5B">
        <w:t>1,</w:t>
      </w:r>
      <w:r w:rsidR="00F24ABC">
        <w:t>...</w:t>
      </w:r>
      <w:proofErr w:type="gramEnd"/>
      <w:r w:rsidR="00C31E5B">
        <w:t>,</w:t>
      </w:r>
      <w:r w:rsidR="00843D92">
        <w:t>10</w:t>
      </w:r>
      <w:r w:rsidR="00C31E5B">
        <w:t xml:space="preserve"> cities and</w:t>
      </w:r>
      <w:r w:rsidR="00030016">
        <w:t xml:space="preserve"> </w:t>
      </w:r>
      <w:r w:rsidR="00030016">
        <w:rPr>
          <w:i/>
        </w:rPr>
        <w:t xml:space="preserve">s </w:t>
      </w:r>
      <w:r w:rsidR="00030016">
        <w:t>in 1,…,</w:t>
      </w:r>
      <w:proofErr w:type="spellStart"/>
      <w:r w:rsidR="00030016" w:rsidRPr="00030016">
        <w:rPr>
          <w:i/>
        </w:rPr>
        <w:t>S</w:t>
      </w:r>
      <w:r w:rsidR="00C31E5B">
        <w:rPr>
          <w:i/>
          <w:vertAlign w:val="subscript"/>
        </w:rPr>
        <w:t>j</w:t>
      </w:r>
      <w:proofErr w:type="spellEnd"/>
      <w:r w:rsidR="00030016">
        <w:rPr>
          <w:i/>
        </w:rPr>
        <w:t xml:space="preserve"> </w:t>
      </w:r>
      <w:r w:rsidR="00843D92">
        <w:t xml:space="preserve">sites </w:t>
      </w:r>
      <w:r w:rsidR="00C31E5B">
        <w:t>is</w:t>
      </w:r>
    </w:p>
    <w:p w14:paraId="2ADE345B" w14:textId="298B47CC" w:rsidR="009A4906" w:rsidRDefault="009A4906" w:rsidP="00F26B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51"/>
        <w:gridCol w:w="1440"/>
      </w:tblGrid>
      <w:tr w:rsidR="009A4906" w14:paraId="16ABE189" w14:textId="77777777" w:rsidTr="009A4906">
        <w:tc>
          <w:tcPr>
            <w:tcW w:w="1440" w:type="dxa"/>
          </w:tcPr>
          <w:p w14:paraId="453B053F" w14:textId="77777777" w:rsidR="009A4906" w:rsidRDefault="009A4906" w:rsidP="00F26B63"/>
        </w:tc>
        <w:tc>
          <w:tcPr>
            <w:tcW w:w="6451" w:type="dxa"/>
          </w:tcPr>
          <w:p w14:paraId="04452C70" w14:textId="464CF014" w:rsidR="009A4906" w:rsidRPr="009A4906" w:rsidRDefault="009A4906" w:rsidP="00F26B63">
            <m:oMathPara>
              <m:oMathParaPr>
                <m:jc m:val="center"/>
              </m:oMathParaPr>
              <m:oMath>
                <m:r>
                  <w:rPr>
                    <w:rFonts w:ascii="Cambria Math" w:hAnsi="Cambria Math"/>
                  </w:rPr>
                  <m:t>logit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js</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sj</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oMath>
            </m:oMathPara>
          </w:p>
        </w:tc>
        <w:tc>
          <w:tcPr>
            <w:tcW w:w="1440" w:type="dxa"/>
          </w:tcPr>
          <w:p w14:paraId="6CC68366" w14:textId="7D86DBF6" w:rsidR="009A4906" w:rsidRDefault="009A4906" w:rsidP="009A4906">
            <w:pPr>
              <w:jc w:val="center"/>
            </w:pPr>
            <w:r>
              <w:t>Eq. 1</w:t>
            </w:r>
          </w:p>
        </w:tc>
      </w:tr>
    </w:tbl>
    <w:p w14:paraId="32350609" w14:textId="3B431881" w:rsidR="00843D92" w:rsidRDefault="00843D92" w:rsidP="00F26B63">
      <w:pPr>
        <w:rPr>
          <w:rFonts w:eastAsiaTheme="minorEastAsia"/>
        </w:rPr>
      </w:pPr>
    </w:p>
    <w:p w14:paraId="0A8CDBC6" w14:textId="12795CF7" w:rsidR="009A4906" w:rsidRDefault="00843D92" w:rsidP="00F26B63">
      <w:pPr>
        <w:rPr>
          <w:rFonts w:eastAsiaTheme="minorEastAsia"/>
        </w:rPr>
      </w:pPr>
      <w:r>
        <w:rPr>
          <w:rFonts w:eastAsiaTheme="minorEastAsia"/>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51"/>
        <w:gridCol w:w="1440"/>
      </w:tblGrid>
      <w:tr w:rsidR="009A4906" w14:paraId="12D1B26B" w14:textId="77777777" w:rsidTr="009A4906">
        <w:tc>
          <w:tcPr>
            <w:tcW w:w="1440" w:type="dxa"/>
          </w:tcPr>
          <w:p w14:paraId="22EA77B2" w14:textId="77777777" w:rsidR="009A4906" w:rsidRDefault="009A4906" w:rsidP="00740DD9"/>
        </w:tc>
        <w:tc>
          <w:tcPr>
            <w:tcW w:w="6451" w:type="dxa"/>
          </w:tcPr>
          <w:p w14:paraId="17FEAB67" w14:textId="5EC32840" w:rsidR="009A4906" w:rsidRPr="009A4906" w:rsidRDefault="00FC29A1" w:rsidP="009A4906">
            <w:pPr>
              <w:jc w:val="cente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tc>
        <w:tc>
          <w:tcPr>
            <w:tcW w:w="1440" w:type="dxa"/>
          </w:tcPr>
          <w:p w14:paraId="200249B0" w14:textId="1BA9BBBB" w:rsidR="009A4906" w:rsidRDefault="009A4906" w:rsidP="00740DD9">
            <w:pPr>
              <w:jc w:val="center"/>
            </w:pPr>
            <w:r>
              <w:t>Eq. 2</w:t>
            </w:r>
          </w:p>
        </w:tc>
      </w:tr>
    </w:tbl>
    <w:p w14:paraId="226EA211" w14:textId="094C17EF" w:rsidR="00843D92" w:rsidRDefault="00843D92" w:rsidP="00F26B63">
      <w:pPr>
        <w:rPr>
          <w:rFonts w:eastAsiaTheme="minorEastAsia"/>
        </w:rPr>
      </w:pPr>
    </w:p>
    <w:p w14:paraId="473ED050" w14:textId="44CF09C2" w:rsidR="00843D92" w:rsidRDefault="00843D92" w:rsidP="00F26B63">
      <w:pPr>
        <w:rPr>
          <w:rFonts w:eastAsiaTheme="minorEastAsia"/>
        </w:rPr>
      </w:pPr>
      <w:r>
        <w:rPr>
          <w:rFonts w:eastAsiaTheme="minorEastAsia"/>
        </w:rPr>
        <w:t xml:space="preserve">and </w:t>
      </w:r>
    </w:p>
    <w:p w14:paraId="55B63489" w14:textId="77777777" w:rsidR="009A4906" w:rsidRDefault="009A4906" w:rsidP="00F26B63">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51"/>
        <w:gridCol w:w="1440"/>
      </w:tblGrid>
      <w:tr w:rsidR="009A4906" w14:paraId="4A539731" w14:textId="77777777" w:rsidTr="009A4906">
        <w:tc>
          <w:tcPr>
            <w:tcW w:w="1440" w:type="dxa"/>
          </w:tcPr>
          <w:p w14:paraId="0326BC09" w14:textId="77777777" w:rsidR="009A4906" w:rsidRDefault="009A4906" w:rsidP="00740DD9"/>
        </w:tc>
        <w:tc>
          <w:tcPr>
            <w:tcW w:w="6451" w:type="dxa"/>
          </w:tcPr>
          <w:p w14:paraId="00085048" w14:textId="74B8F2FD" w:rsidR="009A4906" w:rsidRPr="009A4906" w:rsidRDefault="00FC29A1" w:rsidP="009A49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r>
                  <w:rPr>
                    <w:rFonts w:ascii="Cambria Math" w:eastAsiaTheme="minorEastAsia" w:hAnsi="Cambria Math"/>
                  </w:rPr>
                  <m:t>.</m:t>
                </m:r>
              </m:oMath>
            </m:oMathPara>
          </w:p>
        </w:tc>
        <w:tc>
          <w:tcPr>
            <w:tcW w:w="1440" w:type="dxa"/>
          </w:tcPr>
          <w:p w14:paraId="59FC97AC" w14:textId="49A7C8CC" w:rsidR="009A4906" w:rsidRDefault="009A4906" w:rsidP="00740DD9">
            <w:pPr>
              <w:jc w:val="center"/>
            </w:pPr>
            <w:r>
              <w:t>Eq. 3</w:t>
            </w:r>
          </w:p>
        </w:tc>
      </w:tr>
    </w:tbl>
    <w:p w14:paraId="1C73022A" w14:textId="77777777" w:rsidR="009A4906" w:rsidRDefault="009A4906" w:rsidP="00F26B63">
      <w:pPr>
        <w:rPr>
          <w:rFonts w:eastAsiaTheme="minorEastAsia"/>
        </w:rPr>
      </w:pPr>
    </w:p>
    <w:p w14:paraId="387BF490" w14:textId="7E9C868B" w:rsidR="00843D92" w:rsidRDefault="00843D92" w:rsidP="00F26B63">
      <w:pPr>
        <w:rPr>
          <w:rFonts w:eastAsiaTheme="minorEastAsia"/>
        </w:rPr>
      </w:pPr>
    </w:p>
    <w:p w14:paraId="681C771A" w14:textId="096B3CA3" w:rsidR="001C22DB" w:rsidRDefault="00843D92" w:rsidP="00F26B63">
      <w:pPr>
        <w:rPr>
          <w:rFonts w:eastAsiaTheme="minorEastAsia"/>
        </w:rPr>
      </w:pPr>
      <w:r>
        <w:t>In Eq. 1,</w:t>
      </w:r>
      <w:r w:rsidR="00F24ABC">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0j</m:t>
            </m:r>
          </m:sub>
        </m:sSub>
      </m:oMath>
      <w:r w:rsidR="00F24ABC">
        <w:rPr>
          <w:rFonts w:eastAsiaTheme="minorEastAsia"/>
        </w:rPr>
        <w:t xml:space="preserve"> represents the average log-odds a species occupies </w:t>
      </w:r>
      <w:r w:rsidR="00227CB2">
        <w:rPr>
          <w:rFonts w:eastAsiaTheme="minorEastAsia"/>
        </w:rPr>
        <w:t>a habitat patch</w:t>
      </w:r>
      <w:r w:rsidR="00F24ABC">
        <w:rPr>
          <w:rFonts w:eastAsiaTheme="minorEastAsia"/>
        </w:rPr>
        <w:t xml:space="preserve"> in city </w:t>
      </w:r>
      <w:r w:rsidR="00F24ABC">
        <w:rPr>
          <w:rFonts w:eastAsiaTheme="minorEastAsia"/>
          <w:i/>
        </w:rPr>
        <w:t>j</w:t>
      </w:r>
      <w:r w:rsidR="00F24ABC">
        <w:rPr>
          <w:rFonts w:eastAsiaTheme="minorEastAsia"/>
        </w:rPr>
        <w:t>, which can vary as a function of our two between-city covariates</w:t>
      </w:r>
      <w:r w:rsidR="00442994">
        <w:rPr>
          <w:rFonts w:eastAsiaTheme="minorEastAsia"/>
        </w:rPr>
        <w:t xml:space="preserve"> </w:t>
      </w:r>
      <w:r w:rsidR="00F24ABC">
        <w:rPr>
          <w:rFonts w:eastAsiaTheme="minorEastAsia"/>
        </w:rPr>
        <w:t>–</w:t>
      </w:r>
      <w:r w:rsidR="00442994">
        <w:rPr>
          <w:rFonts w:eastAsiaTheme="minorEastAsia"/>
        </w:rPr>
        <w:t xml:space="preserve"> </w:t>
      </w:r>
      <w:r w:rsidR="00F24ABC">
        <w:rPr>
          <w:rFonts w:eastAsiaTheme="minorEastAsia"/>
        </w:rPr>
        <w:t>the average proportion of habitat in a city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oMath>
      <w:r w:rsidR="00F24ABC">
        <w:rPr>
          <w:rFonts w:eastAsiaTheme="minorEastAsia"/>
        </w:rPr>
        <w:t xml:space="preserve"> and the average housing density </w:t>
      </w:r>
      <w:r w:rsidR="00442994">
        <w:rPr>
          <w:rFonts w:eastAsiaTheme="minorEastAsia"/>
        </w:rPr>
        <w:t xml:space="preserve">of a city </w:t>
      </w:r>
      <w:r w:rsidR="00F24AB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r>
          <w:rPr>
            <w:rFonts w:ascii="Cambria Math" w:eastAsiaTheme="minorEastAsia" w:hAnsi="Cambria Math"/>
          </w:rPr>
          <m:t xml:space="preserve">) </m:t>
        </m:r>
      </m:oMath>
      <w:r w:rsidR="00F24ABC">
        <w:rPr>
          <w:rFonts w:eastAsiaTheme="minorEastAsia"/>
        </w:rPr>
        <w:t>–</w:t>
      </w:r>
      <w:r w:rsidR="00442994">
        <w:rPr>
          <w:rFonts w:eastAsiaTheme="minorEastAsia"/>
        </w:rPr>
        <w:t xml:space="preserve"> </w:t>
      </w:r>
      <w:r w:rsidR="00F24ABC">
        <w:rPr>
          <w:rFonts w:eastAsiaTheme="minorEastAsia"/>
        </w:rPr>
        <w:t>via Eq. 2.</w:t>
      </w:r>
      <w:r w:rsidR="006E03B4">
        <w:rPr>
          <w:rFonts w:eastAsiaTheme="minorEastAsia"/>
        </w:rPr>
        <w:t xml:space="preserve"> These between-city covariates were centered and scaled to have a mean </w:t>
      </w:r>
      <w:r w:rsidR="00C932D4">
        <w:rPr>
          <w:rFonts w:eastAsiaTheme="minorEastAsia"/>
        </w:rPr>
        <w:t xml:space="preserve">of </w:t>
      </w:r>
      <w:r w:rsidR="006E03B4">
        <w:rPr>
          <w:rFonts w:eastAsiaTheme="minorEastAsia"/>
        </w:rPr>
        <w:t>0 and a standard deviation of 1.</w:t>
      </w:r>
      <w:r w:rsidR="00F24AB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oMath>
      <w:r w:rsidR="00F24ABC">
        <w:rPr>
          <w:rFonts w:eastAsiaTheme="minorEastAsia"/>
        </w:rPr>
        <w:t xml:space="preserve"> is </w:t>
      </w:r>
      <w:r w:rsidR="00227CB2">
        <w:rPr>
          <w:rFonts w:eastAsiaTheme="minorEastAsia"/>
        </w:rPr>
        <w:t xml:space="preserve">a slope-term that represents </w:t>
      </w:r>
      <w:r w:rsidR="00F24ABC">
        <w:rPr>
          <w:rFonts w:eastAsiaTheme="minorEastAsia"/>
        </w:rPr>
        <w:t xml:space="preserve">the </w:t>
      </w:r>
      <w:r w:rsidR="00227CB2">
        <w:rPr>
          <w:rFonts w:eastAsiaTheme="minorEastAsia"/>
        </w:rPr>
        <w:t xml:space="preserve">relative log-odds change in occupancy at site </w:t>
      </w:r>
      <w:r w:rsidR="00227CB2">
        <w:rPr>
          <w:rFonts w:eastAsiaTheme="minorEastAsia"/>
          <w:i/>
        </w:rPr>
        <w:t>s</w:t>
      </w:r>
      <w:r w:rsidR="00227CB2">
        <w:rPr>
          <w:rFonts w:eastAsiaTheme="minorEastAsia"/>
        </w:rPr>
        <w:t xml:space="preserve"> and city </w:t>
      </w:r>
      <w:r w:rsidR="00227CB2">
        <w:rPr>
          <w:rFonts w:eastAsiaTheme="minorEastAsia"/>
          <w:i/>
        </w:rPr>
        <w:t>j</w:t>
      </w:r>
      <w:r w:rsidR="00227CB2">
        <w:rPr>
          <w:rFonts w:eastAsiaTheme="minorEastAsia"/>
        </w:rPr>
        <w:t xml:space="preserve"> given the</w:t>
      </w:r>
      <w:r w:rsidR="00B404BD">
        <w:rPr>
          <w:rFonts w:eastAsiaTheme="minorEastAsia"/>
        </w:rPr>
        <w:t xml:space="preserve"> within-city</w:t>
      </w:r>
      <w:r w:rsidR="00227CB2">
        <w:rPr>
          <w:rFonts w:eastAsiaTheme="minorEastAsia"/>
        </w:rPr>
        <w:t xml:space="preserve"> housing density covariate </w:t>
      </w:r>
      <w:r w:rsidR="00B404BD">
        <w:rPr>
          <w:rFonts w:eastAsiaTheme="minorEastAsia"/>
        </w:rPr>
        <w:t>at</w:t>
      </w:r>
      <w:r w:rsidR="00227CB2">
        <w:rPr>
          <w:rFonts w:eastAsiaTheme="minorEastAsia"/>
        </w:rPr>
        <w:t xml:space="preserve"> site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sj</m:t>
            </m:r>
          </m:sub>
        </m:sSub>
      </m:oMath>
      <w:r w:rsidR="00740DD9">
        <w:rPr>
          <w:rFonts w:eastAsiaTheme="minorEastAsia"/>
        </w:rPr>
        <w:t xml:space="preserve"> (i.e., the housing density within 1 km of a deployed camera)</w:t>
      </w:r>
      <w:r w:rsidR="00227CB2">
        <w:rPr>
          <w:rFonts w:eastAsiaTheme="minorEastAsia"/>
        </w:rPr>
        <w:t xml:space="preserve">. </w:t>
      </w:r>
      <w:r w:rsidR="006E03B4">
        <w:rPr>
          <w:rFonts w:eastAsiaTheme="minorEastAsia"/>
        </w:rPr>
        <w:t>Furthermore,</w:t>
      </w:r>
      <w:r w:rsidR="00227C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sj</m:t>
            </m:r>
          </m:sub>
        </m:sSub>
      </m:oMath>
      <w:r w:rsidR="00227CB2">
        <w:rPr>
          <w:rFonts w:eastAsiaTheme="minorEastAsia"/>
        </w:rPr>
        <w:t xml:space="preserve"> </w:t>
      </w:r>
      <w:r w:rsidR="00442994">
        <w:rPr>
          <w:rFonts w:eastAsiaTheme="minorEastAsia"/>
        </w:rPr>
        <w:t xml:space="preserve">is </w:t>
      </w:r>
      <w:r w:rsidR="00227CB2">
        <w:rPr>
          <w:rFonts w:eastAsiaTheme="minorEastAsia"/>
        </w:rPr>
        <w:t xml:space="preserve">group-mean centered by subtracting </w:t>
      </w:r>
      <w:r w:rsidR="006E03B4">
        <w:rPr>
          <w:rFonts w:eastAsiaTheme="minorEastAsia"/>
        </w:rPr>
        <w:t>the</w:t>
      </w:r>
      <w:r w:rsidR="00227CB2">
        <w:rPr>
          <w:rFonts w:eastAsiaTheme="minorEastAsia"/>
        </w:rPr>
        <w:t xml:space="preserve"> respective city average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oMath>
      <w:r w:rsidR="006E03B4">
        <w:rPr>
          <w:rFonts w:eastAsiaTheme="minorEastAsia"/>
        </w:rPr>
        <w:t>. Scaling this way</w:t>
      </w:r>
      <w:r w:rsidR="00A13B33">
        <w:rPr>
          <w:rFonts w:eastAsiaTheme="minorEastAsia"/>
        </w:rPr>
        <w:t xml:space="preserve"> makes it easier to interpret the parameters in Eq. 2 and 3 </w:t>
      </w:r>
      <w:r w:rsidR="00442994">
        <w:rPr>
          <w:rFonts w:eastAsiaTheme="minorEastAsia"/>
        </w:rPr>
        <w:t>(</w:t>
      </w:r>
      <w:proofErr w:type="spellStart"/>
      <w:r w:rsidR="00442994">
        <w:rPr>
          <w:rFonts w:eastAsiaTheme="minorEastAsia"/>
        </w:rPr>
        <w:t>Aguinis</w:t>
      </w:r>
      <w:proofErr w:type="spellEnd"/>
      <w:r w:rsidR="00442994">
        <w:rPr>
          <w:rFonts w:eastAsiaTheme="minorEastAsia"/>
        </w:rPr>
        <w:t xml:space="preserve"> et al. 2013). </w:t>
      </w:r>
      <w:r w:rsidR="00227CB2">
        <w:rPr>
          <w:rFonts w:eastAsiaTheme="minorEastAsia"/>
        </w:rPr>
        <w:t xml:space="preserve">As with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0j</m:t>
            </m:r>
          </m:sub>
        </m:sSub>
      </m:oMath>
      <w:r w:rsidR="00227CB2">
        <w:rPr>
          <w:rFonts w:eastAsiaTheme="minorEastAsia"/>
        </w:rPr>
        <w:t xml:space="preserve">, we allow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1j</m:t>
            </m:r>
          </m:sub>
        </m:sSub>
      </m:oMath>
      <w:r w:rsidR="00227CB2">
        <w:rPr>
          <w:rFonts w:eastAsiaTheme="minorEastAsia"/>
        </w:rPr>
        <w:t xml:space="preserve"> to vary in magnitude or direction via Eq. 3 based on our two between-city covariates. </w:t>
      </w:r>
      <w:r w:rsidR="00F24ABC">
        <w:rPr>
          <w:rFonts w:eastAsiaTheme="minorEastAsia"/>
        </w:rPr>
        <w:t>Moving back to Eq. 1,</w:t>
      </w:r>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987F2D">
        <w:t xml:space="preserve"> is a city-specific random effect</w:t>
      </w:r>
      <w:r w:rsidR="00987F2D">
        <w:rPr>
          <w:rFonts w:eastAsiaTheme="minorEastAsia"/>
        </w:rPr>
        <w:t xml:space="preserve">. </w:t>
      </w:r>
      <w:r w:rsidR="00227CB2">
        <w:rPr>
          <w:rFonts w:eastAsiaTheme="minorEastAsia"/>
        </w:rPr>
        <w:t>Finally,</w:t>
      </w:r>
      <w:r w:rsidR="001D174B">
        <w:rPr>
          <w:rFonts w:eastAsiaTheme="minorEastAsia"/>
        </w:rPr>
        <w:t xml:space="preserve"> we</w:t>
      </w:r>
      <w:r w:rsidR="00B404BD">
        <w:rPr>
          <w:rFonts w:eastAsiaTheme="minorEastAsia"/>
        </w:rPr>
        <w:t xml:space="preserve"> account for multiple years of sampling at some cities with </w:t>
      </w:r>
      <w:r w:rsidR="001D174B">
        <w:rPr>
          <w:rFonts w:eastAsiaTheme="minorEastAsia"/>
        </w:rPr>
        <w:t xml:space="preserve">two indicator functions,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e>
        </m:d>
      </m:oMath>
      <w:r w:rsidR="001D174B">
        <w:rPr>
          <w:rFonts w:eastAsiaTheme="minorEastAsia"/>
        </w:rPr>
        <w:t xml:space="preserve"> and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oMath>
      <w:r w:rsidR="001D174B">
        <w:rPr>
          <w:rFonts w:eastAsiaTheme="minorEastAsia"/>
        </w:rPr>
        <w:t>.</w:t>
      </w:r>
      <w:r w:rsidR="00987F2D">
        <w:rPr>
          <w:rFonts w:eastAsiaTheme="minorEastAsia"/>
        </w:rPr>
        <w:t xml:space="preserve"> The parameter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oMath>
      <w:r w:rsidR="00987F2D">
        <w:rPr>
          <w:rFonts w:eastAsiaTheme="minorEastAsia"/>
        </w:rPr>
        <w:t xml:space="preserve"> is the log-odds difference in average occupancy at city </w:t>
      </w:r>
      <w:r w:rsidR="00987F2D">
        <w:rPr>
          <w:rFonts w:eastAsiaTheme="minorEastAsia"/>
          <w:i/>
        </w:rPr>
        <w:t>j</w:t>
      </w:r>
      <w:r w:rsidR="00987F2D">
        <w:rPr>
          <w:rFonts w:eastAsiaTheme="minorEastAsia"/>
        </w:rPr>
        <w:t xml:space="preserve"> for sites sampled in 2016.</w:t>
      </w:r>
      <w:r w:rsidR="001D174B">
        <w:rPr>
          <w:rFonts w:eastAsiaTheme="minorEastAsia"/>
        </w:rPr>
        <w:t xml:space="preserve"> </w:t>
      </w:r>
      <w:r w:rsidR="00987F2D">
        <w:rPr>
          <w:rFonts w:eastAsiaTheme="minorEastAsia"/>
        </w:rPr>
        <w:t xml:space="preserve">Conversely,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sidR="00987F2D">
        <w:rPr>
          <w:rFonts w:eastAsiaTheme="minorEastAsia"/>
        </w:rPr>
        <w:t xml:space="preserve"> is the log-odds difference in average occupancy </w:t>
      </w:r>
      <w:r w:rsidR="00442994">
        <w:rPr>
          <w:rFonts w:eastAsiaTheme="minorEastAsia"/>
        </w:rPr>
        <w:t>at city</w:t>
      </w:r>
      <w:r w:rsidR="00987F2D">
        <w:rPr>
          <w:rFonts w:eastAsiaTheme="minorEastAsia"/>
        </w:rPr>
        <w:t xml:space="preserve"> </w:t>
      </w:r>
      <w:r w:rsidR="00987F2D">
        <w:rPr>
          <w:rFonts w:eastAsiaTheme="minorEastAsia"/>
          <w:i/>
        </w:rPr>
        <w:t>j</w:t>
      </w:r>
      <w:r w:rsidR="00442994">
        <w:rPr>
          <w:rFonts w:eastAsiaTheme="minorEastAsia"/>
          <w:i/>
        </w:rPr>
        <w:t xml:space="preserve"> </w:t>
      </w:r>
      <w:r w:rsidR="00442994">
        <w:rPr>
          <w:rFonts w:eastAsiaTheme="minorEastAsia"/>
        </w:rPr>
        <w:t>for sites sampled in 2018</w:t>
      </w:r>
      <w:r w:rsidR="00987F2D">
        <w:rPr>
          <w:rFonts w:eastAsiaTheme="minorEastAsia"/>
        </w:rPr>
        <w:t xml:space="preserve"> if</w:t>
      </w:r>
      <w:r w:rsidR="00F24ABC">
        <w:rPr>
          <w:rFonts w:eastAsiaTheme="minorEastAsia"/>
        </w:rPr>
        <w:t xml:space="preserve"> and only if </w:t>
      </w:r>
      <w:r w:rsidR="00227CB2">
        <w:rPr>
          <w:rFonts w:eastAsiaTheme="minorEastAsia"/>
        </w:rPr>
        <w:t>that city</w:t>
      </w:r>
      <w:r w:rsidR="00F24ABC">
        <w:rPr>
          <w:rFonts w:eastAsiaTheme="minorEastAsia"/>
        </w:rPr>
        <w:t xml:space="preserve"> had 2017 data. </w:t>
      </w:r>
      <w:r w:rsidR="001D174B">
        <w:rPr>
          <w:rFonts w:eastAsiaTheme="minorEastAsia"/>
        </w:rPr>
        <w:t xml:space="preserve">For example,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oMath>
      <w:r w:rsidR="001D174B">
        <w:rPr>
          <w:rFonts w:eastAsiaTheme="minorEastAsia"/>
        </w:rPr>
        <w:t xml:space="preserve"> is </w:t>
      </w:r>
      <w:r w:rsidR="00740DD9">
        <w:rPr>
          <w:rFonts w:eastAsiaTheme="minorEastAsia"/>
        </w:rPr>
        <w:t xml:space="preserve">separately </w:t>
      </w:r>
      <w:r w:rsidR="001D174B">
        <w:rPr>
          <w:rFonts w:eastAsiaTheme="minorEastAsia"/>
        </w:rPr>
        <w:t xml:space="preserve">estimated for the 2016 Chicago </w:t>
      </w:r>
      <w:r w:rsidR="00A13B33">
        <w:rPr>
          <w:rFonts w:eastAsiaTheme="minorEastAsia"/>
        </w:rPr>
        <w:t xml:space="preserve">and Manhattan </w:t>
      </w:r>
      <w:r w:rsidR="001D174B">
        <w:rPr>
          <w:rFonts w:eastAsiaTheme="minorEastAsia"/>
        </w:rPr>
        <w:t xml:space="preserve">data but is zero </w:t>
      </w:r>
      <w:r w:rsidR="006E03B4">
        <w:rPr>
          <w:rFonts w:eastAsiaTheme="minorEastAsia"/>
        </w:rPr>
        <w:t xml:space="preserve">otherwise </w:t>
      </w:r>
      <w:r w:rsidR="001D174B">
        <w:rPr>
          <w:rFonts w:eastAsiaTheme="minorEastAsia"/>
        </w:rPr>
        <w:t xml:space="preserve">(Table 1). </w:t>
      </w:r>
      <w:r w:rsidR="00F24ABC">
        <w:rPr>
          <w:rFonts w:eastAsiaTheme="minorEastAsia"/>
        </w:rPr>
        <w:t xml:space="preserve">Likewise,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sidR="00F24ABC">
        <w:rPr>
          <w:rFonts w:eastAsiaTheme="minorEastAsia"/>
        </w:rPr>
        <w:t xml:space="preserve"> is estimated for</w:t>
      </w:r>
      <w:r w:rsidR="00227CB2">
        <w:rPr>
          <w:rFonts w:eastAsiaTheme="minorEastAsia"/>
        </w:rPr>
        <w:t xml:space="preserve"> the 2018 data </w:t>
      </w:r>
      <w:r w:rsidR="00B404BD">
        <w:rPr>
          <w:rFonts w:eastAsiaTheme="minorEastAsia"/>
        </w:rPr>
        <w:t>of</w:t>
      </w:r>
      <w:r w:rsidR="00F24ABC">
        <w:rPr>
          <w:rFonts w:eastAsiaTheme="minorEastAsia"/>
        </w:rPr>
        <w:t xml:space="preserve"> Chicago,</w:t>
      </w:r>
      <w:r w:rsidR="00A13B33">
        <w:rPr>
          <w:rFonts w:eastAsiaTheme="minorEastAsia"/>
        </w:rPr>
        <w:t xml:space="preserve"> Indianapolis,</w:t>
      </w:r>
      <w:r w:rsidR="00F24ABC">
        <w:rPr>
          <w:rFonts w:eastAsiaTheme="minorEastAsia"/>
        </w:rPr>
        <w:t xml:space="preserve"> Iowa City, and Madison</w:t>
      </w:r>
      <w:r w:rsidR="00227CB2">
        <w:rPr>
          <w:rFonts w:eastAsiaTheme="minorEastAsia"/>
        </w:rPr>
        <w:t xml:space="preserve"> but not estimated for Long Beach or Wilmington because the</w:t>
      </w:r>
      <w:r w:rsidR="00B404BD">
        <w:rPr>
          <w:rFonts w:eastAsiaTheme="minorEastAsia"/>
        </w:rPr>
        <w:t>se two cities</w:t>
      </w:r>
      <w:r w:rsidR="00227CB2">
        <w:rPr>
          <w:rFonts w:eastAsiaTheme="minorEastAsia"/>
        </w:rPr>
        <w:t xml:space="preserve"> did not have 2017 data</w:t>
      </w:r>
      <w:r w:rsidR="00740DD9">
        <w:rPr>
          <w:rFonts w:eastAsiaTheme="minorEastAsia"/>
        </w:rPr>
        <w:t>.</w:t>
      </w:r>
      <w:r w:rsidR="00227CB2">
        <w:rPr>
          <w:rFonts w:eastAsiaTheme="minorEastAsia"/>
        </w:rPr>
        <w:t xml:space="preserve"> </w:t>
      </w:r>
      <w:r w:rsidR="001C22DB">
        <w:rPr>
          <w:rFonts w:eastAsiaTheme="minorEastAsia"/>
        </w:rPr>
        <w:t>For the detection model, we allowed a species probability of detection (</w:t>
      </w:r>
      <w:r w:rsidR="001C22DB" w:rsidRPr="001C22DB">
        <w:rPr>
          <w:rFonts w:eastAsiaTheme="minorEastAsia" w:cstheme="minorHAnsi"/>
          <w:i/>
        </w:rPr>
        <w:t>ρ</w:t>
      </w:r>
      <w:r w:rsidR="001C22DB">
        <w:rPr>
          <w:rFonts w:eastAsiaTheme="minorEastAsia"/>
        </w:rPr>
        <w:t xml:space="preserve">) to vary between cities such that the logit-linear predictor </w:t>
      </w:r>
      <w:r w:rsidR="00EC5680">
        <w:rPr>
          <w:rFonts w:eastAsiaTheme="minorEastAsia"/>
        </w:rPr>
        <w:t xml:space="preserve">was </w:t>
      </w:r>
      <m:oMath>
        <m:r>
          <w:rPr>
            <w:rFonts w:ascii="Cambria Math" w:eastAsiaTheme="minorEastAsia" w:hAnsi="Cambria Math"/>
          </w:rPr>
          <m:t>logit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cstheme="minorHAnsi"/>
                  </w:rPr>
                  <m:t>ρ</m:t>
                </m:r>
              </m:e>
              <m:sub>
                <m:r>
                  <w:rPr>
                    <w:rFonts w:ascii="Cambria Math" w:eastAsiaTheme="minorEastAsia" w:hAnsi="Cambria Math"/>
                  </w:rPr>
                  <m:t>sj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oMath>
      <w:r w:rsidR="001C22DB">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1C22DB">
        <w:rPr>
          <w:rFonts w:eastAsiaTheme="minorEastAsia"/>
        </w:rPr>
        <w:t xml:space="preserve"> is the average log-odds of detecting a species while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1C22DB">
        <w:rPr>
          <w:rFonts w:eastAsiaTheme="minorEastAsia"/>
        </w:rPr>
        <w:t xml:space="preserve"> is a city level random-effect.</w:t>
      </w:r>
    </w:p>
    <w:p w14:paraId="7A2A059E" w14:textId="392683D9" w:rsidR="00442994" w:rsidRDefault="00442994" w:rsidP="00F26B63">
      <w:pPr>
        <w:rPr>
          <w:rFonts w:eastAsiaTheme="minorEastAsia"/>
        </w:rPr>
      </w:pPr>
    </w:p>
    <w:p w14:paraId="159CE2A4" w14:textId="6F7B0B53" w:rsidR="00442994" w:rsidRDefault="00442994" w:rsidP="00442994">
      <w:pPr>
        <w:pStyle w:val="Heading2"/>
        <w:rPr>
          <w:rFonts w:eastAsiaTheme="minorEastAsia"/>
        </w:rPr>
      </w:pPr>
      <w:r>
        <w:rPr>
          <w:rFonts w:eastAsiaTheme="minorEastAsia"/>
        </w:rPr>
        <w:t>Model</w:t>
      </w:r>
      <w:r w:rsidR="00AD17D1">
        <w:rPr>
          <w:rFonts w:eastAsiaTheme="minorEastAsia"/>
        </w:rPr>
        <w:t xml:space="preserve">s, </w:t>
      </w:r>
      <w:r>
        <w:rPr>
          <w:rFonts w:eastAsiaTheme="minorEastAsia"/>
        </w:rPr>
        <w:t>prior specification</w:t>
      </w:r>
      <w:r w:rsidR="00AD17D1">
        <w:rPr>
          <w:rFonts w:eastAsiaTheme="minorEastAsia"/>
        </w:rPr>
        <w:t>, and model selection</w:t>
      </w:r>
    </w:p>
    <w:p w14:paraId="4A5118C2" w14:textId="242FA1FF" w:rsidR="00442994" w:rsidRDefault="00442994" w:rsidP="00442994"/>
    <w:p w14:paraId="4A712D4F" w14:textId="16A2C3A8" w:rsidR="00AD17D1" w:rsidRDefault="00B404BD" w:rsidP="00442994">
      <w:r>
        <w:t>The</w:t>
      </w:r>
      <w:r w:rsidR="00442994">
        <w:t xml:space="preserve"> four models </w:t>
      </w:r>
      <w:r>
        <w:t>we fit to each species data</w:t>
      </w:r>
      <w:r w:rsidR="00442994">
        <w:t xml:space="preserve"> varied in </w:t>
      </w:r>
      <w:r>
        <w:t xml:space="preserve">the </w:t>
      </w:r>
      <w:r w:rsidR="00A13B33">
        <w:t>number of</w:t>
      </w:r>
      <w:r w:rsidR="00EC5680">
        <w:t xml:space="preserve"> </w:t>
      </w:r>
      <w:r w:rsidR="00442994">
        <w:t>between city variables</w:t>
      </w:r>
      <w:r w:rsidR="00FC0D16">
        <w:t xml:space="preserve"> and represent different hypotheses about what structural differences between cities are correlated to how common a species is (via Eq. 2) or where they are most likely to occur within a city (via Eq. 3)</w:t>
      </w:r>
      <w:r>
        <w:t>.</w:t>
      </w:r>
      <w:r w:rsidR="00A13B33">
        <w:t xml:space="preserve"> </w:t>
      </w:r>
      <w:r w:rsidR="00442994">
        <w:t>The global model</w:t>
      </w:r>
      <w:r>
        <w:t xml:space="preserve"> (</w:t>
      </w:r>
      <w:proofErr w:type="spellStart"/>
      <w:r w:rsidRPr="00B404BD">
        <w:rPr>
          <w:i/>
        </w:rPr>
        <w:t>M</w:t>
      </w:r>
      <w:r>
        <w:rPr>
          <w:i/>
          <w:vertAlign w:val="subscript"/>
        </w:rPr>
        <w:t>global</w:t>
      </w:r>
      <w:proofErr w:type="spellEnd"/>
      <w:r>
        <w:t>)</w:t>
      </w:r>
      <w:r w:rsidR="00442994">
        <w:t xml:space="preserve"> contained both between city variables, </w:t>
      </w:r>
      <w:r w:rsidR="00740DD9">
        <w:t>the next model included</w:t>
      </w:r>
      <w:r w:rsidR="00442994">
        <w:t xml:space="preserve"> </w:t>
      </w:r>
      <w:r w:rsidR="00AD17D1">
        <w:t>the proportion of green space in a city</w:t>
      </w:r>
      <w:r>
        <w:t xml:space="preserve"> (</w:t>
      </w:r>
      <w:proofErr w:type="spellStart"/>
      <w:r w:rsidRPr="00B404BD">
        <w:rPr>
          <w:i/>
        </w:rPr>
        <w:t>M</w:t>
      </w:r>
      <w:r>
        <w:rPr>
          <w:i/>
          <w:vertAlign w:val="subscript"/>
        </w:rPr>
        <w:t>habitat</w:t>
      </w:r>
      <w:proofErr w:type="spellEnd"/>
      <w:r>
        <w:t>)</w:t>
      </w:r>
      <w:r w:rsidR="00740DD9">
        <w:t>, the third model included</w:t>
      </w:r>
      <w:r w:rsidR="00AD17D1">
        <w:t xml:space="preserve"> the average housing density of a city</w:t>
      </w:r>
      <w:r>
        <w:t xml:space="preserve"> (</w:t>
      </w:r>
      <w:proofErr w:type="spellStart"/>
      <w:r w:rsidRPr="00B404BD">
        <w:rPr>
          <w:i/>
        </w:rPr>
        <w:t>M</w:t>
      </w:r>
      <w:r>
        <w:rPr>
          <w:i/>
          <w:vertAlign w:val="subscript"/>
        </w:rPr>
        <w:t>housing</w:t>
      </w:r>
      <w:proofErr w:type="spellEnd"/>
      <w:r>
        <w:t>)</w:t>
      </w:r>
      <w:r w:rsidR="00AD17D1">
        <w:t>, and the final model had neither of the between city variables</w:t>
      </w:r>
      <w:r>
        <w:t xml:space="preserve"> (</w:t>
      </w:r>
      <w:proofErr w:type="spellStart"/>
      <w:r w:rsidRPr="00B404BD">
        <w:rPr>
          <w:i/>
        </w:rPr>
        <w:t>M</w:t>
      </w:r>
      <w:r>
        <w:rPr>
          <w:i/>
          <w:vertAlign w:val="subscript"/>
        </w:rPr>
        <w:t>null</w:t>
      </w:r>
      <w:proofErr w:type="spellEnd"/>
      <w:r>
        <w:t>)</w:t>
      </w:r>
      <w:r w:rsidR="00AD17D1">
        <w:t>. All models included the measured housing density around each site (i.e., the one within-city variable)</w:t>
      </w:r>
      <w:r>
        <w:t xml:space="preserve"> and the detection model did not differ</w:t>
      </w:r>
      <w:r w:rsidR="00740DD9">
        <w:t xml:space="preserve"> between models</w:t>
      </w:r>
      <w:r w:rsidR="00AD17D1">
        <w:t>.</w:t>
      </w:r>
      <w:r w:rsidR="00536EEE">
        <w:t xml:space="preserve"> </w:t>
      </w:r>
      <w:r w:rsidR="00CC745C">
        <w:t>Furthermore, c</w:t>
      </w:r>
      <w:r w:rsidR="002D5B4D">
        <w:t>ities that were outside the distributional range of a species were omitted from that species analysis</w:t>
      </w:r>
      <w:r w:rsidR="00431C1C">
        <w:t xml:space="preserve">, and </w:t>
      </w:r>
      <w:r w:rsidR="00CC745C">
        <w:t xml:space="preserve">models were only fit to </w:t>
      </w:r>
      <w:r w:rsidR="00431C1C">
        <w:t>a species</w:t>
      </w:r>
      <w:r w:rsidR="00CC745C">
        <w:t xml:space="preserve"> data</w:t>
      </w:r>
      <w:r w:rsidR="00431C1C">
        <w:t xml:space="preserve"> if they were detected at a minimum of five UWIN cities.</w:t>
      </w:r>
    </w:p>
    <w:p w14:paraId="76BE8E97" w14:textId="07713C15" w:rsidR="00AD17D1" w:rsidRDefault="00AD17D1" w:rsidP="00442994"/>
    <w:p w14:paraId="1E1AA39C" w14:textId="08AA41B8" w:rsidR="00AD17D1" w:rsidRDefault="00AD17D1" w:rsidP="00442994">
      <w:pPr>
        <w:rPr>
          <w:rFonts w:eastAsiaTheme="minorEastAsia"/>
        </w:rPr>
      </w:pPr>
      <w:r>
        <w:t>We used a Bayesian framework to parameterize</w:t>
      </w:r>
      <w:r w:rsidR="00EC5680">
        <w:t xml:space="preserve"> and evaluate</w:t>
      </w:r>
      <w:r>
        <w:t xml:space="preserve"> our models. All logit-scale parameters save for the random effect terms were drawn from </w:t>
      </w:r>
      <w:proofErr w:type="gramStart"/>
      <w:r>
        <w:t>Logistic(</w:t>
      </w:r>
      <w:proofErr w:type="gramEnd"/>
      <w:r>
        <w:t>0,1) distributions which represent a vague logit-scale prior</w:t>
      </w:r>
      <w:r w:rsidR="00A13B33">
        <w:t xml:space="preserve">. </w:t>
      </w:r>
      <w:r>
        <w:t xml:space="preserve">Random effects were drawn from </w:t>
      </w:r>
      <w:proofErr w:type="gramStart"/>
      <w:r>
        <w:t>N(</w:t>
      </w:r>
      <w:proofErr w:type="gramEnd"/>
      <w:r>
        <w:t xml:space="preserve">0, </w:t>
      </w:r>
      <w:r>
        <w:rPr>
          <w:rFonts w:cstheme="minorHAnsi"/>
        </w:rPr>
        <w:t>σ</w:t>
      </w:r>
      <w:r>
        <w:t xml:space="preserve">) distributions where </w:t>
      </w:r>
      <w:r>
        <w:rPr>
          <w:rFonts w:cstheme="minorHAnsi"/>
        </w:rPr>
        <w:t>σ</w:t>
      </w:r>
      <w:r>
        <w:t xml:space="preserve"> ~ Inv-gamma(0.001, 0.001).</w:t>
      </w:r>
      <w:r w:rsidR="007E358B">
        <w:t xml:space="preserve"> To compare the relative fit of each model we calculated the conditional predictive ordinate (CPO) of each data point along each step of an MCMC </w:t>
      </w:r>
      <w:r w:rsidR="00EC5680">
        <w:t>algorithm</w:t>
      </w:r>
      <w:r w:rsidR="00D605DC">
        <w:t xml:space="preserve"> (</w:t>
      </w:r>
      <w:proofErr w:type="spellStart"/>
      <w:r w:rsidR="00D605DC">
        <w:t>Geisser</w:t>
      </w:r>
      <w:proofErr w:type="spellEnd"/>
      <w:r w:rsidR="00D605DC">
        <w:t xml:space="preserve"> </w:t>
      </w:r>
      <w:r w:rsidR="00610A8C">
        <w:t>2017</w:t>
      </w:r>
      <w:r w:rsidR="00D605DC">
        <w:t>)</w:t>
      </w:r>
      <w:r w:rsidR="00EC5680">
        <w:t xml:space="preserve">. Overall model performance was evaluated with the summary statistic </w:t>
      </w:r>
      <m:oMath>
        <m:r>
          <w:rPr>
            <w:rFonts w:ascii="Cambria Math" w:hAnsi="Cambria Math"/>
          </w:rPr>
          <m:t>-</m:t>
        </m:r>
        <m:nary>
          <m:naryPr>
            <m:chr m:val="∑"/>
            <m:limLoc m:val="subSup"/>
            <m:supHide m:val="1"/>
            <m:ctrlPr>
              <w:rPr>
                <w:rFonts w:ascii="Cambria Math" w:hAnsi="Cambria Math"/>
                <w:i/>
              </w:rPr>
            </m:ctrlPr>
          </m:naryPr>
          <m:sub>
            <m:r>
              <w:rPr>
                <w:rFonts w:ascii="Cambria Math" w:hAnsi="Cambria Math"/>
              </w:rPr>
              <m:t>k,t</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CPO</m:t>
                        </m:r>
                      </m:e>
                      <m:sub>
                        <m:r>
                          <w:rPr>
                            <w:rFonts w:ascii="Cambria Math" w:hAnsi="Cambria Math"/>
                          </w:rPr>
                          <m:t>k,t</m:t>
                        </m:r>
                      </m:sub>
                    </m:sSub>
                  </m:e>
                </m:d>
              </m:e>
            </m:func>
          </m:e>
        </m:nary>
      </m:oMath>
      <w:r w:rsidR="00EC5680">
        <w:rPr>
          <w:rFonts w:eastAsiaTheme="minorEastAsia"/>
        </w:rPr>
        <w:t xml:space="preserve">for data point </w:t>
      </w:r>
      <w:r w:rsidR="00EC5680" w:rsidRPr="00EC5680">
        <w:rPr>
          <w:rFonts w:eastAsiaTheme="minorEastAsia"/>
          <w:i/>
        </w:rPr>
        <w:t>k</w:t>
      </w:r>
      <w:r w:rsidR="00EC5680">
        <w:rPr>
          <w:rFonts w:eastAsiaTheme="minorEastAsia"/>
        </w:rPr>
        <w:t xml:space="preserve"> and MCMC step </w:t>
      </w:r>
      <w:r w:rsidR="00EC5680" w:rsidRPr="00EC5680">
        <w:rPr>
          <w:rFonts w:eastAsiaTheme="minorEastAsia"/>
          <w:i/>
        </w:rPr>
        <w:t>t</w:t>
      </w:r>
      <w:r w:rsidR="00A13B33">
        <w:rPr>
          <w:rFonts w:eastAsiaTheme="minorEastAsia"/>
        </w:rPr>
        <w:t xml:space="preserve"> and</w:t>
      </w:r>
      <w:r w:rsidR="00EC5680">
        <w:rPr>
          <w:rFonts w:eastAsiaTheme="minorEastAsia"/>
        </w:rPr>
        <w:t xml:space="preserve"> </w:t>
      </w:r>
      <w:r w:rsidR="00A13B33">
        <w:rPr>
          <w:rFonts w:eastAsiaTheme="minorEastAsia"/>
        </w:rPr>
        <w:t>t</w:t>
      </w:r>
      <w:r w:rsidR="00EC5680">
        <w:rPr>
          <w:rFonts w:eastAsiaTheme="minorEastAsia"/>
        </w:rPr>
        <w:t xml:space="preserve">he lowest value indicates the best relative fit (Hooten and </w:t>
      </w:r>
      <w:proofErr w:type="spellStart"/>
      <w:r w:rsidR="00EC5680">
        <w:rPr>
          <w:rFonts w:eastAsiaTheme="minorEastAsia"/>
        </w:rPr>
        <w:t>Hoobs</w:t>
      </w:r>
      <w:proofErr w:type="spellEnd"/>
      <w:r w:rsidR="00EC5680">
        <w:rPr>
          <w:rFonts w:eastAsiaTheme="minorEastAsia"/>
        </w:rPr>
        <w:t xml:space="preserve"> 2015). Models were fit in JAGS (Plummer 2003) version 4.3.0 (Plummer 2003) via the R programming language version 3.5.3 (R Core Team 2019). After a </w:t>
      </w:r>
      <w:proofErr w:type="gramStart"/>
      <w:r w:rsidR="00EC5680">
        <w:rPr>
          <w:rFonts w:eastAsiaTheme="minorEastAsia"/>
        </w:rPr>
        <w:t>60,000 step</w:t>
      </w:r>
      <w:proofErr w:type="gramEnd"/>
      <w:r w:rsidR="00EC5680">
        <w:rPr>
          <w:rFonts w:eastAsiaTheme="minorEastAsia"/>
        </w:rPr>
        <w:t xml:space="preserve"> adaptation and 60,000 step burn-in each model was sampled </w:t>
      </w:r>
      <w:r w:rsidR="00A13B33">
        <w:rPr>
          <w:rFonts w:eastAsiaTheme="minorEastAsia"/>
        </w:rPr>
        <w:t>1,250</w:t>
      </w:r>
      <w:r w:rsidR="00EC5680">
        <w:rPr>
          <w:rFonts w:eastAsiaTheme="minorEastAsia"/>
        </w:rPr>
        <w:t xml:space="preserve">,000 times across 5 chains. Chains were thinned by 10 </w:t>
      </w:r>
      <w:r w:rsidR="00A13B33">
        <w:rPr>
          <w:rFonts w:eastAsiaTheme="minorEastAsia"/>
        </w:rPr>
        <w:t xml:space="preserve">for a total of 125,000 samples </w:t>
      </w:r>
      <w:r w:rsidR="00EC5680">
        <w:rPr>
          <w:rFonts w:eastAsiaTheme="minorEastAsia"/>
        </w:rPr>
        <w:t xml:space="preserve">due to the computational intensity of tracking the CPO </w:t>
      </w:r>
      <w:r w:rsidR="00A13B33">
        <w:rPr>
          <w:rFonts w:eastAsiaTheme="minorEastAsia"/>
        </w:rPr>
        <w:t>of</w:t>
      </w:r>
      <w:r w:rsidR="00EC5680">
        <w:rPr>
          <w:rFonts w:eastAsiaTheme="minorEastAsia"/>
        </w:rPr>
        <w:t xml:space="preserve"> each data point.</w:t>
      </w:r>
      <w:r w:rsidR="00AE42A4">
        <w:rPr>
          <w:rFonts w:eastAsiaTheme="minorEastAsia"/>
        </w:rPr>
        <w:t xml:space="preserve"> To verify model convergence, we ensured that Gelman-Rubin diagnostics for each parameter were &lt; 1.10 and looked at trace plots of parameters from the MCMC chains (Gelman et al. 2014). </w:t>
      </w:r>
      <w:r w:rsidR="0029163F">
        <w:rPr>
          <w:rFonts w:eastAsiaTheme="minorEastAsia"/>
        </w:rPr>
        <w:t>While the number of parameters is different for the best-fit model of each species, we reference parameters as we did for the global model (i.e., Eq. 1 – 3) for consistency.</w:t>
      </w:r>
    </w:p>
    <w:p w14:paraId="4E3E9428" w14:textId="51C6952D" w:rsidR="00AE42A4" w:rsidRDefault="00AE42A4" w:rsidP="00442994">
      <w:pPr>
        <w:rPr>
          <w:rFonts w:eastAsiaTheme="minorEastAsia"/>
        </w:rPr>
      </w:pPr>
    </w:p>
    <w:p w14:paraId="4A55C699" w14:textId="3CA7BBC4" w:rsidR="00AE42A4" w:rsidRDefault="00AE42A4" w:rsidP="00AE42A4">
      <w:pPr>
        <w:pStyle w:val="Heading1"/>
        <w:rPr>
          <w:rFonts w:eastAsiaTheme="minorEastAsia"/>
        </w:rPr>
      </w:pPr>
      <w:r>
        <w:rPr>
          <w:rFonts w:eastAsiaTheme="minorEastAsia"/>
        </w:rPr>
        <w:t>Results</w:t>
      </w:r>
    </w:p>
    <w:p w14:paraId="09DB1683" w14:textId="77777777" w:rsidR="00AE42A4" w:rsidRPr="00AE42A4" w:rsidRDefault="00AE42A4" w:rsidP="00AE42A4"/>
    <w:p w14:paraId="664D78D9" w14:textId="40719629" w:rsidR="005F7CEB" w:rsidRDefault="002D5B4D" w:rsidP="005F7CEB">
      <w:pPr>
        <w:rPr>
          <w:rFonts w:eastAsiaTheme="minorEastAsia"/>
        </w:rPr>
      </w:pPr>
      <w:r>
        <w:rPr>
          <w:rFonts w:eastAsiaTheme="minorEastAsia"/>
        </w:rPr>
        <w:t>A total of 25,115 camera trap nights occurred</w:t>
      </w:r>
      <w:r w:rsidR="00211AC2">
        <w:rPr>
          <w:rFonts w:eastAsiaTheme="minorEastAsia"/>
        </w:rPr>
        <w:t xml:space="preserve"> </w:t>
      </w:r>
      <w:r>
        <w:rPr>
          <w:rFonts w:eastAsiaTheme="minorEastAsia"/>
        </w:rPr>
        <w:t xml:space="preserve">across 808 camera deployments </w:t>
      </w:r>
      <w:r w:rsidR="005660CA">
        <w:rPr>
          <w:rFonts w:eastAsiaTheme="minorEastAsia"/>
        </w:rPr>
        <w:t>at 569 sites</w:t>
      </w:r>
      <w:r w:rsidR="00305139">
        <w:rPr>
          <w:rFonts w:eastAsiaTheme="minorEastAsia"/>
        </w:rPr>
        <w:t xml:space="preserve"> in 10 UWIN cities</w:t>
      </w:r>
      <w:r w:rsidR="005F7CEB">
        <w:rPr>
          <w:rFonts w:eastAsiaTheme="minorEastAsia"/>
        </w:rPr>
        <w:t>.</w:t>
      </w:r>
      <w:r w:rsidR="00431C1C">
        <w:rPr>
          <w:rFonts w:eastAsiaTheme="minorEastAsia"/>
        </w:rPr>
        <w:t xml:space="preserve"> </w:t>
      </w:r>
      <w:r w:rsidR="005F7CEB">
        <w:rPr>
          <w:rFonts w:eastAsiaTheme="minorEastAsia"/>
        </w:rPr>
        <w:t>E</w:t>
      </w:r>
      <w:r w:rsidR="000E0F25">
        <w:rPr>
          <w:rFonts w:eastAsiaTheme="minorEastAsia"/>
        </w:rPr>
        <w:t>ight species had enough data to analyze</w:t>
      </w:r>
      <w:r w:rsidR="005F7CEB">
        <w:rPr>
          <w:rFonts w:eastAsiaTheme="minorEastAsia"/>
        </w:rPr>
        <w:t xml:space="preserve">, which represent </w:t>
      </w:r>
      <w:r w:rsidR="005660CA">
        <w:rPr>
          <w:rFonts w:eastAsiaTheme="minorEastAsia"/>
        </w:rPr>
        <w:t>a</w:t>
      </w:r>
      <w:r w:rsidR="005F7CEB">
        <w:rPr>
          <w:rFonts w:eastAsiaTheme="minorEastAsia"/>
        </w:rPr>
        <w:t xml:space="preserve"> common suite of urban adapted </w:t>
      </w:r>
      <w:r w:rsidR="00ED3A83">
        <w:rPr>
          <w:rFonts w:eastAsiaTheme="minorEastAsia"/>
        </w:rPr>
        <w:t>medium to large mammals</w:t>
      </w:r>
      <w:r w:rsidR="00B55551">
        <w:rPr>
          <w:rFonts w:eastAsiaTheme="minorEastAsia"/>
        </w:rPr>
        <w:t xml:space="preserve"> </w:t>
      </w:r>
      <w:r w:rsidR="00B134D7">
        <w:rPr>
          <w:rFonts w:eastAsiaTheme="minorEastAsia"/>
        </w:rPr>
        <w:t>throughout</w:t>
      </w:r>
      <w:r w:rsidR="00B55551">
        <w:rPr>
          <w:rFonts w:eastAsiaTheme="minorEastAsia"/>
        </w:rPr>
        <w:t xml:space="preserve"> North America</w:t>
      </w:r>
      <w:r w:rsidR="000E0F25">
        <w:rPr>
          <w:rFonts w:eastAsiaTheme="minorEastAsia"/>
        </w:rPr>
        <w:t xml:space="preserve">. </w:t>
      </w:r>
      <w:r w:rsidR="005F7CEB">
        <w:rPr>
          <w:rFonts w:eastAsiaTheme="minorEastAsia"/>
        </w:rPr>
        <w:t>In order of most to least detected,</w:t>
      </w:r>
      <w:r w:rsidR="00ED3A83">
        <w:rPr>
          <w:rFonts w:eastAsiaTheme="minorEastAsia"/>
        </w:rPr>
        <w:t xml:space="preserve"> this included the</w:t>
      </w:r>
      <w:r w:rsidR="005F7CEB">
        <w:rPr>
          <w:rFonts w:eastAsiaTheme="minorEastAsia"/>
        </w:rPr>
        <w:t xml:space="preserve"> raccoon (</w:t>
      </w:r>
      <w:r w:rsidR="005F7CEB">
        <w:rPr>
          <w:rFonts w:eastAsiaTheme="minorEastAsia"/>
          <w:i/>
        </w:rPr>
        <w:t xml:space="preserve">Procyon </w:t>
      </w:r>
      <w:proofErr w:type="spellStart"/>
      <w:r w:rsidR="005F7CEB">
        <w:rPr>
          <w:rFonts w:eastAsiaTheme="minorEastAsia"/>
          <w:i/>
        </w:rPr>
        <w:t>lotor</w:t>
      </w:r>
      <w:proofErr w:type="spellEnd"/>
      <w:r w:rsidR="005F7CEB">
        <w:rPr>
          <w:rFonts w:eastAsiaTheme="minorEastAsia"/>
        </w:rPr>
        <w:t xml:space="preserve">, 5504 detections), eastern gray squirrel </w:t>
      </w:r>
      <w:r w:rsidR="005F7CEB">
        <w:rPr>
          <w:rFonts w:eastAsiaTheme="minorEastAsia"/>
        </w:rPr>
        <w:lastRenderedPageBreak/>
        <w:t>(</w:t>
      </w:r>
      <w:r w:rsidR="005F7CEB">
        <w:rPr>
          <w:rFonts w:eastAsiaTheme="minorEastAsia"/>
          <w:i/>
        </w:rPr>
        <w:t xml:space="preserve">Sciurus </w:t>
      </w:r>
      <w:proofErr w:type="spellStart"/>
      <w:r w:rsidR="005F7CEB" w:rsidRPr="000E0F25">
        <w:rPr>
          <w:rFonts w:eastAsiaTheme="minorEastAsia"/>
          <w:i/>
        </w:rPr>
        <w:t>carolinensis</w:t>
      </w:r>
      <w:proofErr w:type="spellEnd"/>
      <w:r w:rsidR="005F7CEB">
        <w:rPr>
          <w:rFonts w:eastAsiaTheme="minorEastAsia"/>
        </w:rPr>
        <w:t>, 2465 detections), Virginia opossum (</w:t>
      </w:r>
      <w:r w:rsidR="005F7CEB">
        <w:rPr>
          <w:rFonts w:eastAsiaTheme="minorEastAsia"/>
          <w:i/>
        </w:rPr>
        <w:t>Didelphis virginiana</w:t>
      </w:r>
      <w:r w:rsidR="005F7CEB">
        <w:rPr>
          <w:rFonts w:eastAsiaTheme="minorEastAsia"/>
        </w:rPr>
        <w:t>, hereafter opossum, 2210 detections), eastern cottontail rabbit (</w:t>
      </w:r>
      <w:proofErr w:type="spellStart"/>
      <w:r w:rsidR="005F7CEB" w:rsidRPr="000E0F25">
        <w:rPr>
          <w:rFonts w:eastAsiaTheme="minorEastAsia"/>
          <w:i/>
        </w:rPr>
        <w:t>Sylvilagus</w:t>
      </w:r>
      <w:proofErr w:type="spellEnd"/>
      <w:r w:rsidR="005F7CEB" w:rsidRPr="000E0F25">
        <w:rPr>
          <w:rFonts w:eastAsiaTheme="minorEastAsia"/>
          <w:i/>
        </w:rPr>
        <w:t xml:space="preserve"> floridanus</w:t>
      </w:r>
      <w:r w:rsidR="005F7CEB">
        <w:rPr>
          <w:rFonts w:eastAsiaTheme="minorEastAsia"/>
        </w:rPr>
        <w:t xml:space="preserve">, hereafter </w:t>
      </w:r>
      <w:r w:rsidR="00ED3A83">
        <w:rPr>
          <w:rFonts w:eastAsiaTheme="minorEastAsia"/>
        </w:rPr>
        <w:t>e. cottontail</w:t>
      </w:r>
      <w:r w:rsidR="005F7CEB">
        <w:rPr>
          <w:rFonts w:eastAsiaTheme="minorEastAsia"/>
        </w:rPr>
        <w:t>, 1731 detections), fox squirrel (</w:t>
      </w:r>
      <w:r w:rsidR="005F7CEB">
        <w:rPr>
          <w:rFonts w:eastAsiaTheme="minorEastAsia"/>
          <w:i/>
        </w:rPr>
        <w:t xml:space="preserve">S. </w:t>
      </w:r>
      <w:proofErr w:type="spellStart"/>
      <w:r w:rsidR="005F7CEB">
        <w:rPr>
          <w:rFonts w:eastAsiaTheme="minorEastAsia"/>
          <w:i/>
        </w:rPr>
        <w:t>niger</w:t>
      </w:r>
      <w:proofErr w:type="spellEnd"/>
      <w:r w:rsidR="005F7CEB">
        <w:rPr>
          <w:rFonts w:eastAsiaTheme="minorEastAsia"/>
        </w:rPr>
        <w:t>, 1508 detections), coyote (</w:t>
      </w:r>
      <w:proofErr w:type="spellStart"/>
      <w:r w:rsidR="005F7CEB">
        <w:rPr>
          <w:rFonts w:eastAsiaTheme="minorEastAsia"/>
          <w:i/>
        </w:rPr>
        <w:t>Canis</w:t>
      </w:r>
      <w:proofErr w:type="spellEnd"/>
      <w:r w:rsidR="005F7CEB">
        <w:rPr>
          <w:rFonts w:eastAsiaTheme="minorEastAsia"/>
          <w:i/>
        </w:rPr>
        <w:t xml:space="preserve"> </w:t>
      </w:r>
      <w:proofErr w:type="spellStart"/>
      <w:r w:rsidR="005F7CEB">
        <w:rPr>
          <w:rFonts w:eastAsiaTheme="minorEastAsia"/>
          <w:i/>
        </w:rPr>
        <w:t>latrans</w:t>
      </w:r>
      <w:proofErr w:type="spellEnd"/>
      <w:r w:rsidR="005F7CEB">
        <w:rPr>
          <w:rFonts w:eastAsiaTheme="minorEastAsia"/>
        </w:rPr>
        <w:t>, 821 detections), striped skunk (</w:t>
      </w:r>
      <w:r w:rsidR="005F7CEB">
        <w:rPr>
          <w:rFonts w:eastAsiaTheme="minorEastAsia"/>
          <w:i/>
        </w:rPr>
        <w:t xml:space="preserve">Mephitis </w:t>
      </w:r>
      <w:proofErr w:type="spellStart"/>
      <w:r w:rsidR="005F7CEB">
        <w:rPr>
          <w:rFonts w:eastAsiaTheme="minorEastAsia"/>
          <w:i/>
        </w:rPr>
        <w:t>mephitis</w:t>
      </w:r>
      <w:proofErr w:type="spellEnd"/>
      <w:r w:rsidR="005F7CEB">
        <w:rPr>
          <w:rFonts w:eastAsiaTheme="minorEastAsia"/>
        </w:rPr>
        <w:t>, 548 detections), and red fox (</w:t>
      </w:r>
      <w:r w:rsidR="005F7CEB">
        <w:rPr>
          <w:rFonts w:eastAsiaTheme="minorEastAsia"/>
          <w:i/>
        </w:rPr>
        <w:t xml:space="preserve">Vulpes </w:t>
      </w:r>
      <w:proofErr w:type="spellStart"/>
      <w:r w:rsidR="005F7CEB">
        <w:rPr>
          <w:rFonts w:eastAsiaTheme="minorEastAsia"/>
          <w:i/>
        </w:rPr>
        <w:t>vulpes</w:t>
      </w:r>
      <w:proofErr w:type="spellEnd"/>
      <w:r w:rsidR="005F7CEB">
        <w:rPr>
          <w:rFonts w:eastAsiaTheme="minorEastAsia"/>
        </w:rPr>
        <w:t>, 368 detections).</w:t>
      </w:r>
      <w:r w:rsidR="00ED3A83">
        <w:rPr>
          <w:rFonts w:eastAsiaTheme="minorEastAsia"/>
        </w:rPr>
        <w:t xml:space="preserve"> </w:t>
      </w:r>
      <w:commentRangeStart w:id="7"/>
      <w:r w:rsidR="00ED3A83">
        <w:rPr>
          <w:rFonts w:eastAsiaTheme="minorEastAsia"/>
        </w:rPr>
        <w:t xml:space="preserve">Species were detected in an average of 8.25 cities. Gray squirrel </w:t>
      </w:r>
      <w:proofErr w:type="gramStart"/>
      <w:r w:rsidR="00ED3A83">
        <w:rPr>
          <w:rFonts w:eastAsiaTheme="minorEastAsia"/>
        </w:rPr>
        <w:t>were</w:t>
      </w:r>
      <w:proofErr w:type="gramEnd"/>
      <w:r w:rsidR="00ED3A83">
        <w:rPr>
          <w:rFonts w:eastAsiaTheme="minorEastAsia"/>
        </w:rPr>
        <w:t xml:space="preserve"> detected across the fewest number of cities (n = 6), while raccoon were detected </w:t>
      </w:r>
      <w:r w:rsidR="00BE4220">
        <w:rPr>
          <w:rFonts w:eastAsiaTheme="minorEastAsia"/>
        </w:rPr>
        <w:t>in all</w:t>
      </w:r>
      <w:r w:rsidR="00ED3A83">
        <w:rPr>
          <w:rFonts w:eastAsiaTheme="minorEastAsia"/>
        </w:rPr>
        <w:t xml:space="preserve"> 10 cities. </w:t>
      </w:r>
      <w:commentRangeEnd w:id="7"/>
      <w:r w:rsidR="00BE4220">
        <w:rPr>
          <w:rStyle w:val="CommentReference"/>
        </w:rPr>
        <w:commentReference w:id="7"/>
      </w:r>
    </w:p>
    <w:p w14:paraId="380577D1" w14:textId="44D2541C" w:rsidR="00EC5AEA" w:rsidRDefault="00EC5AEA" w:rsidP="005F7CEB">
      <w:pPr>
        <w:rPr>
          <w:rFonts w:eastAsiaTheme="minorEastAsia"/>
        </w:rPr>
      </w:pPr>
    </w:p>
    <w:p w14:paraId="66A1B501" w14:textId="499889EB" w:rsidR="00CA7B0C" w:rsidRDefault="00E8579D" w:rsidP="005F7CEB">
      <w:pPr>
        <w:rPr>
          <w:rFonts w:eastAsiaTheme="minorEastAsia"/>
        </w:rPr>
      </w:pPr>
      <w:r>
        <w:rPr>
          <w:rFonts w:eastAsiaTheme="minorEastAsia"/>
        </w:rPr>
        <w:t>Model selection results indicate</w:t>
      </w:r>
      <w:r w:rsidR="000258B3">
        <w:rPr>
          <w:rFonts w:eastAsiaTheme="minorEastAsia"/>
        </w:rPr>
        <w:t>d</w:t>
      </w:r>
      <w:r>
        <w:rPr>
          <w:rFonts w:eastAsiaTheme="minorEastAsia"/>
        </w:rPr>
        <w:t xml:space="preserve"> that </w:t>
      </w:r>
      <w:r w:rsidR="005C54D3">
        <w:rPr>
          <w:rFonts w:eastAsiaTheme="minorEastAsia"/>
        </w:rPr>
        <w:t>structural differences between cities influenced the</w:t>
      </w:r>
      <w:r w:rsidR="00B134D7">
        <w:rPr>
          <w:rFonts w:eastAsiaTheme="minorEastAsia"/>
        </w:rPr>
        <w:t xml:space="preserve"> within-city</w:t>
      </w:r>
      <w:r w:rsidR="005C54D3">
        <w:rPr>
          <w:rFonts w:eastAsiaTheme="minorEastAsia"/>
        </w:rPr>
        <w:t xml:space="preserve"> habitat dynamics of all but one species, the striped skunk (Table 2). </w:t>
      </w:r>
      <w:r w:rsidR="007563A2">
        <w:rPr>
          <w:rFonts w:eastAsiaTheme="minorEastAsia"/>
        </w:rPr>
        <w:t>S</w:t>
      </w:r>
      <w:r w:rsidR="005C54D3">
        <w:rPr>
          <w:rFonts w:eastAsiaTheme="minorEastAsia"/>
        </w:rPr>
        <w:t>kunk had an average occupancy of 15.26% (95% CI = 10.56 – 20.53</w:t>
      </w:r>
      <w:r w:rsidR="00645E8B">
        <w:rPr>
          <w:rFonts w:eastAsiaTheme="minorEastAsia"/>
        </w:rPr>
        <w:t xml:space="preserve">, Figure </w:t>
      </w:r>
      <w:r w:rsidR="00212967">
        <w:rPr>
          <w:rFonts w:eastAsiaTheme="minorEastAsia"/>
        </w:rPr>
        <w:t>1</w:t>
      </w:r>
      <w:r w:rsidR="00645E8B">
        <w:rPr>
          <w:rFonts w:eastAsiaTheme="minorEastAsia"/>
        </w:rPr>
        <w:t>a</w:t>
      </w:r>
      <w:r w:rsidR="005C54D3">
        <w:rPr>
          <w:rFonts w:eastAsiaTheme="minorEastAsia"/>
        </w:rPr>
        <w:t>)</w:t>
      </w:r>
      <w:r w:rsidR="008A78BA">
        <w:rPr>
          <w:rFonts w:eastAsiaTheme="minorEastAsia"/>
        </w:rPr>
        <w:t xml:space="preserve"> across cities</w:t>
      </w:r>
      <w:r w:rsidR="005C54D3">
        <w:rPr>
          <w:rFonts w:eastAsiaTheme="minorEastAsia"/>
        </w:rPr>
        <w:t xml:space="preserve"> with little </w:t>
      </w:r>
      <w:r w:rsidR="00CA7B0C">
        <w:rPr>
          <w:rFonts w:eastAsiaTheme="minorEastAsia"/>
        </w:rPr>
        <w:t>between</w:t>
      </w:r>
      <w:r w:rsidR="00B134D7">
        <w:rPr>
          <w:rFonts w:eastAsiaTheme="minorEastAsia"/>
        </w:rPr>
        <w:t>-</w:t>
      </w:r>
      <w:r w:rsidR="00CA7B0C">
        <w:rPr>
          <w:rFonts w:eastAsiaTheme="minorEastAsia"/>
        </w:rPr>
        <w:t>city variability</w:t>
      </w:r>
      <w:r w:rsidR="005C54D3">
        <w:rPr>
          <w:rFonts w:eastAsiaTheme="minorEastAsia"/>
        </w:rPr>
        <w:t xml:space="preserve"> (</w:t>
      </w:r>
      <w:proofErr w:type="spellStart"/>
      <w:r w:rsidR="005C54D3">
        <w:rPr>
          <w:rFonts w:eastAsiaTheme="minorEastAsia" w:cstheme="minorHAnsi"/>
        </w:rPr>
        <w:t>σ</w:t>
      </w:r>
      <w:r w:rsidR="005C54D3">
        <w:rPr>
          <w:rFonts w:eastAsiaTheme="minorEastAsia"/>
          <w:vertAlign w:val="subscript"/>
        </w:rPr>
        <w:t>skunk</w:t>
      </w:r>
      <w:proofErr w:type="spellEnd"/>
      <w:r w:rsidR="005C54D3">
        <w:rPr>
          <w:rFonts w:eastAsiaTheme="minorEastAsia"/>
        </w:rPr>
        <w:t xml:space="preserve"> = 0.14, 95% CI = 0.01 – 0.55). </w:t>
      </w:r>
      <w:r w:rsidR="00BE4220">
        <w:rPr>
          <w:rFonts w:eastAsiaTheme="minorEastAsia"/>
        </w:rPr>
        <w:t>Skunk</w:t>
      </w:r>
      <w:r w:rsidR="00FC29A1">
        <w:rPr>
          <w:rFonts w:eastAsiaTheme="minorEastAsia"/>
        </w:rPr>
        <w:t xml:space="preserve"> responded negatively</w:t>
      </w:r>
      <w:r w:rsidR="00BE4220">
        <w:rPr>
          <w:rFonts w:eastAsiaTheme="minorEastAsia"/>
        </w:rPr>
        <w:t xml:space="preserve"> to site-level housing density</w:t>
      </w:r>
      <w:r w:rsidR="00FC29A1">
        <w:rPr>
          <w:rFonts w:eastAsiaTheme="minorEastAsia"/>
        </w:rPr>
        <w:t>, which indicates that skunk</w:t>
      </w:r>
      <w:r w:rsidR="00FC29A1">
        <w:rPr>
          <w:rFonts w:eastAsiaTheme="minorEastAsia"/>
        </w:rPr>
        <w:t xml:space="preserve"> w</w:t>
      </w:r>
      <w:r w:rsidR="00FC29A1">
        <w:rPr>
          <w:rFonts w:eastAsiaTheme="minorEastAsia"/>
        </w:rPr>
        <w:t>ere</w:t>
      </w:r>
      <w:r w:rsidR="00FC29A1">
        <w:rPr>
          <w:rFonts w:eastAsiaTheme="minorEastAsia"/>
        </w:rPr>
        <w:t xml:space="preserve"> more likely to occupy habitat patches away from dense human </w:t>
      </w:r>
      <w:proofErr w:type="gramStart"/>
      <w:r w:rsidR="00FC29A1">
        <w:rPr>
          <w:rFonts w:eastAsiaTheme="minorEastAsia"/>
        </w:rPr>
        <w:t>populations</w:t>
      </w:r>
      <w:r w:rsidR="00FC29A1">
        <w:rPr>
          <w:rFonts w:eastAsiaTheme="minorEastAsia"/>
        </w:rPr>
        <w:t>,  and</w:t>
      </w:r>
      <w:proofErr w:type="gramEnd"/>
      <w:r w:rsidR="00FC29A1">
        <w:rPr>
          <w:rFonts w:eastAsiaTheme="minorEastAsia"/>
        </w:rPr>
        <w:t xml:space="preserve"> this relationship did</w:t>
      </w:r>
      <w:r w:rsidR="00BE4220">
        <w:rPr>
          <w:rFonts w:eastAsiaTheme="minorEastAsia"/>
        </w:rPr>
        <w:t xml:space="preserve"> not differ between cities (Figure 1b). </w:t>
      </w:r>
      <w:r w:rsidR="008A78BA">
        <w:rPr>
          <w:rFonts w:eastAsiaTheme="minorEastAsia"/>
        </w:rPr>
        <w:t xml:space="preserve">For example, </w:t>
      </w:r>
      <w:r w:rsidR="005C54D3">
        <w:rPr>
          <w:rFonts w:eastAsiaTheme="minorEastAsia"/>
        </w:rPr>
        <w:t>a 1,000 unit increase</w:t>
      </w:r>
      <w:r w:rsidR="00CA7B0C">
        <w:rPr>
          <w:rFonts w:eastAsiaTheme="minorEastAsia"/>
        </w:rPr>
        <w:t xml:space="preserve"> from a cities average</w:t>
      </w:r>
      <w:r w:rsidR="005C54D3">
        <w:rPr>
          <w:rFonts w:eastAsiaTheme="minorEastAsia"/>
        </w:rPr>
        <w:t xml:space="preserve"> housing density </w:t>
      </w:r>
      <w:r w:rsidR="00CA7B0C">
        <w:rPr>
          <w:rFonts w:eastAsiaTheme="minorEastAsia"/>
        </w:rPr>
        <w:t xml:space="preserve">decreased skunk patch occupancy by roughly 5% to 10.89% (95% CI = 6.71 – 16.29). </w:t>
      </w:r>
    </w:p>
    <w:p w14:paraId="6EF89111" w14:textId="50E23B40" w:rsidR="008A78BA" w:rsidRDefault="008A78BA" w:rsidP="005F7CEB">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010"/>
        <w:gridCol w:w="1812"/>
        <w:gridCol w:w="1132"/>
        <w:gridCol w:w="1132"/>
      </w:tblGrid>
      <w:tr w:rsidR="008A78BA" w:rsidRPr="00362A29" w14:paraId="50D2F790" w14:textId="77777777" w:rsidTr="00C250E5">
        <w:trPr>
          <w:trHeight w:val="300"/>
          <w:jc w:val="center"/>
        </w:trPr>
        <w:tc>
          <w:tcPr>
            <w:tcW w:w="6701" w:type="dxa"/>
            <w:gridSpan w:val="5"/>
            <w:tcBorders>
              <w:bottom w:val="single" w:sz="4" w:space="0" w:color="auto"/>
            </w:tcBorders>
            <w:noWrap/>
            <w:vAlign w:val="center"/>
          </w:tcPr>
          <w:p w14:paraId="550F8E4D" w14:textId="74F0AD5D" w:rsidR="008A78BA" w:rsidRPr="00EC5AEA" w:rsidRDefault="008A78BA" w:rsidP="00C250E5">
            <w:pPr>
              <w:rPr>
                <w:rFonts w:eastAsiaTheme="minorEastAsia"/>
              </w:rPr>
            </w:pPr>
            <w:r>
              <w:rPr>
                <w:rFonts w:eastAsiaTheme="minorEastAsia"/>
              </w:rPr>
              <w:t xml:space="preserve">Table 2. Model selection results of the four candidate models fit to each species data. Models were compared with the summary statistic </w:t>
            </w:r>
            <m:oMath>
              <m:r>
                <w:rPr>
                  <w:rFonts w:ascii="Cambria Math" w:hAnsi="Cambria Math"/>
                </w:rPr>
                <m:t>-</m:t>
              </m:r>
              <m:nary>
                <m:naryPr>
                  <m:chr m:val="∑"/>
                  <m:limLoc m:val="subSup"/>
                  <m:supHide m:val="1"/>
                  <m:ctrlPr>
                    <w:rPr>
                      <w:rFonts w:ascii="Cambria Math" w:hAnsi="Cambria Math"/>
                      <w:i/>
                    </w:rPr>
                  </m:ctrlPr>
                </m:naryPr>
                <m:sub>
                  <m:r>
                    <w:rPr>
                      <w:rFonts w:ascii="Cambria Math" w:hAnsi="Cambria Math"/>
                    </w:rPr>
                    <m:t>k,t</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CPO</m:t>
                              </m:r>
                            </m:e>
                            <m:sub>
                              <m:r>
                                <w:rPr>
                                  <w:rFonts w:ascii="Cambria Math" w:hAnsi="Cambria Math"/>
                                </w:rPr>
                                <m:t>k,t</m:t>
                              </m:r>
                            </m:sub>
                          </m:sSub>
                        </m:e>
                      </m:d>
                    </m:e>
                  </m:func>
                </m:e>
              </m:nary>
            </m:oMath>
            <w:r>
              <w:rPr>
                <w:rFonts w:eastAsiaTheme="minorEastAsia"/>
              </w:rPr>
              <w:t xml:space="preserve"> for data point </w:t>
            </w:r>
            <w:r w:rsidRPr="00EC5680">
              <w:rPr>
                <w:rFonts w:eastAsiaTheme="minorEastAsia"/>
                <w:i/>
              </w:rPr>
              <w:t>k</w:t>
            </w:r>
            <w:r>
              <w:rPr>
                <w:rFonts w:eastAsiaTheme="minorEastAsia"/>
              </w:rPr>
              <w:t xml:space="preserve"> and MCMC step </w:t>
            </w:r>
            <w:r w:rsidRPr="00EC5680">
              <w:rPr>
                <w:rFonts w:eastAsiaTheme="minorEastAsia"/>
                <w:i/>
              </w:rPr>
              <w:t>t</w:t>
            </w:r>
            <w:r>
              <w:rPr>
                <w:rFonts w:eastAsiaTheme="minorEastAsia"/>
              </w:rPr>
              <w:t>, where CPO is the conditional predictive ordinate. Lower values indicate better model fit. The lowest score</w:t>
            </w:r>
            <w:r w:rsidR="00BE4220">
              <w:rPr>
                <w:rFonts w:eastAsiaTheme="minorEastAsia"/>
              </w:rPr>
              <w:t>, which represents the best fit model,</w:t>
            </w:r>
            <w:r>
              <w:rPr>
                <w:rFonts w:eastAsiaTheme="minorEastAsia"/>
              </w:rPr>
              <w:t xml:space="preserve"> is bolded for each species.</w:t>
            </w:r>
            <w:r w:rsidR="00FC29A1">
              <w:rPr>
                <w:rFonts w:eastAsiaTheme="minorEastAsia"/>
              </w:rPr>
              <w:t xml:space="preserve"> Species are sorted by their best fit model.</w:t>
            </w:r>
            <w:bookmarkStart w:id="8" w:name="_GoBack"/>
            <w:bookmarkEnd w:id="8"/>
          </w:p>
        </w:tc>
      </w:tr>
      <w:tr w:rsidR="008A78BA" w:rsidRPr="00362A29" w14:paraId="1807F464" w14:textId="77777777" w:rsidTr="00C250E5">
        <w:trPr>
          <w:trHeight w:val="300"/>
          <w:jc w:val="center"/>
        </w:trPr>
        <w:tc>
          <w:tcPr>
            <w:tcW w:w="1615" w:type="dxa"/>
            <w:tcBorders>
              <w:top w:val="single" w:sz="4" w:space="0" w:color="auto"/>
              <w:bottom w:val="single" w:sz="4" w:space="0" w:color="auto"/>
            </w:tcBorders>
            <w:noWrap/>
            <w:vAlign w:val="center"/>
            <w:hideMark/>
          </w:tcPr>
          <w:p w14:paraId="4870361D" w14:textId="77777777" w:rsidR="008A78BA" w:rsidRPr="00362A29" w:rsidRDefault="008A78BA" w:rsidP="00C250E5">
            <w:r>
              <w:t>S</w:t>
            </w:r>
            <w:r w:rsidRPr="00362A29">
              <w:t>pecies</w:t>
            </w:r>
          </w:p>
        </w:tc>
        <w:tc>
          <w:tcPr>
            <w:tcW w:w="1010" w:type="dxa"/>
            <w:tcBorders>
              <w:top w:val="single" w:sz="4" w:space="0" w:color="auto"/>
              <w:bottom w:val="single" w:sz="4" w:space="0" w:color="auto"/>
            </w:tcBorders>
            <w:noWrap/>
            <w:vAlign w:val="center"/>
            <w:hideMark/>
          </w:tcPr>
          <w:p w14:paraId="13D8D878" w14:textId="77777777" w:rsidR="008A78BA" w:rsidRPr="00362A29" w:rsidRDefault="008A78BA" w:rsidP="00C250E5">
            <w:pPr>
              <w:jc w:val="right"/>
            </w:pPr>
            <w:proofErr w:type="spellStart"/>
            <w:r>
              <w:rPr>
                <w:rFonts w:eastAsiaTheme="minorEastAsia"/>
                <w:i/>
              </w:rPr>
              <w:t>M</w:t>
            </w:r>
            <w:r>
              <w:rPr>
                <w:rFonts w:eastAsiaTheme="minorEastAsia"/>
                <w:i/>
                <w:vertAlign w:val="subscript"/>
              </w:rPr>
              <w:t>global</w:t>
            </w:r>
            <w:proofErr w:type="spellEnd"/>
          </w:p>
        </w:tc>
        <w:tc>
          <w:tcPr>
            <w:tcW w:w="1812" w:type="dxa"/>
            <w:tcBorders>
              <w:top w:val="single" w:sz="4" w:space="0" w:color="auto"/>
              <w:bottom w:val="single" w:sz="4" w:space="0" w:color="auto"/>
            </w:tcBorders>
            <w:noWrap/>
            <w:vAlign w:val="center"/>
            <w:hideMark/>
          </w:tcPr>
          <w:p w14:paraId="00F53695" w14:textId="77777777" w:rsidR="008A78BA" w:rsidRPr="00362A29" w:rsidRDefault="008A78BA" w:rsidP="00C250E5">
            <w:pPr>
              <w:jc w:val="right"/>
            </w:pPr>
            <w:proofErr w:type="spellStart"/>
            <w:r>
              <w:rPr>
                <w:rFonts w:eastAsiaTheme="minorEastAsia"/>
                <w:i/>
              </w:rPr>
              <w:t>M</w:t>
            </w:r>
            <w:r>
              <w:rPr>
                <w:rFonts w:eastAsiaTheme="minorEastAsia"/>
                <w:i/>
              </w:rPr>
              <w:softHyphen/>
            </w:r>
            <w:r>
              <w:rPr>
                <w:rFonts w:eastAsiaTheme="minorEastAsia"/>
                <w:i/>
                <w:vertAlign w:val="subscript"/>
              </w:rPr>
              <w:t>housing</w:t>
            </w:r>
            <w:proofErr w:type="spellEnd"/>
          </w:p>
        </w:tc>
        <w:tc>
          <w:tcPr>
            <w:tcW w:w="1132" w:type="dxa"/>
            <w:tcBorders>
              <w:top w:val="single" w:sz="4" w:space="0" w:color="auto"/>
              <w:bottom w:val="single" w:sz="4" w:space="0" w:color="auto"/>
            </w:tcBorders>
            <w:noWrap/>
            <w:vAlign w:val="center"/>
            <w:hideMark/>
          </w:tcPr>
          <w:p w14:paraId="5A3BB470" w14:textId="77777777" w:rsidR="008A78BA" w:rsidRPr="00362A29" w:rsidRDefault="008A78BA" w:rsidP="00C250E5">
            <w:pPr>
              <w:jc w:val="right"/>
            </w:pPr>
            <w:proofErr w:type="spellStart"/>
            <w:r>
              <w:rPr>
                <w:rFonts w:eastAsiaTheme="minorEastAsia"/>
                <w:i/>
              </w:rPr>
              <w:t>M</w:t>
            </w:r>
            <w:r>
              <w:rPr>
                <w:rFonts w:eastAsiaTheme="minorEastAsia"/>
                <w:i/>
                <w:vertAlign w:val="subscript"/>
              </w:rPr>
              <w:t>habitat</w:t>
            </w:r>
            <w:proofErr w:type="spellEnd"/>
          </w:p>
        </w:tc>
        <w:tc>
          <w:tcPr>
            <w:tcW w:w="1132" w:type="dxa"/>
            <w:tcBorders>
              <w:top w:val="single" w:sz="4" w:space="0" w:color="auto"/>
              <w:bottom w:val="single" w:sz="4" w:space="0" w:color="auto"/>
            </w:tcBorders>
            <w:noWrap/>
            <w:vAlign w:val="center"/>
            <w:hideMark/>
          </w:tcPr>
          <w:p w14:paraId="3F862360" w14:textId="77777777" w:rsidR="008A78BA" w:rsidRPr="00362A29" w:rsidRDefault="008A78BA" w:rsidP="00C250E5">
            <w:pPr>
              <w:jc w:val="right"/>
            </w:pPr>
            <w:proofErr w:type="spellStart"/>
            <w:r>
              <w:rPr>
                <w:rFonts w:eastAsiaTheme="minorEastAsia"/>
                <w:i/>
              </w:rPr>
              <w:t>M</w:t>
            </w:r>
            <w:r>
              <w:rPr>
                <w:rFonts w:eastAsiaTheme="minorEastAsia"/>
                <w:i/>
              </w:rPr>
              <w:softHyphen/>
            </w:r>
            <w:r>
              <w:rPr>
                <w:rFonts w:eastAsiaTheme="minorEastAsia"/>
                <w:i/>
                <w:vertAlign w:val="subscript"/>
              </w:rPr>
              <w:t>null</w:t>
            </w:r>
            <w:proofErr w:type="spellEnd"/>
          </w:p>
        </w:tc>
      </w:tr>
      <w:tr w:rsidR="008A78BA" w:rsidRPr="00362A29" w14:paraId="406C4682" w14:textId="77777777" w:rsidTr="00C250E5">
        <w:trPr>
          <w:trHeight w:val="300"/>
          <w:jc w:val="center"/>
        </w:trPr>
        <w:tc>
          <w:tcPr>
            <w:tcW w:w="1615" w:type="dxa"/>
            <w:tcBorders>
              <w:top w:val="single" w:sz="4" w:space="0" w:color="auto"/>
            </w:tcBorders>
            <w:noWrap/>
            <w:vAlign w:val="center"/>
            <w:hideMark/>
          </w:tcPr>
          <w:p w14:paraId="043763FE" w14:textId="77777777" w:rsidR="008A78BA" w:rsidRPr="00362A29" w:rsidRDefault="008A78BA" w:rsidP="00C250E5">
            <w:r>
              <w:rPr>
                <w:rFonts w:ascii="Calibri" w:hAnsi="Calibri" w:cs="Calibri"/>
                <w:color w:val="000000"/>
              </w:rPr>
              <w:t>gray squirrel</w:t>
            </w:r>
          </w:p>
        </w:tc>
        <w:tc>
          <w:tcPr>
            <w:tcW w:w="1010" w:type="dxa"/>
            <w:tcBorders>
              <w:top w:val="single" w:sz="4" w:space="0" w:color="auto"/>
            </w:tcBorders>
            <w:noWrap/>
            <w:vAlign w:val="center"/>
            <w:hideMark/>
          </w:tcPr>
          <w:p w14:paraId="5C03BB92" w14:textId="77777777" w:rsidR="008A78BA" w:rsidRPr="00362A29" w:rsidRDefault="008A78BA" w:rsidP="00C250E5">
            <w:pPr>
              <w:jc w:val="right"/>
            </w:pPr>
            <w:r>
              <w:rPr>
                <w:rFonts w:ascii="Calibri" w:hAnsi="Calibri" w:cs="Calibri"/>
                <w:b/>
                <w:bCs/>
                <w:color w:val="000000"/>
              </w:rPr>
              <w:t>2128.28</w:t>
            </w:r>
          </w:p>
        </w:tc>
        <w:tc>
          <w:tcPr>
            <w:tcW w:w="1812" w:type="dxa"/>
            <w:tcBorders>
              <w:top w:val="single" w:sz="4" w:space="0" w:color="auto"/>
            </w:tcBorders>
            <w:noWrap/>
            <w:vAlign w:val="center"/>
            <w:hideMark/>
          </w:tcPr>
          <w:p w14:paraId="163FC801" w14:textId="77777777" w:rsidR="008A78BA" w:rsidRPr="00362A29" w:rsidRDefault="008A78BA" w:rsidP="00C250E5">
            <w:pPr>
              <w:jc w:val="right"/>
              <w:rPr>
                <w:b/>
              </w:rPr>
            </w:pPr>
            <w:r>
              <w:rPr>
                <w:rFonts w:ascii="Calibri" w:hAnsi="Calibri" w:cs="Calibri"/>
                <w:color w:val="000000"/>
              </w:rPr>
              <w:t>2131.34</w:t>
            </w:r>
          </w:p>
        </w:tc>
        <w:tc>
          <w:tcPr>
            <w:tcW w:w="1132" w:type="dxa"/>
            <w:tcBorders>
              <w:top w:val="single" w:sz="4" w:space="0" w:color="auto"/>
            </w:tcBorders>
            <w:noWrap/>
            <w:vAlign w:val="center"/>
            <w:hideMark/>
          </w:tcPr>
          <w:p w14:paraId="27E87A6C" w14:textId="77777777" w:rsidR="008A78BA" w:rsidRPr="00362A29" w:rsidRDefault="008A78BA" w:rsidP="00C250E5">
            <w:pPr>
              <w:jc w:val="right"/>
            </w:pPr>
            <w:r>
              <w:rPr>
                <w:rFonts w:ascii="Calibri" w:hAnsi="Calibri" w:cs="Calibri"/>
                <w:color w:val="000000"/>
              </w:rPr>
              <w:t>2128.63</w:t>
            </w:r>
          </w:p>
        </w:tc>
        <w:tc>
          <w:tcPr>
            <w:tcW w:w="1132" w:type="dxa"/>
            <w:tcBorders>
              <w:top w:val="single" w:sz="4" w:space="0" w:color="auto"/>
            </w:tcBorders>
            <w:noWrap/>
            <w:vAlign w:val="center"/>
            <w:hideMark/>
          </w:tcPr>
          <w:p w14:paraId="1CAD5395" w14:textId="77777777" w:rsidR="008A78BA" w:rsidRPr="00362A29" w:rsidRDefault="008A78BA" w:rsidP="00C250E5">
            <w:pPr>
              <w:jc w:val="right"/>
            </w:pPr>
            <w:r>
              <w:rPr>
                <w:rFonts w:ascii="Calibri" w:hAnsi="Calibri" w:cs="Calibri"/>
                <w:color w:val="000000"/>
              </w:rPr>
              <w:t>2129.17</w:t>
            </w:r>
          </w:p>
        </w:tc>
      </w:tr>
      <w:tr w:rsidR="008A78BA" w:rsidRPr="00362A29" w14:paraId="63EA608B" w14:textId="77777777" w:rsidTr="00C250E5">
        <w:trPr>
          <w:trHeight w:val="300"/>
          <w:jc w:val="center"/>
        </w:trPr>
        <w:tc>
          <w:tcPr>
            <w:tcW w:w="1615" w:type="dxa"/>
            <w:noWrap/>
            <w:vAlign w:val="center"/>
            <w:hideMark/>
          </w:tcPr>
          <w:p w14:paraId="14D9B8BA" w14:textId="77777777" w:rsidR="008A78BA" w:rsidRPr="00362A29" w:rsidRDefault="008A78BA" w:rsidP="00C250E5">
            <w:r>
              <w:rPr>
                <w:rFonts w:ascii="Calibri" w:hAnsi="Calibri" w:cs="Calibri"/>
                <w:color w:val="000000"/>
              </w:rPr>
              <w:t>coyote</w:t>
            </w:r>
          </w:p>
        </w:tc>
        <w:tc>
          <w:tcPr>
            <w:tcW w:w="1010" w:type="dxa"/>
            <w:noWrap/>
            <w:vAlign w:val="center"/>
            <w:hideMark/>
          </w:tcPr>
          <w:p w14:paraId="7F9086B1" w14:textId="77777777" w:rsidR="008A78BA" w:rsidRPr="00362A29" w:rsidRDefault="008A78BA" w:rsidP="00C250E5">
            <w:pPr>
              <w:jc w:val="right"/>
            </w:pPr>
            <w:r>
              <w:rPr>
                <w:rFonts w:ascii="Calibri" w:hAnsi="Calibri" w:cs="Calibri"/>
                <w:color w:val="000000"/>
              </w:rPr>
              <w:t>1211.06</w:t>
            </w:r>
          </w:p>
        </w:tc>
        <w:tc>
          <w:tcPr>
            <w:tcW w:w="1812" w:type="dxa"/>
            <w:noWrap/>
            <w:vAlign w:val="center"/>
            <w:hideMark/>
          </w:tcPr>
          <w:p w14:paraId="668C2D4F" w14:textId="77777777" w:rsidR="008A78BA" w:rsidRPr="00362A29" w:rsidRDefault="008A78BA" w:rsidP="00C250E5">
            <w:pPr>
              <w:jc w:val="right"/>
              <w:rPr>
                <w:b/>
              </w:rPr>
            </w:pPr>
            <w:r>
              <w:rPr>
                <w:rFonts w:ascii="Calibri" w:hAnsi="Calibri" w:cs="Calibri"/>
                <w:b/>
                <w:bCs/>
                <w:color w:val="000000"/>
              </w:rPr>
              <w:t>1209.59</w:t>
            </w:r>
          </w:p>
        </w:tc>
        <w:tc>
          <w:tcPr>
            <w:tcW w:w="1132" w:type="dxa"/>
            <w:noWrap/>
            <w:vAlign w:val="center"/>
            <w:hideMark/>
          </w:tcPr>
          <w:p w14:paraId="2AB31707" w14:textId="77777777" w:rsidR="008A78BA" w:rsidRPr="00362A29" w:rsidRDefault="008A78BA" w:rsidP="00C250E5">
            <w:pPr>
              <w:jc w:val="right"/>
            </w:pPr>
            <w:r>
              <w:rPr>
                <w:rFonts w:ascii="Calibri" w:hAnsi="Calibri" w:cs="Calibri"/>
                <w:color w:val="000000"/>
              </w:rPr>
              <w:t>1210.46</w:t>
            </w:r>
          </w:p>
        </w:tc>
        <w:tc>
          <w:tcPr>
            <w:tcW w:w="1132" w:type="dxa"/>
            <w:noWrap/>
            <w:vAlign w:val="center"/>
            <w:hideMark/>
          </w:tcPr>
          <w:p w14:paraId="33872D87" w14:textId="77777777" w:rsidR="008A78BA" w:rsidRPr="00362A29" w:rsidRDefault="008A78BA" w:rsidP="00C250E5">
            <w:pPr>
              <w:jc w:val="right"/>
            </w:pPr>
            <w:r>
              <w:rPr>
                <w:rFonts w:ascii="Calibri" w:hAnsi="Calibri" w:cs="Calibri"/>
                <w:color w:val="000000"/>
              </w:rPr>
              <w:t>1215.48</w:t>
            </w:r>
          </w:p>
        </w:tc>
      </w:tr>
      <w:tr w:rsidR="008A78BA" w:rsidRPr="00362A29" w14:paraId="00FBC7D4" w14:textId="77777777" w:rsidTr="00C250E5">
        <w:trPr>
          <w:trHeight w:val="300"/>
          <w:jc w:val="center"/>
        </w:trPr>
        <w:tc>
          <w:tcPr>
            <w:tcW w:w="1615" w:type="dxa"/>
            <w:noWrap/>
            <w:vAlign w:val="center"/>
            <w:hideMark/>
          </w:tcPr>
          <w:p w14:paraId="31869FCB" w14:textId="77777777" w:rsidR="008A78BA" w:rsidRPr="00362A29" w:rsidRDefault="008A78BA" w:rsidP="00C250E5">
            <w:r>
              <w:rPr>
                <w:rFonts w:ascii="Calibri" w:hAnsi="Calibri" w:cs="Calibri"/>
                <w:color w:val="000000"/>
              </w:rPr>
              <w:t>opossum</w:t>
            </w:r>
          </w:p>
        </w:tc>
        <w:tc>
          <w:tcPr>
            <w:tcW w:w="1010" w:type="dxa"/>
            <w:noWrap/>
            <w:vAlign w:val="center"/>
            <w:hideMark/>
          </w:tcPr>
          <w:p w14:paraId="14AD0CC9" w14:textId="77777777" w:rsidR="008A78BA" w:rsidRPr="00362A29" w:rsidRDefault="008A78BA" w:rsidP="00C250E5">
            <w:pPr>
              <w:jc w:val="right"/>
            </w:pPr>
            <w:r>
              <w:rPr>
                <w:rFonts w:ascii="Calibri" w:hAnsi="Calibri" w:cs="Calibri"/>
                <w:color w:val="000000"/>
              </w:rPr>
              <w:t>2205.11</w:t>
            </w:r>
          </w:p>
        </w:tc>
        <w:tc>
          <w:tcPr>
            <w:tcW w:w="1812" w:type="dxa"/>
            <w:noWrap/>
            <w:vAlign w:val="center"/>
            <w:hideMark/>
          </w:tcPr>
          <w:p w14:paraId="4DD02CEC" w14:textId="77777777" w:rsidR="008A78BA" w:rsidRPr="00362A29" w:rsidRDefault="008A78BA" w:rsidP="00C250E5">
            <w:pPr>
              <w:jc w:val="right"/>
            </w:pPr>
            <w:r>
              <w:rPr>
                <w:rFonts w:ascii="Calibri" w:hAnsi="Calibri" w:cs="Calibri"/>
                <w:b/>
                <w:bCs/>
                <w:color w:val="000000"/>
              </w:rPr>
              <w:t>2204.39</w:t>
            </w:r>
          </w:p>
        </w:tc>
        <w:tc>
          <w:tcPr>
            <w:tcW w:w="1132" w:type="dxa"/>
            <w:noWrap/>
            <w:vAlign w:val="center"/>
            <w:hideMark/>
          </w:tcPr>
          <w:p w14:paraId="46583286" w14:textId="77777777" w:rsidR="008A78BA" w:rsidRPr="00362A29" w:rsidRDefault="008A78BA" w:rsidP="00C250E5">
            <w:pPr>
              <w:jc w:val="right"/>
              <w:rPr>
                <w:b/>
              </w:rPr>
            </w:pPr>
            <w:r>
              <w:rPr>
                <w:rFonts w:ascii="Calibri" w:hAnsi="Calibri" w:cs="Calibri"/>
                <w:color w:val="000000"/>
              </w:rPr>
              <w:t>2204.95</w:t>
            </w:r>
          </w:p>
        </w:tc>
        <w:tc>
          <w:tcPr>
            <w:tcW w:w="1132" w:type="dxa"/>
            <w:noWrap/>
            <w:vAlign w:val="center"/>
            <w:hideMark/>
          </w:tcPr>
          <w:p w14:paraId="409721E3" w14:textId="77777777" w:rsidR="008A78BA" w:rsidRPr="00362A29" w:rsidRDefault="008A78BA" w:rsidP="00C250E5">
            <w:pPr>
              <w:jc w:val="right"/>
            </w:pPr>
            <w:r>
              <w:rPr>
                <w:rFonts w:ascii="Calibri" w:hAnsi="Calibri" w:cs="Calibri"/>
                <w:color w:val="000000"/>
              </w:rPr>
              <w:t>2205.8</w:t>
            </w:r>
          </w:p>
        </w:tc>
      </w:tr>
      <w:tr w:rsidR="008A78BA" w:rsidRPr="00362A29" w14:paraId="75A999B9" w14:textId="77777777" w:rsidTr="00C250E5">
        <w:trPr>
          <w:trHeight w:val="300"/>
          <w:jc w:val="center"/>
        </w:trPr>
        <w:tc>
          <w:tcPr>
            <w:tcW w:w="1615" w:type="dxa"/>
            <w:noWrap/>
            <w:vAlign w:val="center"/>
            <w:hideMark/>
          </w:tcPr>
          <w:p w14:paraId="562DB2A2" w14:textId="77777777" w:rsidR="008A78BA" w:rsidRPr="00362A29" w:rsidRDefault="008A78BA" w:rsidP="00C250E5">
            <w:r>
              <w:rPr>
                <w:rFonts w:ascii="Calibri" w:hAnsi="Calibri" w:cs="Calibri"/>
                <w:color w:val="000000"/>
              </w:rPr>
              <w:t>raccoon</w:t>
            </w:r>
          </w:p>
        </w:tc>
        <w:tc>
          <w:tcPr>
            <w:tcW w:w="1010" w:type="dxa"/>
            <w:noWrap/>
            <w:vAlign w:val="center"/>
            <w:hideMark/>
          </w:tcPr>
          <w:p w14:paraId="322AC78C" w14:textId="77777777" w:rsidR="008A78BA" w:rsidRPr="00362A29" w:rsidRDefault="008A78BA" w:rsidP="00C250E5">
            <w:pPr>
              <w:jc w:val="right"/>
            </w:pPr>
            <w:r>
              <w:rPr>
                <w:rFonts w:ascii="Calibri" w:hAnsi="Calibri" w:cs="Calibri"/>
                <w:color w:val="000000"/>
              </w:rPr>
              <w:t>4400.48</w:t>
            </w:r>
          </w:p>
        </w:tc>
        <w:tc>
          <w:tcPr>
            <w:tcW w:w="1812" w:type="dxa"/>
            <w:noWrap/>
            <w:vAlign w:val="center"/>
            <w:hideMark/>
          </w:tcPr>
          <w:p w14:paraId="2E360ADF" w14:textId="77777777" w:rsidR="008A78BA" w:rsidRPr="00E913B7" w:rsidRDefault="008A78BA" w:rsidP="00C250E5">
            <w:pPr>
              <w:jc w:val="right"/>
              <w:rPr>
                <w:b/>
              </w:rPr>
            </w:pPr>
            <w:r>
              <w:rPr>
                <w:rFonts w:ascii="Calibri" w:hAnsi="Calibri" w:cs="Calibri"/>
                <w:b/>
                <w:bCs/>
                <w:color w:val="000000"/>
              </w:rPr>
              <w:t>4399.26</w:t>
            </w:r>
          </w:p>
        </w:tc>
        <w:tc>
          <w:tcPr>
            <w:tcW w:w="1132" w:type="dxa"/>
            <w:noWrap/>
            <w:vAlign w:val="center"/>
            <w:hideMark/>
          </w:tcPr>
          <w:p w14:paraId="6A4BCBA6" w14:textId="77777777" w:rsidR="008A78BA" w:rsidRPr="00362A29" w:rsidRDefault="008A78BA" w:rsidP="00C250E5">
            <w:pPr>
              <w:jc w:val="right"/>
            </w:pPr>
            <w:r>
              <w:rPr>
                <w:rFonts w:ascii="Calibri" w:hAnsi="Calibri" w:cs="Calibri"/>
                <w:color w:val="000000"/>
              </w:rPr>
              <w:t>4401.09</w:t>
            </w:r>
          </w:p>
        </w:tc>
        <w:tc>
          <w:tcPr>
            <w:tcW w:w="1132" w:type="dxa"/>
            <w:noWrap/>
            <w:vAlign w:val="center"/>
            <w:hideMark/>
          </w:tcPr>
          <w:p w14:paraId="78D099CF" w14:textId="77777777" w:rsidR="008A78BA" w:rsidRPr="00362A29" w:rsidRDefault="008A78BA" w:rsidP="00C250E5">
            <w:pPr>
              <w:jc w:val="right"/>
            </w:pPr>
            <w:r>
              <w:rPr>
                <w:rFonts w:ascii="Calibri" w:hAnsi="Calibri" w:cs="Calibri"/>
                <w:color w:val="000000"/>
              </w:rPr>
              <w:t>4400.87</w:t>
            </w:r>
          </w:p>
        </w:tc>
      </w:tr>
      <w:tr w:rsidR="008A78BA" w:rsidRPr="00362A29" w14:paraId="060F47F8" w14:textId="77777777" w:rsidTr="00C250E5">
        <w:trPr>
          <w:trHeight w:val="300"/>
          <w:jc w:val="center"/>
        </w:trPr>
        <w:tc>
          <w:tcPr>
            <w:tcW w:w="1615" w:type="dxa"/>
            <w:noWrap/>
            <w:vAlign w:val="center"/>
          </w:tcPr>
          <w:p w14:paraId="067B5468" w14:textId="77777777" w:rsidR="008A78BA" w:rsidRDefault="008A78BA" w:rsidP="00C250E5">
            <w:pPr>
              <w:rPr>
                <w:rFonts w:ascii="Calibri" w:hAnsi="Calibri" w:cs="Calibri"/>
                <w:color w:val="000000"/>
              </w:rPr>
            </w:pPr>
            <w:r>
              <w:rPr>
                <w:rFonts w:ascii="Calibri" w:hAnsi="Calibri" w:cs="Calibri"/>
                <w:color w:val="000000"/>
              </w:rPr>
              <w:t>e. cottontail</w:t>
            </w:r>
          </w:p>
        </w:tc>
        <w:tc>
          <w:tcPr>
            <w:tcW w:w="1010" w:type="dxa"/>
            <w:noWrap/>
            <w:vAlign w:val="center"/>
          </w:tcPr>
          <w:p w14:paraId="4461D98C" w14:textId="77777777" w:rsidR="008A78BA" w:rsidRDefault="008A78BA" w:rsidP="00C250E5">
            <w:pPr>
              <w:jc w:val="right"/>
              <w:rPr>
                <w:rFonts w:ascii="Calibri" w:hAnsi="Calibri" w:cs="Calibri"/>
                <w:color w:val="000000"/>
              </w:rPr>
            </w:pPr>
            <w:r>
              <w:rPr>
                <w:rFonts w:ascii="Calibri" w:hAnsi="Calibri" w:cs="Calibri"/>
                <w:color w:val="000000"/>
              </w:rPr>
              <w:t>1962.64</w:t>
            </w:r>
          </w:p>
        </w:tc>
        <w:tc>
          <w:tcPr>
            <w:tcW w:w="1812" w:type="dxa"/>
            <w:noWrap/>
            <w:vAlign w:val="center"/>
          </w:tcPr>
          <w:p w14:paraId="78E39970" w14:textId="77777777" w:rsidR="008A78BA" w:rsidRDefault="008A78BA" w:rsidP="00C250E5">
            <w:pPr>
              <w:jc w:val="right"/>
              <w:rPr>
                <w:rFonts w:ascii="Calibri" w:hAnsi="Calibri" w:cs="Calibri"/>
                <w:b/>
                <w:bCs/>
                <w:color w:val="000000"/>
              </w:rPr>
            </w:pPr>
            <w:r>
              <w:rPr>
                <w:rFonts w:ascii="Calibri" w:hAnsi="Calibri" w:cs="Calibri"/>
                <w:color w:val="000000"/>
              </w:rPr>
              <w:t>1962.4</w:t>
            </w:r>
          </w:p>
        </w:tc>
        <w:tc>
          <w:tcPr>
            <w:tcW w:w="1132" w:type="dxa"/>
            <w:noWrap/>
            <w:vAlign w:val="center"/>
          </w:tcPr>
          <w:p w14:paraId="4E8245C3" w14:textId="77777777" w:rsidR="008A78BA" w:rsidRDefault="008A78BA" w:rsidP="00C250E5">
            <w:pPr>
              <w:jc w:val="right"/>
              <w:rPr>
                <w:rFonts w:ascii="Calibri" w:hAnsi="Calibri" w:cs="Calibri"/>
                <w:color w:val="000000"/>
              </w:rPr>
            </w:pPr>
            <w:r>
              <w:rPr>
                <w:rFonts w:ascii="Calibri" w:hAnsi="Calibri" w:cs="Calibri"/>
                <w:b/>
                <w:bCs/>
                <w:color w:val="000000"/>
              </w:rPr>
              <w:t>1961.38</w:t>
            </w:r>
          </w:p>
        </w:tc>
        <w:tc>
          <w:tcPr>
            <w:tcW w:w="1132" w:type="dxa"/>
            <w:noWrap/>
            <w:vAlign w:val="center"/>
          </w:tcPr>
          <w:p w14:paraId="76BB2F37" w14:textId="77777777" w:rsidR="008A78BA" w:rsidRDefault="008A78BA" w:rsidP="00C250E5">
            <w:pPr>
              <w:jc w:val="right"/>
              <w:rPr>
                <w:rFonts w:ascii="Calibri" w:hAnsi="Calibri" w:cs="Calibri"/>
                <w:color w:val="000000"/>
              </w:rPr>
            </w:pPr>
            <w:r>
              <w:rPr>
                <w:rFonts w:ascii="Calibri" w:hAnsi="Calibri" w:cs="Calibri"/>
                <w:color w:val="000000"/>
              </w:rPr>
              <w:t>1961.93</w:t>
            </w:r>
          </w:p>
        </w:tc>
      </w:tr>
      <w:tr w:rsidR="008A78BA" w:rsidRPr="00362A29" w14:paraId="33BAD2D7" w14:textId="77777777" w:rsidTr="00C250E5">
        <w:trPr>
          <w:trHeight w:val="300"/>
          <w:jc w:val="center"/>
        </w:trPr>
        <w:tc>
          <w:tcPr>
            <w:tcW w:w="1615" w:type="dxa"/>
            <w:noWrap/>
            <w:vAlign w:val="center"/>
            <w:hideMark/>
          </w:tcPr>
          <w:p w14:paraId="1348B9A8" w14:textId="77777777" w:rsidR="008A78BA" w:rsidRPr="00362A29" w:rsidRDefault="008A78BA" w:rsidP="00C250E5">
            <w:r>
              <w:rPr>
                <w:rFonts w:ascii="Calibri" w:hAnsi="Calibri" w:cs="Calibri"/>
                <w:color w:val="000000"/>
              </w:rPr>
              <w:t>fox squirrel</w:t>
            </w:r>
          </w:p>
        </w:tc>
        <w:tc>
          <w:tcPr>
            <w:tcW w:w="1010" w:type="dxa"/>
            <w:noWrap/>
            <w:vAlign w:val="center"/>
            <w:hideMark/>
          </w:tcPr>
          <w:p w14:paraId="68071D39" w14:textId="77777777" w:rsidR="008A78BA" w:rsidRPr="00362A29" w:rsidRDefault="008A78BA" w:rsidP="00C250E5">
            <w:pPr>
              <w:jc w:val="right"/>
            </w:pPr>
            <w:r>
              <w:rPr>
                <w:rFonts w:ascii="Calibri" w:hAnsi="Calibri" w:cs="Calibri"/>
                <w:color w:val="000000"/>
              </w:rPr>
              <w:t>1610.9</w:t>
            </w:r>
          </w:p>
        </w:tc>
        <w:tc>
          <w:tcPr>
            <w:tcW w:w="1812" w:type="dxa"/>
            <w:noWrap/>
            <w:vAlign w:val="center"/>
            <w:hideMark/>
          </w:tcPr>
          <w:p w14:paraId="73F90093" w14:textId="77777777" w:rsidR="008A78BA" w:rsidRPr="00362A29" w:rsidRDefault="008A78BA" w:rsidP="00C250E5">
            <w:pPr>
              <w:jc w:val="right"/>
            </w:pPr>
            <w:r>
              <w:rPr>
                <w:rFonts w:ascii="Calibri" w:hAnsi="Calibri" w:cs="Calibri"/>
                <w:color w:val="000000"/>
              </w:rPr>
              <w:t>1612.69</w:t>
            </w:r>
          </w:p>
        </w:tc>
        <w:tc>
          <w:tcPr>
            <w:tcW w:w="1132" w:type="dxa"/>
            <w:noWrap/>
            <w:vAlign w:val="center"/>
            <w:hideMark/>
          </w:tcPr>
          <w:p w14:paraId="329804AF" w14:textId="77777777" w:rsidR="008A78BA" w:rsidRPr="00362A29" w:rsidRDefault="008A78BA" w:rsidP="00C250E5">
            <w:pPr>
              <w:jc w:val="right"/>
            </w:pPr>
            <w:r>
              <w:rPr>
                <w:rFonts w:ascii="Calibri" w:hAnsi="Calibri" w:cs="Calibri"/>
                <w:b/>
                <w:bCs/>
                <w:color w:val="000000"/>
              </w:rPr>
              <w:t>1610.11</w:t>
            </w:r>
          </w:p>
        </w:tc>
        <w:tc>
          <w:tcPr>
            <w:tcW w:w="1132" w:type="dxa"/>
            <w:noWrap/>
            <w:vAlign w:val="center"/>
            <w:hideMark/>
          </w:tcPr>
          <w:p w14:paraId="0CF87C07" w14:textId="77777777" w:rsidR="008A78BA" w:rsidRPr="00E913B7" w:rsidRDefault="008A78BA" w:rsidP="00C250E5">
            <w:pPr>
              <w:jc w:val="right"/>
              <w:rPr>
                <w:b/>
              </w:rPr>
            </w:pPr>
            <w:r>
              <w:rPr>
                <w:rFonts w:ascii="Calibri" w:hAnsi="Calibri" w:cs="Calibri"/>
                <w:color w:val="000000"/>
              </w:rPr>
              <w:t>1632.01</w:t>
            </w:r>
          </w:p>
        </w:tc>
      </w:tr>
      <w:tr w:rsidR="008A78BA" w:rsidRPr="00362A29" w14:paraId="39CE52CA" w14:textId="77777777" w:rsidTr="00C250E5">
        <w:trPr>
          <w:trHeight w:val="300"/>
          <w:jc w:val="center"/>
        </w:trPr>
        <w:tc>
          <w:tcPr>
            <w:tcW w:w="1615" w:type="dxa"/>
            <w:noWrap/>
            <w:vAlign w:val="center"/>
            <w:hideMark/>
          </w:tcPr>
          <w:p w14:paraId="213741B9" w14:textId="77777777" w:rsidR="008A78BA" w:rsidRPr="00362A29" w:rsidRDefault="008A78BA" w:rsidP="00C250E5">
            <w:r>
              <w:rPr>
                <w:rFonts w:ascii="Calibri" w:hAnsi="Calibri" w:cs="Calibri"/>
                <w:color w:val="000000"/>
              </w:rPr>
              <w:t>red fox</w:t>
            </w:r>
          </w:p>
        </w:tc>
        <w:tc>
          <w:tcPr>
            <w:tcW w:w="1010" w:type="dxa"/>
            <w:noWrap/>
            <w:vAlign w:val="center"/>
            <w:hideMark/>
          </w:tcPr>
          <w:p w14:paraId="5FE111D9" w14:textId="77777777" w:rsidR="008A78BA" w:rsidRPr="00E913B7" w:rsidRDefault="008A78BA" w:rsidP="00C250E5">
            <w:pPr>
              <w:jc w:val="right"/>
              <w:rPr>
                <w:b/>
              </w:rPr>
            </w:pPr>
            <w:r>
              <w:rPr>
                <w:rFonts w:ascii="Calibri" w:hAnsi="Calibri" w:cs="Calibri"/>
                <w:color w:val="000000"/>
              </w:rPr>
              <w:t>547.87</w:t>
            </w:r>
          </w:p>
        </w:tc>
        <w:tc>
          <w:tcPr>
            <w:tcW w:w="1812" w:type="dxa"/>
            <w:noWrap/>
            <w:vAlign w:val="center"/>
            <w:hideMark/>
          </w:tcPr>
          <w:p w14:paraId="5876A226" w14:textId="77777777" w:rsidR="008A78BA" w:rsidRPr="00362A29" w:rsidRDefault="008A78BA" w:rsidP="00C250E5">
            <w:pPr>
              <w:jc w:val="right"/>
            </w:pPr>
            <w:r>
              <w:rPr>
                <w:rFonts w:ascii="Calibri" w:hAnsi="Calibri" w:cs="Calibri"/>
                <w:color w:val="000000"/>
              </w:rPr>
              <w:t>548.47</w:t>
            </w:r>
          </w:p>
        </w:tc>
        <w:tc>
          <w:tcPr>
            <w:tcW w:w="1132" w:type="dxa"/>
            <w:noWrap/>
            <w:vAlign w:val="center"/>
            <w:hideMark/>
          </w:tcPr>
          <w:p w14:paraId="5A37705B" w14:textId="77777777" w:rsidR="008A78BA" w:rsidRPr="00362A29" w:rsidRDefault="008A78BA" w:rsidP="00C250E5">
            <w:pPr>
              <w:jc w:val="right"/>
            </w:pPr>
            <w:r>
              <w:rPr>
                <w:rFonts w:ascii="Calibri" w:hAnsi="Calibri" w:cs="Calibri"/>
                <w:b/>
                <w:bCs/>
                <w:color w:val="000000"/>
              </w:rPr>
              <w:t>547.82</w:t>
            </w:r>
          </w:p>
        </w:tc>
        <w:tc>
          <w:tcPr>
            <w:tcW w:w="1132" w:type="dxa"/>
            <w:noWrap/>
            <w:vAlign w:val="center"/>
            <w:hideMark/>
          </w:tcPr>
          <w:p w14:paraId="1BDE4A1F" w14:textId="77777777" w:rsidR="008A78BA" w:rsidRPr="00362A29" w:rsidRDefault="008A78BA" w:rsidP="00C250E5">
            <w:pPr>
              <w:jc w:val="right"/>
            </w:pPr>
            <w:r>
              <w:rPr>
                <w:rFonts w:ascii="Calibri" w:hAnsi="Calibri" w:cs="Calibri"/>
                <w:color w:val="000000"/>
              </w:rPr>
              <w:t>549.79</w:t>
            </w:r>
          </w:p>
        </w:tc>
      </w:tr>
      <w:tr w:rsidR="008A78BA" w:rsidRPr="00362A29" w14:paraId="55E64648" w14:textId="77777777" w:rsidTr="00C250E5">
        <w:trPr>
          <w:trHeight w:val="300"/>
          <w:jc w:val="center"/>
        </w:trPr>
        <w:tc>
          <w:tcPr>
            <w:tcW w:w="1615" w:type="dxa"/>
            <w:tcBorders>
              <w:bottom w:val="single" w:sz="4" w:space="0" w:color="auto"/>
            </w:tcBorders>
            <w:noWrap/>
            <w:vAlign w:val="center"/>
            <w:hideMark/>
          </w:tcPr>
          <w:p w14:paraId="3B4AECD2" w14:textId="77777777" w:rsidR="008A78BA" w:rsidRPr="00362A29" w:rsidRDefault="008A78BA" w:rsidP="00C250E5">
            <w:r>
              <w:rPr>
                <w:rFonts w:ascii="Calibri" w:hAnsi="Calibri" w:cs="Calibri"/>
                <w:color w:val="000000"/>
              </w:rPr>
              <w:t>striped skunk</w:t>
            </w:r>
          </w:p>
        </w:tc>
        <w:tc>
          <w:tcPr>
            <w:tcW w:w="1010" w:type="dxa"/>
            <w:tcBorders>
              <w:bottom w:val="single" w:sz="4" w:space="0" w:color="auto"/>
            </w:tcBorders>
            <w:noWrap/>
            <w:vAlign w:val="center"/>
            <w:hideMark/>
          </w:tcPr>
          <w:p w14:paraId="446BFB2C" w14:textId="77777777" w:rsidR="008A78BA" w:rsidRPr="00362A29" w:rsidRDefault="008A78BA" w:rsidP="00C250E5">
            <w:pPr>
              <w:jc w:val="right"/>
            </w:pPr>
            <w:r>
              <w:rPr>
                <w:rFonts w:ascii="Calibri" w:hAnsi="Calibri" w:cs="Calibri"/>
                <w:color w:val="000000"/>
              </w:rPr>
              <w:t>915.158</w:t>
            </w:r>
          </w:p>
        </w:tc>
        <w:tc>
          <w:tcPr>
            <w:tcW w:w="1812" w:type="dxa"/>
            <w:tcBorders>
              <w:bottom w:val="single" w:sz="4" w:space="0" w:color="auto"/>
            </w:tcBorders>
            <w:noWrap/>
            <w:vAlign w:val="center"/>
            <w:hideMark/>
          </w:tcPr>
          <w:p w14:paraId="7D8F9A60" w14:textId="77777777" w:rsidR="008A78BA" w:rsidRPr="00362A29" w:rsidRDefault="008A78BA" w:rsidP="00C250E5">
            <w:pPr>
              <w:jc w:val="right"/>
            </w:pPr>
            <w:r>
              <w:rPr>
                <w:rFonts w:ascii="Calibri" w:hAnsi="Calibri" w:cs="Calibri"/>
                <w:color w:val="000000"/>
              </w:rPr>
              <w:t>913.63</w:t>
            </w:r>
          </w:p>
        </w:tc>
        <w:tc>
          <w:tcPr>
            <w:tcW w:w="1132" w:type="dxa"/>
            <w:tcBorders>
              <w:bottom w:val="single" w:sz="4" w:space="0" w:color="auto"/>
            </w:tcBorders>
            <w:noWrap/>
            <w:vAlign w:val="center"/>
            <w:hideMark/>
          </w:tcPr>
          <w:p w14:paraId="09225B73" w14:textId="77777777" w:rsidR="008A78BA" w:rsidRPr="00E913B7" w:rsidRDefault="008A78BA" w:rsidP="00C250E5">
            <w:pPr>
              <w:jc w:val="right"/>
              <w:rPr>
                <w:b/>
              </w:rPr>
            </w:pPr>
            <w:r>
              <w:rPr>
                <w:rFonts w:ascii="Calibri" w:hAnsi="Calibri" w:cs="Calibri"/>
                <w:color w:val="000000"/>
              </w:rPr>
              <w:t>913.881</w:t>
            </w:r>
          </w:p>
        </w:tc>
        <w:tc>
          <w:tcPr>
            <w:tcW w:w="1132" w:type="dxa"/>
            <w:tcBorders>
              <w:bottom w:val="single" w:sz="4" w:space="0" w:color="auto"/>
            </w:tcBorders>
            <w:noWrap/>
            <w:vAlign w:val="center"/>
            <w:hideMark/>
          </w:tcPr>
          <w:p w14:paraId="061B06F3" w14:textId="77777777" w:rsidR="008A78BA" w:rsidRPr="00362A29" w:rsidRDefault="008A78BA" w:rsidP="00C250E5">
            <w:pPr>
              <w:jc w:val="right"/>
            </w:pPr>
            <w:r>
              <w:rPr>
                <w:rFonts w:ascii="Calibri" w:hAnsi="Calibri" w:cs="Calibri"/>
                <w:b/>
                <w:bCs/>
                <w:color w:val="000000"/>
              </w:rPr>
              <w:t>911.55</w:t>
            </w:r>
          </w:p>
        </w:tc>
      </w:tr>
    </w:tbl>
    <w:p w14:paraId="1207ECAE" w14:textId="77777777" w:rsidR="008A78BA" w:rsidRDefault="008A78BA" w:rsidP="005F7CEB">
      <w:pPr>
        <w:rPr>
          <w:rFonts w:eastAsiaTheme="minorEastAsia"/>
        </w:rPr>
      </w:pPr>
    </w:p>
    <w:p w14:paraId="0CB1580F" w14:textId="13C1F142" w:rsidR="008A78BA" w:rsidRDefault="008A78BA" w:rsidP="005F7CEB">
      <w:pPr>
        <w:rPr>
          <w:rFonts w:eastAsiaTheme="minorEastAsia"/>
        </w:rPr>
      </w:pPr>
    </w:p>
    <w:p w14:paraId="12512189" w14:textId="113959F6" w:rsidR="008A78BA" w:rsidRDefault="008A78BA" w:rsidP="005F7CEB">
      <w:pPr>
        <w:rPr>
          <w:rFonts w:eastAsiaTheme="minorEastAsia"/>
        </w:rPr>
      </w:pPr>
    </w:p>
    <w:p w14:paraId="7C4ECDC3" w14:textId="77777777" w:rsidR="00212967" w:rsidRDefault="008A78BA" w:rsidP="00212967">
      <w:pPr>
        <w:keepNext/>
      </w:pPr>
      <w:r>
        <w:rPr>
          <w:rFonts w:eastAsiaTheme="minorEastAsia"/>
          <w:noProof/>
        </w:rPr>
        <w:lastRenderedPageBreak/>
        <w:drawing>
          <wp:inline distT="0" distB="0" distL="0" distR="0" wp14:anchorId="6C018F42" wp14:editId="12E1DAC7">
            <wp:extent cx="5939790" cy="42430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243070"/>
                    </a:xfrm>
                    <a:prstGeom prst="rect">
                      <a:avLst/>
                    </a:prstGeom>
                    <a:noFill/>
                    <a:ln>
                      <a:noFill/>
                    </a:ln>
                  </pic:spPr>
                </pic:pic>
              </a:graphicData>
            </a:graphic>
          </wp:inline>
        </w:drawing>
      </w:r>
    </w:p>
    <w:p w14:paraId="27E3FDDB" w14:textId="07BEC71E" w:rsidR="00212967" w:rsidRDefault="00212967" w:rsidP="00212967">
      <w:pPr>
        <w:rPr>
          <w:rFonts w:eastAsiaTheme="minorEastAsia"/>
        </w:rPr>
      </w:pPr>
      <w:r>
        <w:t xml:space="preserve">Figure </w:t>
      </w:r>
      <w:fldSimple w:instr=" SEQ Figure \* ARABIC ">
        <w:r>
          <w:rPr>
            <w:noProof/>
          </w:rPr>
          <w:t>1</w:t>
        </w:r>
      </w:fldSimple>
      <w:r>
        <w:t xml:space="preserve">. </w:t>
      </w:r>
      <w:r>
        <w:rPr>
          <w:rFonts w:eastAsiaTheme="minorEastAsia"/>
        </w:rPr>
        <w:t>Between-city effects from the top model of each species. The left plot (a) illustrates the average log-odds a species occupies a habitat patch within a city and how that may change due to structural differences between cities. The right plot (b) demonstrates the magnitude and direction of a species response to site-level housing density within a city and how that may change due to structural differences between cities. Parameters are on the logit scale</w:t>
      </w:r>
      <w:r w:rsidR="00BE4220">
        <w:rPr>
          <w:rFonts w:eastAsiaTheme="minorEastAsia"/>
        </w:rPr>
        <w:t xml:space="preserve"> which are reported from the best-fit model </w:t>
      </w:r>
      <w:r w:rsidR="00B134D7">
        <w:rPr>
          <w:rFonts w:eastAsiaTheme="minorEastAsia"/>
        </w:rPr>
        <w:t>of</w:t>
      </w:r>
      <w:r w:rsidR="00BE4220">
        <w:rPr>
          <w:rFonts w:eastAsiaTheme="minorEastAsia"/>
        </w:rPr>
        <w:t xml:space="preserve"> each species.</w:t>
      </w:r>
    </w:p>
    <w:p w14:paraId="603CEE02" w14:textId="21CF4703" w:rsidR="008A78BA" w:rsidRDefault="008A78BA" w:rsidP="00212967">
      <w:pPr>
        <w:pStyle w:val="Caption"/>
        <w:rPr>
          <w:rFonts w:eastAsiaTheme="minorEastAsia"/>
        </w:rPr>
      </w:pPr>
    </w:p>
    <w:p w14:paraId="0378918E" w14:textId="77777777" w:rsidR="008A78BA" w:rsidRDefault="008A78BA" w:rsidP="005F7CEB">
      <w:pPr>
        <w:rPr>
          <w:rFonts w:eastAsiaTheme="minorEastAsia"/>
        </w:rPr>
      </w:pPr>
    </w:p>
    <w:p w14:paraId="3319CAC8" w14:textId="54E57D41" w:rsidR="008A78BA" w:rsidRDefault="008A78BA" w:rsidP="008A78BA">
      <w:pPr>
        <w:pStyle w:val="Heading2"/>
        <w:rPr>
          <w:rFonts w:eastAsiaTheme="minorEastAsia"/>
        </w:rPr>
      </w:pPr>
      <w:r>
        <w:rPr>
          <w:rFonts w:eastAsiaTheme="minorEastAsia"/>
        </w:rPr>
        <w:t xml:space="preserve">Changes in relative occupancy due to </w:t>
      </w:r>
      <w:r w:rsidR="00723D54">
        <w:rPr>
          <w:rFonts w:eastAsiaTheme="minorEastAsia"/>
        </w:rPr>
        <w:t xml:space="preserve">structural </w:t>
      </w:r>
      <w:r>
        <w:rPr>
          <w:rFonts w:eastAsiaTheme="minorEastAsia"/>
        </w:rPr>
        <w:t>differences</w:t>
      </w:r>
      <w:r w:rsidR="00723D54">
        <w:rPr>
          <w:rFonts w:eastAsiaTheme="minorEastAsia"/>
        </w:rPr>
        <w:t xml:space="preserve"> between cities</w:t>
      </w:r>
    </w:p>
    <w:p w14:paraId="7FDCD001" w14:textId="5524ACE6" w:rsidR="008A78BA" w:rsidRDefault="008A78BA" w:rsidP="008A78BA"/>
    <w:p w14:paraId="7B09DB2D" w14:textId="78D5C8D5" w:rsidR="008A78BA" w:rsidRPr="008A78BA" w:rsidRDefault="008E035C" w:rsidP="008A78BA">
      <w:r>
        <w:t xml:space="preserve">The </w:t>
      </w:r>
      <w:r w:rsidR="008A78BA">
        <w:t>relative occupancy</w:t>
      </w:r>
      <w:r>
        <w:t xml:space="preserve"> of raccoon and e. cottontail w</w:t>
      </w:r>
      <w:r w:rsidR="00B134D7">
        <w:t>ere</w:t>
      </w:r>
      <w:r>
        <w:t xml:space="preserve"> influenced by </w:t>
      </w:r>
      <w:r w:rsidR="008A78BA">
        <w:t>structural differences between cities</w:t>
      </w:r>
      <w:r w:rsidR="00F62EDC">
        <w:t xml:space="preserve"> (Figure 2a)</w:t>
      </w:r>
      <w:r w:rsidR="008A78BA">
        <w:t xml:space="preserve">. </w:t>
      </w:r>
      <w:r>
        <w:t>R</w:t>
      </w:r>
      <w:r w:rsidR="008A78BA">
        <w:t xml:space="preserve">accoon </w:t>
      </w:r>
      <w:r>
        <w:t xml:space="preserve">relative occupancy </w:t>
      </w:r>
      <w:r w:rsidR="008A78BA">
        <w:t xml:space="preserve">was highest in cities with </w:t>
      </w:r>
      <w:r>
        <w:t xml:space="preserve">lower than average housing density and lowest in cities with higher than average housing density (Figure </w:t>
      </w:r>
      <w:r w:rsidR="00212967">
        <w:t>2</w:t>
      </w:r>
      <w:r>
        <w:t xml:space="preserve">a,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 xml:space="preserve">02,  </m:t>
            </m:r>
            <m:r>
              <m:rPr>
                <m:sty m:val="p"/>
              </m:rPr>
              <w:rPr>
                <w:rFonts w:ascii="Cambria Math" w:hAnsi="Cambria Math"/>
              </w:rPr>
              <m:t>raccoon</m:t>
            </m:r>
          </m:sub>
        </m:sSub>
        <m:r>
          <w:rPr>
            <w:rFonts w:ascii="Cambria Math" w:hAnsi="Cambria Math"/>
          </w:rPr>
          <m:t xml:space="preserve"> = </m:t>
        </m:r>
      </m:oMath>
      <w:r>
        <w:t xml:space="preserve"> -0.58, 95% CI = -1.18 - -0.01).</w:t>
      </w:r>
      <w:r w:rsidR="00393910">
        <w:t xml:space="preserve"> Overall, raccoon had the highest average relative occupancy compared to other species (</w:t>
      </w:r>
      <w:r w:rsidR="00B134D7">
        <w:t xml:space="preserve">i.e., had the most positive intercept estimate, </w:t>
      </w:r>
      <w:r w:rsidR="00393910">
        <w:t>Figure 1a).</w:t>
      </w:r>
      <w:r>
        <w:t xml:space="preserve"> Conversely, there was some evidence that e. cottontail relative occupancy decreased in cities with less habitat (Figure </w:t>
      </w:r>
      <w:r w:rsidR="00212967">
        <w:t>2</w:t>
      </w:r>
      <w:r>
        <w:t xml:space="preserve">b,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02,e.cottontail</m:t>
            </m:r>
          </m:sub>
        </m:sSub>
      </m:oMath>
      <w:r>
        <w:rPr>
          <w:rFonts w:eastAsiaTheme="minorEastAsia"/>
        </w:rPr>
        <w:t xml:space="preserve"> = -0.22, 95% CI = -0.49 – 0.03). </w:t>
      </w:r>
    </w:p>
    <w:p w14:paraId="23D7EA2E" w14:textId="7DCBCD8B" w:rsidR="008A78BA" w:rsidRDefault="008A78BA" w:rsidP="005F7CEB">
      <w:pPr>
        <w:rPr>
          <w:rFonts w:eastAsiaTheme="minorEastAsia"/>
        </w:rPr>
      </w:pPr>
    </w:p>
    <w:p w14:paraId="0E9955DE" w14:textId="2B7FEF9B" w:rsidR="008A78BA" w:rsidRDefault="008A78BA" w:rsidP="005F7CEB">
      <w:pPr>
        <w:rPr>
          <w:rFonts w:eastAsiaTheme="minorEastAsia"/>
        </w:rPr>
      </w:pPr>
    </w:p>
    <w:p w14:paraId="6617CB7F" w14:textId="77777777" w:rsidR="008A78BA" w:rsidRDefault="008A78BA" w:rsidP="005F7CEB">
      <w:pPr>
        <w:rPr>
          <w:rFonts w:eastAsiaTheme="minorEastAsia"/>
        </w:rPr>
      </w:pPr>
    </w:p>
    <w:p w14:paraId="7F60AEB2" w14:textId="3B1AE617" w:rsidR="008A78BA" w:rsidRDefault="008A78BA" w:rsidP="005F7CEB">
      <w:pPr>
        <w:rPr>
          <w:rFonts w:eastAsiaTheme="minorEastAsia"/>
        </w:rPr>
      </w:pPr>
    </w:p>
    <w:p w14:paraId="11F9CAEA" w14:textId="36EA1C38" w:rsidR="008A78BA" w:rsidRDefault="008A78BA" w:rsidP="005F7CEB">
      <w:pPr>
        <w:rPr>
          <w:rFonts w:eastAsiaTheme="minorEastAsia"/>
        </w:rPr>
      </w:pPr>
    </w:p>
    <w:p w14:paraId="4E496670" w14:textId="6A27CBCA" w:rsidR="008A78BA" w:rsidRPr="005C54D3" w:rsidRDefault="008A78BA" w:rsidP="005F7CEB">
      <w:pPr>
        <w:rPr>
          <w:rFonts w:eastAsiaTheme="minorEastAsia"/>
        </w:rPr>
      </w:pPr>
    </w:p>
    <w:p w14:paraId="635AEA0F" w14:textId="77777777" w:rsidR="00117CC1" w:rsidRDefault="00117CC1" w:rsidP="005F7CEB">
      <w:pPr>
        <w:rPr>
          <w:rFonts w:eastAsiaTheme="minorEastAsia"/>
        </w:rPr>
      </w:pPr>
    </w:p>
    <w:p w14:paraId="46BF4584" w14:textId="732FF5C1" w:rsidR="00EC5AEA" w:rsidRDefault="00EC5AEA" w:rsidP="005F7CEB">
      <w:pPr>
        <w:rPr>
          <w:rFonts w:eastAsiaTheme="minorEastAsia"/>
        </w:rPr>
      </w:pPr>
    </w:p>
    <w:p w14:paraId="11F3E706" w14:textId="54F29909" w:rsidR="00745256" w:rsidRDefault="00745256" w:rsidP="005F7CEB">
      <w:pPr>
        <w:rPr>
          <w:rFonts w:eastAsiaTheme="minorEastAsia"/>
        </w:rPr>
      </w:pPr>
    </w:p>
    <w:p w14:paraId="302BC0CA" w14:textId="77777777" w:rsidR="00C30217" w:rsidRDefault="00C30217" w:rsidP="00C30217">
      <w:pPr>
        <w:keepNext/>
      </w:pPr>
      <w:commentRangeStart w:id="9"/>
      <w:r>
        <w:rPr>
          <w:rFonts w:eastAsiaTheme="minorEastAsia"/>
          <w:noProof/>
        </w:rPr>
        <w:drawing>
          <wp:inline distT="0" distB="0" distL="0" distR="0" wp14:anchorId="7CD77E9C" wp14:editId="3CC657C4">
            <wp:extent cx="228981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810" cy="4572000"/>
                    </a:xfrm>
                    <a:prstGeom prst="rect">
                      <a:avLst/>
                    </a:prstGeom>
                    <a:noFill/>
                    <a:ln>
                      <a:noFill/>
                    </a:ln>
                  </pic:spPr>
                </pic:pic>
              </a:graphicData>
            </a:graphic>
          </wp:inline>
        </w:drawing>
      </w:r>
      <w:commentRangeEnd w:id="9"/>
      <w:r w:rsidR="005175E3">
        <w:rPr>
          <w:rStyle w:val="CommentReference"/>
        </w:rPr>
        <w:commentReference w:id="9"/>
      </w:r>
    </w:p>
    <w:p w14:paraId="7EC6B9EF" w14:textId="1138F84C" w:rsidR="00C30217" w:rsidRDefault="00C30217" w:rsidP="002B2A26">
      <w:pPr>
        <w:pStyle w:val="Caption"/>
        <w:rPr>
          <w:i w:val="0"/>
          <w:color w:val="auto"/>
        </w:rPr>
      </w:pPr>
      <w:r w:rsidRPr="00212967">
        <w:rPr>
          <w:i w:val="0"/>
          <w:color w:val="auto"/>
        </w:rPr>
        <w:t xml:space="preserve">Figure </w:t>
      </w:r>
      <w:r w:rsidR="00212967">
        <w:rPr>
          <w:i w:val="0"/>
          <w:color w:val="auto"/>
        </w:rPr>
        <w:t>2</w:t>
      </w:r>
      <w:r w:rsidRPr="00212967">
        <w:rPr>
          <w:i w:val="0"/>
          <w:color w:val="auto"/>
        </w:rPr>
        <w:t>. The</w:t>
      </w:r>
      <w:r w:rsidR="00B134D7">
        <w:rPr>
          <w:i w:val="0"/>
          <w:color w:val="auto"/>
        </w:rPr>
        <w:t xml:space="preserve"> within-city</w:t>
      </w:r>
      <w:r w:rsidRPr="00212967">
        <w:rPr>
          <w:i w:val="0"/>
          <w:color w:val="auto"/>
        </w:rPr>
        <w:t xml:space="preserve"> relative occupancy of (a) raccoon changes depending on how densely populated </w:t>
      </w:r>
      <w:r w:rsidR="004C3C06">
        <w:rPr>
          <w:i w:val="0"/>
          <w:color w:val="auto"/>
        </w:rPr>
        <w:t xml:space="preserve">a city </w:t>
      </w:r>
      <w:r w:rsidRPr="00212967">
        <w:rPr>
          <w:i w:val="0"/>
          <w:color w:val="auto"/>
        </w:rPr>
        <w:t>is while (b) eastern cottontail relative occupancy decreases in cities with less habitat. Solid horizontal lines are mean model predictions of a species relative occupancy in a city while shaded ribbons are 95% credible intervals of th</w:t>
      </w:r>
      <w:r w:rsidR="004C3C06">
        <w:rPr>
          <w:i w:val="0"/>
          <w:color w:val="auto"/>
        </w:rPr>
        <w:t>is</w:t>
      </w:r>
      <w:r w:rsidRPr="00212967">
        <w:rPr>
          <w:i w:val="0"/>
          <w:color w:val="auto"/>
        </w:rPr>
        <w:t xml:space="preserve"> prediction. Gray dots represent city-specific occupancy estimates for the UWIN cities that </w:t>
      </w:r>
      <w:r w:rsidR="004C3C06">
        <w:rPr>
          <w:i w:val="0"/>
          <w:color w:val="auto"/>
        </w:rPr>
        <w:t>detected</w:t>
      </w:r>
      <w:r w:rsidRPr="00212967">
        <w:rPr>
          <w:i w:val="0"/>
          <w:color w:val="auto"/>
        </w:rPr>
        <w:t xml:space="preserve"> the species while vertical bars are 95% credible intervals. Raccoon (a) had more between city variability from the mean predicted response than eastern cottontail (b). </w:t>
      </w:r>
    </w:p>
    <w:p w14:paraId="5ED552BF" w14:textId="38D463BF" w:rsidR="00BE4220" w:rsidRDefault="00BE4220" w:rsidP="00BE4220"/>
    <w:p w14:paraId="47036D14" w14:textId="5CC96CA9" w:rsidR="00BE4220" w:rsidRDefault="00BE4220" w:rsidP="00BE4220">
      <w:pPr>
        <w:rPr>
          <w:rFonts w:eastAsiaTheme="minorEastAsia"/>
        </w:rPr>
      </w:pPr>
      <w:r>
        <w:t xml:space="preserve">There was less evidence that the </w:t>
      </w:r>
      <w:r w:rsidR="00B134D7">
        <w:t xml:space="preserve">within-city </w:t>
      </w:r>
      <w:r>
        <w:t xml:space="preserve">relative occupancy of other species changed </w:t>
      </w:r>
      <w:r w:rsidR="00B134D7">
        <w:t xml:space="preserve">as a function of a city’s </w:t>
      </w:r>
      <w:r w:rsidR="0029163F">
        <w:t xml:space="preserve">proportion of habitat </w:t>
      </w:r>
      <w:r w:rsidR="00B134D7">
        <w:t xml:space="preserve">or </w:t>
      </w:r>
      <w:r w:rsidR="0029163F">
        <w:t>average housing density</w:t>
      </w:r>
      <w:r>
        <w:t>. The relative occupancy of red fox, gray squirrel, and fox squirrel may increase in cities with more habitat</w:t>
      </w:r>
      <w:r w:rsidR="0029163F">
        <w:t>,</w:t>
      </w:r>
      <w:r>
        <w:t xml:space="preserve"> but 95% credible intervals of these estimates greatly overlapped zero (Figure 1a). Likewise, opossum may become less common in cities that are more densely populated</w:t>
      </w:r>
      <w:r w:rsidR="0029163F">
        <w:t>, but the estimated difference between cities was small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02,opossum</m:t>
            </m:r>
          </m:sub>
        </m:sSub>
      </m:oMath>
      <w:r w:rsidR="0029163F">
        <w:rPr>
          <w:rFonts w:eastAsiaTheme="minorEastAsia"/>
        </w:rPr>
        <w:t>= -0.14, 95% CI = -0.46 – 0.28, Figure 1a). Coyote relative occupancy likely does not differ between cities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02</m:t>
            </m:r>
          </m:sub>
        </m:sSub>
        <m:r>
          <w:rPr>
            <w:rFonts w:ascii="Cambria Math" w:eastAsiaTheme="minorEastAsia" w:hAnsi="Cambria Math"/>
          </w:rPr>
          <m:t>,coyote</m:t>
        </m:r>
      </m:oMath>
      <w:r w:rsidR="0029163F">
        <w:rPr>
          <w:rFonts w:eastAsiaTheme="minorEastAsia"/>
        </w:rPr>
        <w:t xml:space="preserve"> = 0.02, 95% CI = -0.23-0.28)</w:t>
      </w:r>
      <w:r w:rsidR="00B134D7">
        <w:rPr>
          <w:rFonts w:eastAsiaTheme="minorEastAsia"/>
        </w:rPr>
        <w:t xml:space="preserve">, which </w:t>
      </w:r>
      <w:r w:rsidR="00B134D7">
        <w:rPr>
          <w:rFonts w:eastAsiaTheme="minorEastAsia"/>
        </w:rPr>
        <w:lastRenderedPageBreak/>
        <w:t>indicates that coyote occupy about 38.39% (95% CI = 31.23 – 45.35) of urban green space within a city regardless of structural differences</w:t>
      </w:r>
      <w:r w:rsidR="0029163F">
        <w:rPr>
          <w:rFonts w:eastAsiaTheme="minorEastAsia"/>
        </w:rPr>
        <w:t>.</w:t>
      </w:r>
    </w:p>
    <w:p w14:paraId="365A6962" w14:textId="77777777" w:rsidR="00B134D7" w:rsidRPr="00BE4220" w:rsidRDefault="00B134D7" w:rsidP="00BE4220"/>
    <w:p w14:paraId="69A9C52C" w14:textId="28776E1A" w:rsidR="002B2A26" w:rsidRPr="002B2A26" w:rsidRDefault="002B2A26" w:rsidP="002B2A26">
      <w:pPr>
        <w:pStyle w:val="Heading2"/>
      </w:pPr>
      <w:r>
        <w:t>Changes in response to urbanization due to</w:t>
      </w:r>
      <w:r w:rsidR="00723D54">
        <w:t xml:space="preserve"> structural differences between</w:t>
      </w:r>
      <w:r>
        <w:t xml:space="preserve"> cit</w:t>
      </w:r>
      <w:r w:rsidR="00723D54">
        <w:t>ies</w:t>
      </w:r>
    </w:p>
    <w:p w14:paraId="49CE21C7" w14:textId="77777777" w:rsidR="00D36FBE" w:rsidRDefault="00D36FBE" w:rsidP="00D36FBE">
      <w:pPr>
        <w:rPr>
          <w:rFonts w:eastAsiaTheme="minorEastAsia"/>
        </w:rPr>
      </w:pPr>
    </w:p>
    <w:p w14:paraId="3FE1A574" w14:textId="6C7F7F2C" w:rsidR="000D48FD" w:rsidRDefault="00D36FBE" w:rsidP="00D36FBE">
      <w:pPr>
        <w:rPr>
          <w:rFonts w:eastAsiaTheme="minorEastAsia"/>
        </w:rPr>
      </w:pPr>
      <w:r>
        <w:rPr>
          <w:rFonts w:eastAsiaTheme="minorEastAsia"/>
        </w:rPr>
        <w:t xml:space="preserve">The effect of site-level housing density on the patch occupancy of </w:t>
      </w:r>
      <w:r w:rsidR="00255089">
        <w:rPr>
          <w:rFonts w:eastAsiaTheme="minorEastAsia"/>
        </w:rPr>
        <w:t xml:space="preserve">fox squirrel, gray squirrel, and red fox </w:t>
      </w:r>
      <w:r>
        <w:rPr>
          <w:rFonts w:eastAsiaTheme="minorEastAsia"/>
        </w:rPr>
        <w:t xml:space="preserve">changed </w:t>
      </w:r>
      <w:r w:rsidR="003C67EB">
        <w:rPr>
          <w:rFonts w:eastAsiaTheme="minorEastAsia"/>
        </w:rPr>
        <w:t>as a function of the</w:t>
      </w:r>
      <w:r>
        <w:rPr>
          <w:rFonts w:eastAsiaTheme="minorEastAsia"/>
        </w:rPr>
        <w:t xml:space="preserve"> proportion of habitat</w:t>
      </w:r>
      <w:r w:rsidR="003C67EB">
        <w:rPr>
          <w:rFonts w:eastAsiaTheme="minorEastAsia"/>
        </w:rPr>
        <w:t xml:space="preserve"> in a city </w:t>
      </w:r>
      <w:r w:rsidR="00255089">
        <w:rPr>
          <w:rFonts w:eastAsiaTheme="minorEastAsia"/>
        </w:rPr>
        <w:t>(Figure 1b)</w:t>
      </w:r>
      <w:r>
        <w:rPr>
          <w:rFonts w:eastAsiaTheme="minorEastAsia"/>
        </w:rPr>
        <w:t xml:space="preserve">. </w:t>
      </w:r>
      <w:r w:rsidR="00255089">
        <w:rPr>
          <w:rFonts w:eastAsiaTheme="minorEastAsia"/>
        </w:rPr>
        <w:t xml:space="preserve">For example, if the proportion of habitat in a city was less than 19.70% (95% CI = 16.90 – 22.69%; Figure 3a) fox squirrel responded negatively to urbanization and were </w:t>
      </w:r>
      <w:r w:rsidR="003C67EB">
        <w:rPr>
          <w:rFonts w:eastAsiaTheme="minorEastAsia"/>
        </w:rPr>
        <w:t xml:space="preserve">therefore </w:t>
      </w:r>
      <w:r w:rsidR="00255089">
        <w:rPr>
          <w:rFonts w:eastAsiaTheme="minorEastAsia"/>
        </w:rPr>
        <w:t>less likely to occupy habitat patches surrounded by above average levels of housing density</w:t>
      </w:r>
      <w:r w:rsidR="003C67EB">
        <w:rPr>
          <w:rFonts w:eastAsiaTheme="minorEastAsia"/>
        </w:rPr>
        <w:t xml:space="preserve"> within a city</w:t>
      </w:r>
      <w:r w:rsidR="00255089">
        <w:rPr>
          <w:rFonts w:eastAsiaTheme="minorEastAsia"/>
        </w:rPr>
        <w:t>. Conversely, fox squirrel responded positively to urbanization if the proportion of habitat in a city was greater than 19.70% and were the</w:t>
      </w:r>
      <w:r w:rsidR="003C67EB">
        <w:rPr>
          <w:rFonts w:eastAsiaTheme="minorEastAsia"/>
        </w:rPr>
        <w:t>n</w:t>
      </w:r>
      <w:r w:rsidR="00255089">
        <w:rPr>
          <w:rFonts w:eastAsiaTheme="minorEastAsia"/>
        </w:rPr>
        <w:t xml:space="preserve"> more likely to occupy green space surrounded by above average levels of housing density. </w:t>
      </w:r>
      <w:r w:rsidR="000D48FD">
        <w:rPr>
          <w:rFonts w:eastAsiaTheme="minorEastAsia"/>
        </w:rPr>
        <w:t xml:space="preserve"> Gray squirrel and red fox followed a similar pattern to fox squirrel and both species responded positively to urbanization in cities that had a higher proportion of habitat (Figure 3b-c). </w:t>
      </w:r>
    </w:p>
    <w:p w14:paraId="723EA59B" w14:textId="6864176E" w:rsidR="004407B5" w:rsidRDefault="004407B5" w:rsidP="00D36FBE">
      <w:pPr>
        <w:rPr>
          <w:rFonts w:eastAsiaTheme="minorEastAsia"/>
        </w:rPr>
      </w:pPr>
    </w:p>
    <w:p w14:paraId="62E3B4FE" w14:textId="54A372E7" w:rsidR="004407B5" w:rsidRDefault="004407B5" w:rsidP="00D36FBE">
      <w:pPr>
        <w:rPr>
          <w:rFonts w:eastAsiaTheme="minorEastAsia"/>
        </w:rPr>
      </w:pPr>
    </w:p>
    <w:p w14:paraId="1D7BE0B6" w14:textId="6ADAB656" w:rsidR="004407B5" w:rsidRDefault="000057E8" w:rsidP="00D36FBE">
      <w:pPr>
        <w:rPr>
          <w:rFonts w:eastAsiaTheme="minorEastAsia"/>
        </w:rPr>
      </w:pPr>
      <w:r>
        <w:rPr>
          <w:rFonts w:eastAsiaTheme="minorEastAsia"/>
          <w:noProof/>
        </w:rPr>
        <w:lastRenderedPageBreak/>
        <w:drawing>
          <wp:inline distT="0" distB="0" distL="0" distR="0" wp14:anchorId="627791BF" wp14:editId="78CDCF5D">
            <wp:extent cx="2197553" cy="615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97553" cy="6153150"/>
                    </a:xfrm>
                    <a:prstGeom prst="rect">
                      <a:avLst/>
                    </a:prstGeom>
                    <a:noFill/>
                    <a:ln>
                      <a:noFill/>
                    </a:ln>
                  </pic:spPr>
                </pic:pic>
              </a:graphicData>
            </a:graphic>
          </wp:inline>
        </w:drawing>
      </w:r>
    </w:p>
    <w:p w14:paraId="6391EE90" w14:textId="4804A171" w:rsidR="000057E8" w:rsidRDefault="000057E8" w:rsidP="00D36FBE">
      <w:pPr>
        <w:rPr>
          <w:rFonts w:eastAsiaTheme="minorEastAsia"/>
        </w:rPr>
      </w:pPr>
      <w:r>
        <w:rPr>
          <w:rFonts w:eastAsiaTheme="minorEastAsia"/>
        </w:rPr>
        <w:t>Figure 3</w:t>
      </w:r>
    </w:p>
    <w:p w14:paraId="518B7EAF" w14:textId="6F87EEFD" w:rsidR="000D48FD" w:rsidRDefault="000D48FD" w:rsidP="00D36FBE">
      <w:pPr>
        <w:rPr>
          <w:rFonts w:eastAsiaTheme="minorEastAsia"/>
        </w:rPr>
      </w:pPr>
    </w:p>
    <w:p w14:paraId="08A9F99B" w14:textId="70EF267F" w:rsidR="006E2B45" w:rsidRDefault="000D48FD" w:rsidP="00D36FBE">
      <w:pPr>
        <w:rPr>
          <w:rFonts w:eastAsiaTheme="minorEastAsia"/>
        </w:rPr>
      </w:pPr>
      <w:r>
        <w:rPr>
          <w:rFonts w:eastAsiaTheme="minorEastAsia"/>
        </w:rPr>
        <w:t xml:space="preserve">The effect of site-level housing density on the patch occupancy of coyote, opossum, and raccoon changed in cities with different average housing densities (Figure 1b).  </w:t>
      </w:r>
      <w:r w:rsidR="003C67EB">
        <w:rPr>
          <w:rFonts w:eastAsiaTheme="minorEastAsia"/>
        </w:rPr>
        <w:t>O</w:t>
      </w:r>
      <w:r w:rsidR="00122A6D">
        <w:rPr>
          <w:rFonts w:eastAsiaTheme="minorEastAsia"/>
        </w:rPr>
        <w:t xml:space="preserve">possum and raccoon responded negatively to urbanization </w:t>
      </w:r>
      <w:r w:rsidR="003C67EB">
        <w:rPr>
          <w:rFonts w:eastAsiaTheme="minorEastAsia"/>
        </w:rPr>
        <w:t xml:space="preserve">in densely populated cities </w:t>
      </w:r>
      <w:r w:rsidR="00122A6D">
        <w:rPr>
          <w:rFonts w:eastAsiaTheme="minorEastAsia"/>
        </w:rPr>
        <w:t xml:space="preserve">and were therefore less likely to occupy </w:t>
      </w:r>
      <w:r w:rsidR="003C67EB">
        <w:rPr>
          <w:rFonts w:eastAsiaTheme="minorEastAsia"/>
        </w:rPr>
        <w:t>green space</w:t>
      </w:r>
      <w:r w:rsidR="00AB1D18">
        <w:rPr>
          <w:rFonts w:eastAsiaTheme="minorEastAsia"/>
        </w:rPr>
        <w:t xml:space="preserve"> within a city</w:t>
      </w:r>
      <w:r w:rsidR="00122A6D">
        <w:rPr>
          <w:rFonts w:eastAsiaTheme="minorEastAsia"/>
        </w:rPr>
        <w:t xml:space="preserve"> surrounded by higher levels of housing density</w:t>
      </w:r>
      <w:r w:rsidR="00AB1D18">
        <w:rPr>
          <w:rFonts w:eastAsiaTheme="minorEastAsia"/>
        </w:rPr>
        <w:t xml:space="preserve"> (Figure 4a-b)</w:t>
      </w:r>
      <w:r w:rsidR="00122A6D">
        <w:rPr>
          <w:rFonts w:eastAsiaTheme="minorEastAsia"/>
        </w:rPr>
        <w:t>.</w:t>
      </w:r>
      <w:r w:rsidR="00AB1D18">
        <w:rPr>
          <w:rFonts w:eastAsiaTheme="minorEastAsia"/>
        </w:rPr>
        <w:t xml:space="preserve"> </w:t>
      </w:r>
      <w:r w:rsidR="00857204">
        <w:rPr>
          <w:rFonts w:eastAsiaTheme="minorEastAsia"/>
        </w:rPr>
        <w:t>For example, Chicago, Illinois had the highest average housing density in this analysis (1316.70 houses km</w:t>
      </w:r>
      <w:r w:rsidR="00857204">
        <w:rPr>
          <w:rFonts w:eastAsiaTheme="minorEastAsia"/>
          <w:vertAlign w:val="superscript"/>
        </w:rPr>
        <w:t>-1</w:t>
      </w:r>
      <w:r w:rsidR="00857204">
        <w:rPr>
          <w:rFonts w:eastAsiaTheme="minorEastAsia"/>
        </w:rPr>
        <w:t>) and there was strong evidence raccoon and opossum negatively responded to site-level housing density (</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rPr>
            </m:ctrlPr>
          </m:e>
          <m:sub>
            <m:r>
              <m:rPr>
                <m:sty m:val="p"/>
              </m:rPr>
              <w:rPr>
                <w:rFonts w:ascii="Cambria Math" w:eastAsiaTheme="minorEastAsia" w:hAnsi="Cambria Math"/>
              </w:rPr>
              <m:t>1</m:t>
            </m:r>
            <m:r>
              <w:rPr>
                <w:rFonts w:ascii="Cambria Math" w:eastAsiaTheme="minorEastAsia" w:hAnsi="Cambria Math"/>
              </w:rPr>
              <m:t>,Chicago,raccoon</m:t>
            </m:r>
          </m:sub>
        </m:sSub>
        <m:r>
          <w:rPr>
            <w:rFonts w:ascii="Cambria Math" w:eastAsiaTheme="minorEastAsia" w:hAnsi="Cambria Math"/>
          </w:rPr>
          <m:t xml:space="preserve"> </m:t>
        </m:r>
      </m:oMath>
      <w:r w:rsidR="00857204">
        <w:rPr>
          <w:rFonts w:eastAsiaTheme="minorEastAsia"/>
        </w:rPr>
        <w:t xml:space="preserve"> = -0.55, 95% CI = -0.77 – -0.35; </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1,Chicago,opossum</m:t>
            </m:r>
          </m:sub>
        </m:sSub>
        <m:r>
          <w:rPr>
            <w:rFonts w:ascii="Cambria Math" w:eastAsiaTheme="minorEastAsia" w:hAnsi="Cambria Math"/>
          </w:rPr>
          <m:t xml:space="preserve"> </m:t>
        </m:r>
      </m:oMath>
      <w:r w:rsidR="00857204">
        <w:rPr>
          <w:rFonts w:eastAsiaTheme="minorEastAsia"/>
        </w:rPr>
        <w:t xml:space="preserve"> = -0.56, 95% CI = -0.80 – -0.33).  Conversely, raccoon and opossum may respond positively to urbanization in cities with a lower average housing density (Figure 4a-b). </w:t>
      </w:r>
      <w:r w:rsidR="00857204">
        <w:rPr>
          <w:rFonts w:eastAsiaTheme="minorEastAsia"/>
        </w:rPr>
        <w:lastRenderedPageBreak/>
        <w:t xml:space="preserve">For instance, </w:t>
      </w:r>
      <w:r w:rsidR="00AB1D18">
        <w:rPr>
          <w:rFonts w:eastAsiaTheme="minorEastAsia"/>
        </w:rPr>
        <w:t>Manhattan, Kansas had the lowest average housing density</w:t>
      </w:r>
      <w:r w:rsidR="00F226CC">
        <w:rPr>
          <w:rFonts w:eastAsiaTheme="minorEastAsia"/>
        </w:rPr>
        <w:t xml:space="preserve"> in this analysis</w:t>
      </w:r>
      <w:r w:rsidR="00AB1D18">
        <w:rPr>
          <w:rFonts w:eastAsiaTheme="minorEastAsia"/>
        </w:rPr>
        <w:t xml:space="preserve"> (313.35 houses km</w:t>
      </w:r>
      <w:r w:rsidR="00AB1D18">
        <w:rPr>
          <w:rFonts w:eastAsiaTheme="minorEastAsia"/>
          <w:vertAlign w:val="superscript"/>
        </w:rPr>
        <w:t>-1</w:t>
      </w:r>
      <w:r w:rsidR="00AB1D18">
        <w:rPr>
          <w:rFonts w:eastAsiaTheme="minorEastAsia"/>
        </w:rPr>
        <w:t xml:space="preserve">) and there was </w:t>
      </w:r>
      <w:r w:rsidR="003C67EB">
        <w:rPr>
          <w:rFonts w:eastAsiaTheme="minorEastAsia"/>
        </w:rPr>
        <w:t>some</w:t>
      </w:r>
      <w:r w:rsidR="00AB1D18">
        <w:rPr>
          <w:rFonts w:eastAsiaTheme="minorEastAsia"/>
        </w:rPr>
        <w:t xml:space="preserve"> evidence raccoon and opossum </w:t>
      </w:r>
      <w:r w:rsidR="003C67EB">
        <w:rPr>
          <w:rFonts w:eastAsiaTheme="minorEastAsia"/>
        </w:rPr>
        <w:t xml:space="preserve">responded positively to site-level housing density </w:t>
      </w:r>
      <w:r w:rsidR="00F226C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1,Manhattan,raccoon</m:t>
            </m:r>
          </m:sub>
        </m:sSub>
        <m:r>
          <w:rPr>
            <w:rFonts w:ascii="Cambria Math" w:eastAsiaTheme="minorEastAsia" w:hAnsi="Cambria Math"/>
          </w:rPr>
          <m:t xml:space="preserve"> </m:t>
        </m:r>
      </m:oMath>
      <w:r w:rsidR="00F226CC">
        <w:rPr>
          <w:rFonts w:eastAsiaTheme="minorEastAsia"/>
        </w:rPr>
        <w:t xml:space="preserve"> = 0.41, 95% CI = -0.34 – 1.18; </w:t>
      </w:r>
      <m:oMath>
        <m:sSub>
          <m:sSubPr>
            <m:ctrlPr>
              <w:rPr>
                <w:rFonts w:ascii="Cambria Math" w:eastAsiaTheme="minorEastAsia" w:hAnsi="Cambria Math"/>
                <w:i/>
              </w:rPr>
            </m:ctrlPr>
          </m:sSubPr>
          <m:e>
            <m: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1,Manhattan,opossum</m:t>
            </m:r>
          </m:sub>
        </m:sSub>
        <m:r>
          <w:rPr>
            <w:rFonts w:ascii="Cambria Math" w:eastAsiaTheme="minorEastAsia" w:hAnsi="Cambria Math"/>
          </w:rPr>
          <m:t xml:space="preserve"> </m:t>
        </m:r>
      </m:oMath>
      <w:r w:rsidR="00F226CC">
        <w:rPr>
          <w:rFonts w:eastAsiaTheme="minorEastAsia"/>
        </w:rPr>
        <w:t xml:space="preserve"> = 0.27, 95% CI = -0.37 – 0.92). </w:t>
      </w:r>
      <w:r w:rsidR="003C67EB">
        <w:rPr>
          <w:rFonts w:eastAsiaTheme="minorEastAsia"/>
        </w:rPr>
        <w:t xml:space="preserve">Therefore, the spatial arrangement of </w:t>
      </w:r>
      <w:r w:rsidR="006E2B45">
        <w:rPr>
          <w:rFonts w:eastAsiaTheme="minorEastAsia"/>
        </w:rPr>
        <w:t>raccoon and opossum</w:t>
      </w:r>
      <w:r w:rsidR="003C67EB">
        <w:rPr>
          <w:rFonts w:eastAsiaTheme="minorEastAsia"/>
        </w:rPr>
        <w:t xml:space="preserve"> varied </w:t>
      </w:r>
      <w:r w:rsidR="006E2B45">
        <w:rPr>
          <w:rFonts w:eastAsiaTheme="minorEastAsia"/>
        </w:rPr>
        <w:t>depending on how densely populated a city was.</w:t>
      </w:r>
      <w:r w:rsidR="00857204">
        <w:rPr>
          <w:rFonts w:eastAsiaTheme="minorEastAsia"/>
        </w:rPr>
        <w:t xml:space="preserve"> Coyote, however, always responded negatively to site-level housing density within a city but the strength of this effect was reduced more densely populated cities (Figure 4c).</w:t>
      </w:r>
      <w:r w:rsidR="006E2B45">
        <w:rPr>
          <w:rFonts w:eastAsiaTheme="minorEastAsia"/>
        </w:rPr>
        <w:t xml:space="preserve"> Thus, while coyote </w:t>
      </w:r>
      <w:proofErr w:type="gramStart"/>
      <w:r w:rsidR="006E2B45">
        <w:rPr>
          <w:rFonts w:eastAsiaTheme="minorEastAsia"/>
        </w:rPr>
        <w:t>were</w:t>
      </w:r>
      <w:proofErr w:type="gramEnd"/>
      <w:r w:rsidR="006E2B45">
        <w:rPr>
          <w:rFonts w:eastAsiaTheme="minorEastAsia"/>
        </w:rPr>
        <w:t xml:space="preserve"> most likely to be found in urban green space away from people, this relationship was strongest in sparsely populated cities.</w:t>
      </w:r>
    </w:p>
    <w:p w14:paraId="48A6F07D" w14:textId="36EB1150" w:rsidR="000D48FD" w:rsidRDefault="000D48FD" w:rsidP="00D36FBE">
      <w:pPr>
        <w:rPr>
          <w:rFonts w:eastAsiaTheme="minorEastAsia"/>
        </w:rPr>
      </w:pPr>
    </w:p>
    <w:p w14:paraId="730407CC" w14:textId="23F8BFF1" w:rsidR="006E2B45" w:rsidRDefault="006E2B45" w:rsidP="006E2B45">
      <w:pPr>
        <w:pStyle w:val="Heading2"/>
        <w:rPr>
          <w:rFonts w:eastAsiaTheme="minorEastAsia"/>
        </w:rPr>
      </w:pPr>
      <w:r>
        <w:rPr>
          <w:rFonts w:eastAsiaTheme="minorEastAsia"/>
        </w:rPr>
        <w:t>Differences in within and between city species richness</w:t>
      </w:r>
    </w:p>
    <w:p w14:paraId="44F6FBAB" w14:textId="5221A045" w:rsidR="006E2B45" w:rsidRDefault="006E2B45" w:rsidP="006E2B45"/>
    <w:p w14:paraId="2632262E" w14:textId="15ABA52A" w:rsidR="00440309" w:rsidRDefault="006E2B45" w:rsidP="006E2B45">
      <w:r>
        <w:t>Using posterior simulations of species occurrences from each species best-fit model we</w:t>
      </w:r>
      <w:r w:rsidR="00547F05">
        <w:t xml:space="preserve"> calculated</w:t>
      </w:r>
      <w:r>
        <w:t xml:space="preserve"> </w:t>
      </w:r>
      <w:r w:rsidR="008664F3">
        <w:t xml:space="preserve">1) within-city </w:t>
      </w:r>
      <w:r>
        <w:t xml:space="preserve">species richness </w:t>
      </w:r>
      <w:r w:rsidR="008664F3">
        <w:t>in</w:t>
      </w:r>
      <w:r>
        <w:t xml:space="preserve"> urban green space </w:t>
      </w:r>
      <w:r w:rsidR="008664F3">
        <w:t>surrounded by less than</w:t>
      </w:r>
      <w:r w:rsidR="00547F05">
        <w:t xml:space="preserve"> or more than</w:t>
      </w:r>
      <w:r w:rsidR="008664F3">
        <w:t xml:space="preserve"> </w:t>
      </w:r>
      <w:r w:rsidR="00547F05">
        <w:t xml:space="preserve">a city’s </w:t>
      </w:r>
      <w:r w:rsidR="008664F3">
        <w:t xml:space="preserve">average housing density 2) the most likely community to occur at </w:t>
      </w:r>
      <w:r w:rsidR="00547F05">
        <w:t xml:space="preserve">the estimated median species richness </w:t>
      </w:r>
      <w:r w:rsidR="008664F3">
        <w:t xml:space="preserve">(Figure 5).  </w:t>
      </w:r>
      <w:r w:rsidR="00440309">
        <w:t xml:space="preserve">Across cities, urban green space with less than average housing density had an average of 3 mammals while urban green space with more than average housing density had 2.6. For cities with </w:t>
      </w:r>
      <w:r w:rsidR="00547F05">
        <w:t>more than</w:t>
      </w:r>
      <w:r w:rsidR="00440309">
        <w:t xml:space="preserve"> 750 houses km</w:t>
      </w:r>
      <w:r w:rsidR="00440309">
        <w:rPr>
          <w:vertAlign w:val="superscript"/>
        </w:rPr>
        <w:t xml:space="preserve">-1 </w:t>
      </w:r>
      <w:r w:rsidR="00440309">
        <w:t>on average, species richness was lower in habitat patches surrounded by greater than average housing density (Figure 5). The species that was most often lost from the communit</w:t>
      </w:r>
      <w:r w:rsidR="00547F05">
        <w:t>y</w:t>
      </w:r>
      <w:r w:rsidR="00440309">
        <w:t xml:space="preserve"> was the raccoon. For cities with </w:t>
      </w:r>
      <w:r w:rsidR="00547F05">
        <w:t>less than</w:t>
      </w:r>
      <w:r w:rsidR="00440309">
        <w:t xml:space="preserve"> 750 houses km</w:t>
      </w:r>
      <w:r w:rsidR="00440309">
        <w:rPr>
          <w:vertAlign w:val="superscript"/>
        </w:rPr>
        <w:t xml:space="preserve">-1 </w:t>
      </w:r>
      <w:r w:rsidR="00440309">
        <w:t xml:space="preserve">on average, </w:t>
      </w:r>
      <w:r w:rsidR="00547F05">
        <w:t xml:space="preserve">within city </w:t>
      </w:r>
      <w:r w:rsidR="00440309">
        <w:t>differences in species richness were une</w:t>
      </w:r>
      <w:r w:rsidR="00547F05">
        <w:t xml:space="preserve">quivocal.  Raccoon was the most common species to be observed in a wildlife community while the skunk was the least. </w:t>
      </w:r>
    </w:p>
    <w:p w14:paraId="54829C15" w14:textId="77777777" w:rsidR="00440309" w:rsidRDefault="00440309" w:rsidP="006E2B45"/>
    <w:p w14:paraId="324BF8BA" w14:textId="36A6FE35" w:rsidR="00255089" w:rsidRDefault="00F826D6" w:rsidP="00F826D6">
      <w:pPr>
        <w:pStyle w:val="Heading2"/>
        <w:rPr>
          <w:rFonts w:eastAsiaTheme="minorEastAsia"/>
        </w:rPr>
      </w:pPr>
      <w:r>
        <w:rPr>
          <w:rFonts w:eastAsiaTheme="minorEastAsia"/>
        </w:rPr>
        <w:t>Discussion</w:t>
      </w:r>
    </w:p>
    <w:p w14:paraId="437209D4" w14:textId="08EFE8F4" w:rsidR="00AE42A4" w:rsidRDefault="00AE42A4" w:rsidP="00442994">
      <w:pPr>
        <w:rPr>
          <w:rFonts w:eastAsiaTheme="minorEastAsia"/>
        </w:rPr>
      </w:pPr>
    </w:p>
    <w:p w14:paraId="76C8916F" w14:textId="07804364" w:rsidR="00AE42A4" w:rsidRDefault="00AE42A4" w:rsidP="00442994">
      <w:pPr>
        <w:rPr>
          <w:rFonts w:eastAsiaTheme="minorEastAsia"/>
        </w:rPr>
      </w:pPr>
    </w:p>
    <w:p w14:paraId="5EA614BD" w14:textId="24768675" w:rsidR="00AE42A4" w:rsidRDefault="00AE42A4" w:rsidP="00442994">
      <w:pPr>
        <w:rPr>
          <w:rFonts w:eastAsiaTheme="minorEastAsia"/>
        </w:rPr>
      </w:pPr>
    </w:p>
    <w:p w14:paraId="7210EA47" w14:textId="0DF89357" w:rsidR="00AE42A4" w:rsidRDefault="00AE42A4" w:rsidP="00442994">
      <w:pPr>
        <w:rPr>
          <w:rFonts w:eastAsiaTheme="minorEastAsia"/>
        </w:rPr>
      </w:pPr>
    </w:p>
    <w:p w14:paraId="143939AA" w14:textId="7265E60D" w:rsidR="00AE42A4" w:rsidRDefault="00AE42A4" w:rsidP="00442994">
      <w:pPr>
        <w:rPr>
          <w:rFonts w:eastAsiaTheme="minorEastAsia"/>
        </w:rPr>
      </w:pPr>
    </w:p>
    <w:p w14:paraId="4A3782DF" w14:textId="4EA4927B" w:rsidR="00AE42A4" w:rsidRDefault="00AE42A4" w:rsidP="00442994">
      <w:pPr>
        <w:rPr>
          <w:rFonts w:eastAsiaTheme="minorEastAsia"/>
        </w:rPr>
      </w:pPr>
    </w:p>
    <w:p w14:paraId="1A9460FD" w14:textId="49597764" w:rsidR="00AE42A4" w:rsidRDefault="00AE42A4" w:rsidP="00442994">
      <w:pPr>
        <w:rPr>
          <w:rFonts w:eastAsiaTheme="minorEastAsia"/>
        </w:rPr>
      </w:pPr>
    </w:p>
    <w:p w14:paraId="08461AFD" w14:textId="77777777" w:rsidR="00AE42A4" w:rsidRPr="00EC5680" w:rsidRDefault="00AE42A4" w:rsidP="00442994"/>
    <w:p w14:paraId="4F767A7B" w14:textId="2B2A3C9D" w:rsidR="005E33F6" w:rsidRDefault="00E945C9" w:rsidP="00A6337D">
      <w:r>
        <w:t xml:space="preserve">Urban ecologists – following </w:t>
      </w:r>
      <w:r w:rsidR="00E302C3">
        <w:t>historical</w:t>
      </w:r>
      <w:r>
        <w:t xml:space="preserve"> urban growth models – initially</w:t>
      </w:r>
      <w:r w:rsidR="0051129B">
        <w:t xml:space="preserve"> assumed urban areas decreased in density by radial concentric circles from their urban core outwards</w:t>
      </w:r>
      <w:r>
        <w:t>, like an onion</w:t>
      </w:r>
      <w:r w:rsidR="0051129B">
        <w:t xml:space="preserve"> (McDonnel and Pickett 1990). As a result, urbanization was measured as E</w:t>
      </w:r>
      <w:r w:rsidR="00FE337D">
        <w:t>uclidean distance to a city center (McDonnel and Pickett 1990</w:t>
      </w:r>
      <w:r w:rsidR="0051129B">
        <w:t xml:space="preserve">). </w:t>
      </w:r>
      <w:r>
        <w:t>C</w:t>
      </w:r>
      <w:r w:rsidR="0051129B">
        <w:t xml:space="preserve">ities today, however, </w:t>
      </w:r>
      <w:r w:rsidR="005E33F6">
        <w:t xml:space="preserve">are often polycentric and therefore </w:t>
      </w:r>
      <w:r w:rsidR="0051129B">
        <w:t>do not follow this pattern</w:t>
      </w:r>
      <w:r w:rsidR="00E302C3">
        <w:t xml:space="preserve">. This, in turn, </w:t>
      </w:r>
      <w:r w:rsidR="005E33F6">
        <w:t xml:space="preserve">has required more robust measures of urbanization (CITATION). Examples include … Despite the chosen metric for urbanization, </w:t>
      </w:r>
    </w:p>
    <w:p w14:paraId="7EF856E3" w14:textId="77777777" w:rsidR="00E302C3" w:rsidRDefault="00E302C3" w:rsidP="00A6337D"/>
    <w:p w14:paraId="6CAC1281" w14:textId="57CC30BC" w:rsidR="00B81992" w:rsidRDefault="005E33F6" w:rsidP="00A6337D">
      <w:r>
        <w:t xml:space="preserve"> </w:t>
      </w:r>
      <w:r w:rsidR="0051129B">
        <w:t xml:space="preserve"> because edge cities along the periphery of major metropolitan areas </w:t>
      </w:r>
      <w:r w:rsidR="00B81992">
        <w:br/>
      </w:r>
    </w:p>
    <w:p w14:paraId="6D7C5BFC" w14:textId="49B9818E" w:rsidR="00906744" w:rsidRDefault="00906744" w:rsidP="00A6337D">
      <w:r>
        <w:lastRenderedPageBreak/>
        <w:t xml:space="preserve">Traditional models of urban growth and subsequent ecological explorations or urban environments </w:t>
      </w:r>
      <w:r w:rsidR="00CD6E56">
        <w:t xml:space="preserve">were monocentric and </w:t>
      </w:r>
      <w:r>
        <w:t xml:space="preserve">assumed urban areas decreased in density </w:t>
      </w:r>
      <w:r w:rsidR="0074526E">
        <w:t xml:space="preserve">in radial concentric circles </w:t>
      </w:r>
      <w:r>
        <w:t>from their urban core outwards (</w:t>
      </w:r>
      <w:proofErr w:type="gramStart"/>
      <w:r>
        <w:t>McDonnel</w:t>
      </w:r>
      <w:r w:rsidR="0074526E">
        <w:t xml:space="preserve">  YEAR</w:t>
      </w:r>
      <w:proofErr w:type="gramEnd"/>
      <w:r w:rsidR="0074526E">
        <w:t>)</w:t>
      </w:r>
      <w:r w:rsidR="00CD6E56">
        <w:t>. Yet, most cities today do not follow such a pattern, as edge cities along the periphery of major metropolitan areas grow.</w:t>
      </w:r>
    </w:p>
    <w:p w14:paraId="56E1C9FB" w14:textId="77777777" w:rsidR="00906744" w:rsidRDefault="00906744" w:rsidP="00A6337D"/>
    <w:p w14:paraId="2F0E90B4" w14:textId="77777777" w:rsidR="00A6337D" w:rsidRDefault="00A6337D" w:rsidP="00A6337D">
      <w:r>
        <w:t xml:space="preserve">   habitat loss (CITATION), </w:t>
      </w:r>
    </w:p>
    <w:p w14:paraId="5CD22028" w14:textId="77777777" w:rsidR="00A6337D" w:rsidRDefault="00A6337D" w:rsidP="00DC50C7"/>
    <w:p w14:paraId="04288569" w14:textId="77777777" w:rsidR="00A6337D" w:rsidRDefault="00A6337D" w:rsidP="00DC50C7"/>
    <w:p w14:paraId="2192CFAF" w14:textId="77777777" w:rsidR="00DC50C7" w:rsidRDefault="00864EC4" w:rsidP="00DC50C7">
      <w:r>
        <w:t xml:space="preserve"> </w:t>
      </w:r>
      <w:r w:rsidR="00DC50C7">
        <w:t>drive global environmental change</w:t>
      </w:r>
      <w:r w:rsidR="00A6337D">
        <w:t xml:space="preserve"> (Grimm et al. 2008</w:t>
      </w:r>
      <w:proofErr w:type="gramStart"/>
      <w:r w:rsidR="00A6337D">
        <w:t>)</w:t>
      </w:r>
      <w:r>
        <w:t>,</w:t>
      </w:r>
      <w:r w:rsidR="00A6337D">
        <w:t xml:space="preserve"> and</w:t>
      </w:r>
      <w:proofErr w:type="gramEnd"/>
      <w:r w:rsidR="00DC50C7">
        <w:t xml:space="preserve"> threaten biodiversity worldwide (</w:t>
      </w:r>
      <w:proofErr w:type="spellStart"/>
      <w:r w:rsidR="00DC50C7">
        <w:t>Seto</w:t>
      </w:r>
      <w:proofErr w:type="spellEnd"/>
      <w:r w:rsidR="00DC50C7">
        <w:t xml:space="preserve"> et al. 2012).</w:t>
      </w:r>
      <w:r w:rsidR="00A6337D">
        <w:t xml:space="preserve"> This is an impressive feat given that currently only a small percentile of Earth’s total land cover is classified as urban</w:t>
      </w:r>
    </w:p>
    <w:p w14:paraId="18362B71" w14:textId="77777777" w:rsidR="00DC50C7" w:rsidRDefault="00DC50C7" w:rsidP="00DC50C7"/>
    <w:p w14:paraId="712D50BC" w14:textId="77777777" w:rsidR="00DC50C7" w:rsidRDefault="00DC50C7" w:rsidP="00DC50C7"/>
    <w:p w14:paraId="727F2F75" w14:textId="77777777" w:rsidR="00A6337D" w:rsidRDefault="00A6337D" w:rsidP="00DC50C7"/>
    <w:p w14:paraId="144CA2C1" w14:textId="77777777" w:rsidR="00A6337D" w:rsidRDefault="00A6337D" w:rsidP="00DC50C7">
      <w:r>
        <w:t>– the process where the built environment is created to accommodate urban populations and their activities –</w:t>
      </w:r>
    </w:p>
    <w:p w14:paraId="5B0C7458" w14:textId="77777777" w:rsidR="00A6337D" w:rsidRDefault="00A6337D" w:rsidP="00DC50C7"/>
    <w:p w14:paraId="07D83095" w14:textId="77777777" w:rsidR="00A6337D" w:rsidRDefault="00A6337D" w:rsidP="00DC50C7"/>
    <w:p w14:paraId="0BCC8B17" w14:textId="77777777" w:rsidR="00DC50C7" w:rsidRDefault="00DC50C7" w:rsidP="00DC50C7">
      <w:r>
        <w:t>And though a small percentile of Earth’s total land cover is classified as urban (CITATION) their influence on glob</w:t>
      </w:r>
    </w:p>
    <w:p w14:paraId="4100A55B" w14:textId="77777777" w:rsidR="00DC50C7" w:rsidRDefault="00DC50C7"/>
    <w:p w14:paraId="50D47025" w14:textId="77777777" w:rsidR="00DC50C7" w:rsidRDefault="00DC50C7"/>
    <w:p w14:paraId="00DF1E5A" w14:textId="77777777" w:rsidR="0083698B" w:rsidRDefault="0083698B">
      <w:r>
        <w:t xml:space="preserve">The process of urbanization </w:t>
      </w:r>
      <w:r w:rsidR="0096441E">
        <w:t>significantly alters ecological processes (CITATION) and threatens biodiversity worldwide (CITATION). Though on</w:t>
      </w:r>
    </w:p>
    <w:p w14:paraId="0A9C0D2F" w14:textId="77777777" w:rsidR="0083698B" w:rsidRDefault="0083698B"/>
    <w:p w14:paraId="1FB2772E" w14:textId="77777777" w:rsidR="0096441E" w:rsidRDefault="0096441E">
      <w:r>
        <w:t>The face of the planet has not only been changed by urbanization (</w:t>
      </w:r>
      <w:proofErr w:type="spellStart"/>
      <w:r>
        <w:t>Acuto</w:t>
      </w:r>
      <w:proofErr w:type="spellEnd"/>
      <w:r>
        <w:t xml:space="preserve"> et al. 2018), but more people live in cities today than ever before (CITATION). </w:t>
      </w:r>
    </w:p>
    <w:p w14:paraId="1C92DA0C" w14:textId="77777777" w:rsidR="0096441E" w:rsidRDefault="0096441E"/>
    <w:p w14:paraId="48C3AE47" w14:textId="77777777" w:rsidR="00C45D58" w:rsidRDefault="00C45D58">
      <w:r>
        <w:t>Urbanization is changing the face of our planet (</w:t>
      </w:r>
      <w:proofErr w:type="spellStart"/>
      <w:r>
        <w:t>Acuto</w:t>
      </w:r>
      <w:proofErr w:type="spellEnd"/>
      <w:r>
        <w:t xml:space="preserve"> et al. 2018). On average, </w:t>
      </w:r>
    </w:p>
    <w:p w14:paraId="1601A68F" w14:textId="77777777" w:rsidR="00C45D58" w:rsidRDefault="00C45D58"/>
    <w:p w14:paraId="585F8621" w14:textId="77777777" w:rsidR="00C45D58" w:rsidRDefault="00C45D58">
      <w:r>
        <w:t>Urbanization – the process where the built environment is created to accommodate urban populations and their activities – occurs at twice the rate of population growth on average (Angel et al. 2011).</w:t>
      </w:r>
    </w:p>
    <w:p w14:paraId="63A97315" w14:textId="77777777" w:rsidR="00C45D58" w:rsidRDefault="00C45D58"/>
    <w:p w14:paraId="76B0D753" w14:textId="77777777" w:rsidR="00C45D58" w:rsidRDefault="00C45D58"/>
    <w:p w14:paraId="79417E2A" w14:textId="77777777" w:rsidR="0096441E" w:rsidRDefault="00C45D58">
      <w:r>
        <w:t xml:space="preserve">Though urban areas </w:t>
      </w:r>
      <w:r w:rsidR="0096441E">
        <w:t>Urbanization is changing the face of our planet (</w:t>
      </w:r>
      <w:proofErr w:type="spellStart"/>
      <w:r w:rsidR="0096441E">
        <w:t>Acuto</w:t>
      </w:r>
      <w:proofErr w:type="spellEnd"/>
      <w:r w:rsidR="0096441E">
        <w:t xml:space="preserve"> et al. 2018). Though only 10% of the Earth’s total land surface area is classified </w:t>
      </w:r>
    </w:p>
    <w:p w14:paraId="60920A91" w14:textId="77777777" w:rsidR="0096441E" w:rsidRDefault="0096441E"/>
    <w:p w14:paraId="5DAC3983" w14:textId="77777777" w:rsidR="0096441E" w:rsidRDefault="0096441E">
      <w:r>
        <w:t xml:space="preserve">To accommodate the current human migration from rural environments to cities has resulted in increased rates of urbanization worldwide (Citation), which in turn </w:t>
      </w:r>
      <w:proofErr w:type="spellStart"/>
      <w:r>
        <w:t>si</w:t>
      </w:r>
      <w:proofErr w:type="spellEnd"/>
    </w:p>
    <w:p w14:paraId="33273274" w14:textId="77777777" w:rsidR="0083698B" w:rsidRDefault="0096441E">
      <w:r>
        <w:t xml:space="preserve">To meet the demands of an ever-growing urban population, urbanization rates have increased worldwide. only 10% of the Earth’s </w:t>
      </w:r>
    </w:p>
    <w:p w14:paraId="01C75A25" w14:textId="77777777" w:rsidR="008E2D28" w:rsidRDefault="00822BF6">
      <w:r>
        <w:t>The process of urbanization is changing the face of our planet</w:t>
      </w:r>
      <w:r w:rsidR="003D565D">
        <w:t xml:space="preserve"> </w:t>
      </w:r>
      <w:r>
        <w:t>(</w:t>
      </w:r>
      <w:proofErr w:type="spellStart"/>
      <w:r>
        <w:t>Acuto</w:t>
      </w:r>
      <w:proofErr w:type="spellEnd"/>
      <w:r>
        <w:t xml:space="preserve"> et al. 2018). </w:t>
      </w:r>
      <w:r w:rsidR="003D565D">
        <w:t>While only</w:t>
      </w:r>
      <w:r w:rsidR="008F3F7C">
        <w:t xml:space="preserve"> </w:t>
      </w:r>
      <w:r>
        <w:t>10% of the Earth’s total land surface area is classified as urban (</w:t>
      </w:r>
      <w:proofErr w:type="spellStart"/>
      <w:r>
        <w:t>McGranahan</w:t>
      </w:r>
      <w:proofErr w:type="spellEnd"/>
      <w:r>
        <w:t xml:space="preserve">, 2005) over 50% of </w:t>
      </w:r>
      <w:r>
        <w:lastRenderedPageBreak/>
        <w:t xml:space="preserve">the </w:t>
      </w:r>
      <w:r w:rsidR="002D0324">
        <w:t>world’s</w:t>
      </w:r>
      <w:r>
        <w:t xml:space="preserve"> population </w:t>
      </w:r>
      <w:r w:rsidR="003D565D">
        <w:t>now resides</w:t>
      </w:r>
      <w:r w:rsidR="008F3F7C">
        <w:t xml:space="preserve"> cities</w:t>
      </w:r>
      <w:r w:rsidR="002D0324">
        <w:t xml:space="preserve"> (CITATION)</w:t>
      </w:r>
      <w:r w:rsidR="003D565D">
        <w:t>. Th</w:t>
      </w:r>
      <w:r w:rsidR="008E2D28">
        <w:t>e</w:t>
      </w:r>
      <w:r w:rsidR="003D565D">
        <w:t xml:space="preserve"> migration of humans into cities </w:t>
      </w:r>
      <w:r w:rsidR="00DA6493">
        <w:t>continues to</w:t>
      </w:r>
      <w:r w:rsidR="003D565D">
        <w:t xml:space="preserve"> increase rates</w:t>
      </w:r>
      <w:r w:rsidR="00DA6493">
        <w:t xml:space="preserve"> </w:t>
      </w:r>
      <w:r w:rsidR="003D565D">
        <w:t>or urbanization (CITATION)</w:t>
      </w:r>
      <w:r w:rsidR="008E2D28">
        <w:t xml:space="preserve">, significantly alter ecological processes (CITATION), and threaten biodiversity worldwide (CITATION). As a result, </w:t>
      </w:r>
    </w:p>
    <w:p w14:paraId="57D9F44A" w14:textId="77777777" w:rsidR="008E2D28" w:rsidRDefault="008E2D28"/>
    <w:p w14:paraId="5F7D9339" w14:textId="77777777" w:rsidR="002D0324" w:rsidRDefault="003D565D">
      <w:r>
        <w:t xml:space="preserve">  </w:t>
      </w:r>
      <w:r w:rsidR="002D0324">
        <w:t>With a</w:t>
      </w:r>
      <w:r w:rsidR="008F3F7C">
        <w:t xml:space="preserve"> </w:t>
      </w:r>
      <w:r w:rsidR="00A90E3E">
        <w:t>growing</w:t>
      </w:r>
      <w:r w:rsidR="008F3F7C">
        <w:t xml:space="preserve"> urban population rates of urbanization</w:t>
      </w:r>
      <w:r w:rsidR="00822BF6">
        <w:t xml:space="preserve"> </w:t>
      </w:r>
      <w:r w:rsidR="008F3F7C">
        <w:t>continue to increase worldwide (CITATION)</w:t>
      </w:r>
      <w:r w:rsidR="002D0324">
        <w:t xml:space="preserve">. </w:t>
      </w:r>
      <w:r w:rsidR="00A90E3E">
        <w:t>Consequently</w:t>
      </w:r>
      <w:r w:rsidR="002D0324">
        <w:t>,</w:t>
      </w:r>
      <w:r w:rsidR="008F3F7C">
        <w:t xml:space="preserve"> </w:t>
      </w:r>
      <w:r w:rsidR="00A90E3E">
        <w:t>lands of conservation value</w:t>
      </w:r>
      <w:r w:rsidR="008F3F7C">
        <w:t xml:space="preserve"> </w:t>
      </w:r>
      <w:r w:rsidR="002D0324">
        <w:t xml:space="preserve">that were once safely outside a city’s boundary </w:t>
      </w:r>
      <w:r>
        <w:t xml:space="preserve">are </w:t>
      </w:r>
      <w:r w:rsidR="002D0324">
        <w:t xml:space="preserve">often </w:t>
      </w:r>
      <w:r w:rsidR="008F3F7C">
        <w:t>become ingrained within a</w:t>
      </w:r>
      <w:r w:rsidR="002D0324">
        <w:t xml:space="preserve"> spreading</w:t>
      </w:r>
      <w:r w:rsidR="008F3F7C">
        <w:t xml:space="preserve"> urban landscape and </w:t>
      </w:r>
      <w:r w:rsidR="00A90E3E">
        <w:t>are</w:t>
      </w:r>
      <w:r w:rsidR="002D0324">
        <w:t xml:space="preserve"> typically diminished in size (CITATION).</w:t>
      </w:r>
      <w:r w:rsidR="00A90E3E">
        <w:t xml:space="preserve">  </w:t>
      </w:r>
    </w:p>
    <w:p w14:paraId="6F85E877" w14:textId="77777777" w:rsidR="002D0324" w:rsidRDefault="002D0324"/>
    <w:p w14:paraId="7F34199C" w14:textId="77777777" w:rsidR="008F3F7C" w:rsidRDefault="002D0324">
      <w:r>
        <w:t xml:space="preserve">In fact, the cumulative effects of urbanization </w:t>
      </w:r>
      <w:proofErr w:type="gramStart"/>
      <w:r>
        <w:t>is</w:t>
      </w:r>
      <w:proofErr w:type="gramEnd"/>
      <w:r>
        <w:t xml:space="preserve"> transforming the ecology of our planet.</w:t>
      </w:r>
    </w:p>
    <w:p w14:paraId="0CC76398" w14:textId="77777777" w:rsidR="008F3F7C" w:rsidRDefault="008F3F7C"/>
    <w:p w14:paraId="584483AD" w14:textId="1D34D72D" w:rsidR="00246C1A" w:rsidRDefault="008F3F7C">
      <w:r>
        <w:t xml:space="preserve">With the expansion of cities protected areas become ingrained within an urban </w:t>
      </w:r>
    </w:p>
    <w:p w14:paraId="0F2FAC12" w14:textId="32E8F665" w:rsidR="00FE0CD9" w:rsidRDefault="00FE0CD9"/>
    <w:p w14:paraId="2E4161F3" w14:textId="1D577847" w:rsidR="00FE0CD9" w:rsidRDefault="00FE0CD9"/>
    <w:p w14:paraId="3FADFCD5" w14:textId="43CB81C7" w:rsidR="00FE0CD9" w:rsidRDefault="00FE0CD9">
      <w:pPr>
        <w:rPr>
          <w:b/>
        </w:rPr>
      </w:pPr>
      <w:r>
        <w:rPr>
          <w:b/>
        </w:rPr>
        <w:t>Discussion</w:t>
      </w:r>
    </w:p>
    <w:p w14:paraId="713E92CC" w14:textId="08927E58" w:rsidR="00FE0CD9" w:rsidRDefault="00FE0CD9">
      <w:pPr>
        <w:rPr>
          <w:b/>
        </w:rPr>
      </w:pPr>
    </w:p>
    <w:p w14:paraId="514FAC34" w14:textId="77777777" w:rsidR="00284C25" w:rsidRDefault="00284C25" w:rsidP="003742C8"/>
    <w:p w14:paraId="5304C270" w14:textId="2C8DA073" w:rsidR="001C2C6E" w:rsidRDefault="00F67E5D" w:rsidP="003742C8">
      <w:r>
        <w:t>As predicted,</w:t>
      </w:r>
      <w:r w:rsidR="00284C25">
        <w:t xml:space="preserve"> </w:t>
      </w:r>
    </w:p>
    <w:p w14:paraId="4D9ED96B" w14:textId="77777777" w:rsidR="001C2C6E" w:rsidRDefault="001C2C6E" w:rsidP="003742C8"/>
    <w:p w14:paraId="3DD29DAD" w14:textId="78A42EA8" w:rsidR="000D0014" w:rsidRPr="000D0014" w:rsidRDefault="001C2C6E" w:rsidP="003742C8">
      <w:r>
        <w:t xml:space="preserve"> species richness in a city changed as a city becomes more densely populated </w:t>
      </w:r>
      <w:proofErr w:type="gramStart"/>
      <w:r>
        <w:t xml:space="preserve"> </w:t>
      </w:r>
      <w:r w:rsidR="00284C25">
        <w:t xml:space="preserve"> </w:t>
      </w:r>
      <w:r w:rsidR="00FE0CD9">
        <w:t>.</w:t>
      </w:r>
      <w:proofErr w:type="gramEnd"/>
      <w:r w:rsidR="00E57414">
        <w:t xml:space="preserve"> </w:t>
      </w:r>
      <w:r w:rsidR="00284C25">
        <w:t>S</w:t>
      </w:r>
      <w:r w:rsidR="006E6912">
        <w:t>pecies richness</w:t>
      </w:r>
      <w:r w:rsidR="00284C25">
        <w:t xml:space="preserve"> in sparsely populated cities</w:t>
      </w:r>
      <w:r w:rsidR="001A741D">
        <w:t xml:space="preserve"> </w:t>
      </w:r>
      <w:r w:rsidR="0086028E">
        <w:t xml:space="preserve">either </w:t>
      </w:r>
      <w:r w:rsidR="0069489B">
        <w:t>increased</w:t>
      </w:r>
      <w:r w:rsidR="003742C8">
        <w:t xml:space="preserve">, </w:t>
      </w:r>
      <w:r w:rsidR="0069489B">
        <w:t>decreased</w:t>
      </w:r>
      <w:r w:rsidR="003742C8">
        <w:t xml:space="preserve">, </w:t>
      </w:r>
      <w:r w:rsidR="0069489B">
        <w:t>or stayed the same</w:t>
      </w:r>
      <w:r w:rsidR="000D0014">
        <w:t xml:space="preserve"> with increasing urbanization </w:t>
      </w:r>
      <w:r w:rsidR="0069489B">
        <w:t>(Figure X).</w:t>
      </w:r>
      <w:r w:rsidR="00F67E5D">
        <w:t xml:space="preserve"> In densely populated cities, however,</w:t>
      </w:r>
      <w:r w:rsidR="00F67E5D" w:rsidRPr="00F67E5D">
        <w:t xml:space="preserve"> </w:t>
      </w:r>
      <w:r w:rsidR="00F67E5D">
        <w:t>species richness unequivocally decreased with increasing urbanization</w:t>
      </w:r>
      <w:r w:rsidR="00284C25">
        <w:t>, and</w:t>
      </w:r>
      <w:r w:rsidR="00E57414">
        <w:t xml:space="preserve"> </w:t>
      </w:r>
      <w:r w:rsidR="00284C25">
        <w:t>t</w:t>
      </w:r>
      <w:r w:rsidR="000D0014">
        <w:t>h</w:t>
      </w:r>
      <w:r w:rsidR="0086028E">
        <w:t>is</w:t>
      </w:r>
      <w:r w:rsidR="000D0014">
        <w:t xml:space="preserve"> shift </w:t>
      </w:r>
      <w:r w:rsidR="00284C25">
        <w:t xml:space="preserve">occurred once </w:t>
      </w:r>
      <w:r w:rsidR="000D0014">
        <w:t xml:space="preserve">a city had </w:t>
      </w:r>
      <w:r w:rsidR="000D0014">
        <w:rPr>
          <w:rFonts w:cstheme="minorHAnsi"/>
        </w:rPr>
        <w:t>≥</w:t>
      </w:r>
      <w:r w:rsidR="000D0014">
        <w:t xml:space="preserve"> 900 houses km</w:t>
      </w:r>
      <w:r w:rsidR="000D0014">
        <w:rPr>
          <w:vertAlign w:val="superscript"/>
        </w:rPr>
        <w:t>-1</w:t>
      </w:r>
      <w:r w:rsidR="000D0014">
        <w:t xml:space="preserve"> (Figure X)</w:t>
      </w:r>
      <w:r w:rsidR="0086028E">
        <w:t xml:space="preserve">. </w:t>
      </w:r>
    </w:p>
    <w:p w14:paraId="6227244B" w14:textId="77777777" w:rsidR="000D0014" w:rsidRDefault="000D0014" w:rsidP="003742C8"/>
    <w:p w14:paraId="678BE933" w14:textId="53F7BD54" w:rsidR="006E6912" w:rsidRDefault="00F67E5D" w:rsidP="003742C8">
      <w:r>
        <w:t>A</w:t>
      </w:r>
      <w:r w:rsidR="00E57414">
        <w:t xml:space="preserve"> few species </w:t>
      </w:r>
      <w:r>
        <w:t>likely caused</w:t>
      </w:r>
      <w:r w:rsidR="00E57414">
        <w:t xml:space="preserve"> this difference. Raccoon, for example, are found in different parts of a city depending on how densely populated it is. In less densely populated cities, raccoon respond positively to urbanization and are more likely to be found in habitat patches surrounded by more houses (FIGURE Y). The opposite is true in densely populated cities </w:t>
      </w:r>
      <w:r w:rsidR="00E57414">
        <w:softHyphen/>
        <w:t xml:space="preserve"> – raccoon </w:t>
      </w:r>
      <w:proofErr w:type="gramStart"/>
      <w:r w:rsidR="00E57414">
        <w:t>are</w:t>
      </w:r>
      <w:proofErr w:type="gramEnd"/>
      <w:r w:rsidR="00E57414">
        <w:t xml:space="preserve"> more likely to be found in habitat patches surrounded by fewer houses. When combined with their relatively high average occupancy across cities (NUMBER)</w:t>
      </w:r>
    </w:p>
    <w:p w14:paraId="1209016C" w14:textId="30A11C10" w:rsidR="006E6912" w:rsidRDefault="006E6912"/>
    <w:p w14:paraId="2FBE612A" w14:textId="77777777" w:rsidR="006E6912" w:rsidRDefault="006E6912"/>
    <w:p w14:paraId="7705AE89" w14:textId="282AEE69" w:rsidR="00FE0CD9" w:rsidRPr="00FE0CD9" w:rsidRDefault="00FE0CD9">
      <w:r>
        <w:t xml:space="preserve">Raccoon, for example, become far less common </w:t>
      </w:r>
    </w:p>
    <w:p w14:paraId="577C6C4C" w14:textId="77777777" w:rsidR="00246C1A" w:rsidRDefault="00246C1A"/>
    <w:p w14:paraId="5B538164" w14:textId="77777777" w:rsidR="00246C1A" w:rsidRDefault="00246C1A"/>
    <w:p w14:paraId="2D97B4BE" w14:textId="77777777" w:rsidR="00246C1A" w:rsidRDefault="00246C1A"/>
    <w:p w14:paraId="2FFDA794" w14:textId="77777777" w:rsidR="00975360" w:rsidRDefault="00975360" w:rsidP="006E14BE">
      <w:pPr>
        <w:pStyle w:val="ListParagraph"/>
        <w:numPr>
          <w:ilvl w:val="0"/>
          <w:numId w:val="1"/>
        </w:numPr>
      </w:pPr>
      <w:r>
        <w:t>Urbanization is a big and important thing</w:t>
      </w:r>
    </w:p>
    <w:p w14:paraId="3112A857" w14:textId="77777777" w:rsidR="006E14BE" w:rsidRDefault="006E14BE" w:rsidP="006E14BE">
      <w:pPr>
        <w:pStyle w:val="ListParagraph"/>
        <w:numPr>
          <w:ilvl w:val="0"/>
          <w:numId w:val="1"/>
        </w:numPr>
      </w:pPr>
      <w:r>
        <w:t>Study along gradients has been fruitful for ecological research.</w:t>
      </w:r>
    </w:p>
    <w:p w14:paraId="33D0E7B3" w14:textId="77777777" w:rsidR="006E14BE" w:rsidRDefault="006E14BE" w:rsidP="006E14BE">
      <w:pPr>
        <w:pStyle w:val="ListParagraph"/>
        <w:numPr>
          <w:ilvl w:val="1"/>
          <w:numId w:val="1"/>
        </w:numPr>
      </w:pPr>
      <w:r>
        <w:t>‘simpler gradients’ such as impervious cover, housing density</w:t>
      </w:r>
    </w:p>
    <w:p w14:paraId="70558C8D" w14:textId="77777777" w:rsidR="006E14BE" w:rsidRDefault="006E14BE" w:rsidP="006E14BE">
      <w:pPr>
        <w:pStyle w:val="ListParagraph"/>
        <w:numPr>
          <w:ilvl w:val="1"/>
          <w:numId w:val="1"/>
        </w:numPr>
      </w:pPr>
      <w:r>
        <w:t>Socio-economic potentially reveal other issues.</w:t>
      </w:r>
    </w:p>
    <w:p w14:paraId="1CFDE4DA" w14:textId="77777777" w:rsidR="006E14BE" w:rsidRDefault="006E14BE" w:rsidP="006E14BE">
      <w:pPr>
        <w:pStyle w:val="ListParagraph"/>
        <w:numPr>
          <w:ilvl w:val="0"/>
          <w:numId w:val="1"/>
        </w:numPr>
      </w:pPr>
      <w:r>
        <w:t xml:space="preserve">However, cities are not identical to one another, and therefore revealing trends along an urbanization gradient of one city may not translate to another. </w:t>
      </w:r>
    </w:p>
    <w:p w14:paraId="53413AC3" w14:textId="77777777" w:rsidR="006E14BE" w:rsidRDefault="006E14BE" w:rsidP="006E14BE">
      <w:pPr>
        <w:pStyle w:val="ListParagraph"/>
        <w:numPr>
          <w:ilvl w:val="1"/>
          <w:numId w:val="1"/>
        </w:numPr>
      </w:pPr>
      <w:r>
        <w:t>Some of the potential reasons</w:t>
      </w:r>
    </w:p>
    <w:p w14:paraId="08783431" w14:textId="77777777" w:rsidR="006E14BE" w:rsidRDefault="006E14BE" w:rsidP="006E14BE">
      <w:pPr>
        <w:pStyle w:val="ListParagraph"/>
        <w:numPr>
          <w:ilvl w:val="1"/>
          <w:numId w:val="1"/>
        </w:numPr>
      </w:pPr>
      <w:r>
        <w:lastRenderedPageBreak/>
        <w:t>These differences BETWEEN cities may therefore cause rise to observed differences in how common a species is or where it is located WITHIN a city</w:t>
      </w:r>
    </w:p>
    <w:p w14:paraId="0676FE1E" w14:textId="77777777" w:rsidR="006E14BE" w:rsidRDefault="006E14BE" w:rsidP="006E14BE">
      <w:pPr>
        <w:pStyle w:val="ListParagraph"/>
        <w:numPr>
          <w:ilvl w:val="1"/>
          <w:numId w:val="1"/>
        </w:numPr>
      </w:pPr>
      <w:r>
        <w:t xml:space="preserve">The only way to explore this idea is to study gradients OF cities instead of a </w:t>
      </w:r>
      <w:proofErr w:type="gramStart"/>
      <w:r>
        <w:t>gradients</w:t>
      </w:r>
      <w:proofErr w:type="gramEnd"/>
      <w:r>
        <w:t xml:space="preserve"> within a single city.</w:t>
      </w:r>
    </w:p>
    <w:p w14:paraId="1DFF6EDC" w14:textId="77777777" w:rsidR="006E14BE" w:rsidRDefault="006E14BE" w:rsidP="006E14BE">
      <w:pPr>
        <w:pStyle w:val="ListParagraph"/>
        <w:numPr>
          <w:ilvl w:val="0"/>
          <w:numId w:val="1"/>
        </w:numPr>
      </w:pPr>
      <w:r>
        <w:t>UWIN is a way to answer questions at this scale.</w:t>
      </w:r>
    </w:p>
    <w:p w14:paraId="6B4CBCF8" w14:textId="77777777" w:rsidR="006E14BE" w:rsidRDefault="006E14BE" w:rsidP="006E14BE">
      <w:pPr>
        <w:pStyle w:val="ListParagraph"/>
        <w:numPr>
          <w:ilvl w:val="1"/>
          <w:numId w:val="1"/>
        </w:numPr>
      </w:pPr>
      <w:r>
        <w:t>Large-scale and systematic survey, wherein partners follow a common study design (Magle et al. 2019).</w:t>
      </w:r>
    </w:p>
    <w:p w14:paraId="79FA6822" w14:textId="77777777" w:rsidR="006E14BE" w:rsidRDefault="006E14BE" w:rsidP="006E14BE">
      <w:pPr>
        <w:pStyle w:val="ListParagraph"/>
        <w:numPr>
          <w:ilvl w:val="1"/>
          <w:numId w:val="1"/>
        </w:numPr>
      </w:pPr>
      <w:r>
        <w:t>The goal of this study was to determine if (1) how densely populated a city is and (2) how much available green space within a city influences how common different species are or where they are located within a city.</w:t>
      </w:r>
    </w:p>
    <w:p w14:paraId="1679CBE0" w14:textId="77777777" w:rsidR="006E14BE" w:rsidRDefault="006E14BE" w:rsidP="006E14BE">
      <w:pPr>
        <w:pStyle w:val="ListParagraph"/>
        <w:numPr>
          <w:ilvl w:val="1"/>
          <w:numId w:val="1"/>
        </w:numPr>
      </w:pPr>
      <w:r>
        <w:t xml:space="preserve">We </w:t>
      </w:r>
      <w:r w:rsidR="00894FAF">
        <w:t>predict that</w:t>
      </w:r>
      <w:r>
        <w:t xml:space="preserve"> in densely populated cities, wildlife species would become less common and that the</w:t>
      </w:r>
      <w:r w:rsidR="00894FAF">
        <w:t>y would be located within less densely populated portions of a city. Likewise, we predict that wildlife in cities with more greenspace would become more common (observed in more habitat patches) and that this could potentially allow species to be located within more densely populated portions of a city (WHY DO WE REALLY THINK THAT).</w:t>
      </w:r>
    </w:p>
    <w:p w14:paraId="598F1D07" w14:textId="77777777" w:rsidR="00894FAF" w:rsidRDefault="00894FAF" w:rsidP="00894FAF">
      <w:r>
        <w:t>METHODS</w:t>
      </w:r>
    </w:p>
    <w:p w14:paraId="62596869" w14:textId="77777777" w:rsidR="00D810C3" w:rsidRDefault="00D810C3" w:rsidP="00894FAF"/>
    <w:p w14:paraId="1B07804E" w14:textId="77777777" w:rsidR="00894FAF" w:rsidRPr="00D810C3" w:rsidRDefault="00894FAF" w:rsidP="00894FAF">
      <w:pPr>
        <w:rPr>
          <w:u w:val="single"/>
        </w:rPr>
      </w:pPr>
      <w:r w:rsidRPr="00D810C3">
        <w:rPr>
          <w:u w:val="single"/>
        </w:rPr>
        <w:t xml:space="preserve">Study </w:t>
      </w:r>
      <w:r w:rsidR="00D810C3" w:rsidRPr="00D810C3">
        <w:rPr>
          <w:u w:val="single"/>
        </w:rPr>
        <w:t>sites</w:t>
      </w:r>
    </w:p>
    <w:p w14:paraId="09D1E2FE" w14:textId="77777777" w:rsidR="00894FAF" w:rsidRDefault="00894FAF" w:rsidP="00347149">
      <w:pPr>
        <w:pStyle w:val="ListParagraph"/>
        <w:numPr>
          <w:ilvl w:val="0"/>
          <w:numId w:val="2"/>
        </w:numPr>
      </w:pPr>
      <w:r>
        <w:t>(Look at Magle paper and briefly cover this). Maybe talk to Travis about putting together a map that shows the sites but with a housing density layer instead of NLCD data?</w:t>
      </w:r>
    </w:p>
    <w:p w14:paraId="53FDD5A8" w14:textId="77777777" w:rsidR="00D810C3" w:rsidRDefault="00D810C3" w:rsidP="00894FAF"/>
    <w:p w14:paraId="4BFA6E63" w14:textId="77777777" w:rsidR="00D810C3" w:rsidRPr="00D810C3" w:rsidRDefault="00D810C3" w:rsidP="00894FAF">
      <w:pPr>
        <w:rPr>
          <w:u w:val="single"/>
        </w:rPr>
      </w:pPr>
      <w:r w:rsidRPr="00D810C3">
        <w:rPr>
          <w:u w:val="single"/>
        </w:rPr>
        <w:t>Data collection</w:t>
      </w:r>
    </w:p>
    <w:p w14:paraId="6169BC6E" w14:textId="77777777" w:rsidR="00D810C3" w:rsidRDefault="00D810C3" w:rsidP="00347149">
      <w:pPr>
        <w:pStyle w:val="ListParagraph"/>
        <w:numPr>
          <w:ilvl w:val="0"/>
          <w:numId w:val="3"/>
        </w:numPr>
      </w:pPr>
      <w:r>
        <w:t>Cameras placed 4 times a year in January, April, July, and October.</w:t>
      </w:r>
    </w:p>
    <w:p w14:paraId="306EBA74" w14:textId="77777777" w:rsidR="00347149" w:rsidRDefault="00347149" w:rsidP="00347149">
      <w:pPr>
        <w:pStyle w:val="ListParagraph"/>
        <w:numPr>
          <w:ilvl w:val="0"/>
          <w:numId w:val="3"/>
        </w:numPr>
      </w:pPr>
      <w:r>
        <w:t>Put on a tree roughly 1.5 meters from ground, angled in a downward facing direction towards a scented lure nailed to another tree roughly 0.1 meters from the ground.</w:t>
      </w:r>
    </w:p>
    <w:p w14:paraId="22F3BC99" w14:textId="77777777" w:rsidR="00347149" w:rsidRDefault="00347149" w:rsidP="00347149">
      <w:pPr>
        <w:pStyle w:val="ListParagraph"/>
        <w:numPr>
          <w:ilvl w:val="0"/>
          <w:numId w:val="3"/>
        </w:numPr>
      </w:pPr>
      <w:r>
        <w:t>Some cities included data from additional years (maybe a table?)</w:t>
      </w:r>
    </w:p>
    <w:p w14:paraId="7B9705DB" w14:textId="77777777" w:rsidR="00CC7AC1" w:rsidRDefault="00CC7AC1" w:rsidP="00347149">
      <w:pPr>
        <w:pStyle w:val="ListParagraph"/>
        <w:numPr>
          <w:ilvl w:val="0"/>
          <w:numId w:val="3"/>
        </w:numPr>
      </w:pPr>
      <w:r>
        <w:t>8 species included in the analysis? DO WE REMOVE ANY?</w:t>
      </w:r>
    </w:p>
    <w:p w14:paraId="6BC89F50" w14:textId="77777777" w:rsidR="00347149" w:rsidRDefault="00347149" w:rsidP="00894FAF"/>
    <w:p w14:paraId="0A94AA8A" w14:textId="77777777" w:rsidR="00347149" w:rsidRDefault="00347149" w:rsidP="00894FAF">
      <w:r>
        <w:t>Analysis</w:t>
      </w:r>
    </w:p>
    <w:p w14:paraId="045F27F5" w14:textId="77777777" w:rsidR="00347149" w:rsidRDefault="00347149" w:rsidP="00347149">
      <w:pPr>
        <w:pStyle w:val="ListParagraph"/>
        <w:numPr>
          <w:ilvl w:val="0"/>
          <w:numId w:val="4"/>
        </w:numPr>
      </w:pPr>
      <w:r>
        <w:t>Single-season occupancy model</w:t>
      </w:r>
    </w:p>
    <w:p w14:paraId="518CA1D8" w14:textId="77777777" w:rsidR="00347149" w:rsidRDefault="00347149" w:rsidP="00347149">
      <w:pPr>
        <w:pStyle w:val="ListParagraph"/>
        <w:numPr>
          <w:ilvl w:val="0"/>
          <w:numId w:val="4"/>
        </w:numPr>
      </w:pPr>
      <w:r>
        <w:t xml:space="preserve">To explore differences within and between cities, we used group-mean centering </w:t>
      </w:r>
      <w:r w:rsidR="00CC7AC1">
        <w:t xml:space="preserve">of our single within-city variable. </w:t>
      </w:r>
    </w:p>
    <w:p w14:paraId="1B29AC05" w14:textId="77777777" w:rsidR="00CC7AC1" w:rsidRDefault="00CC7AC1" w:rsidP="00CC7AC1">
      <w:pPr>
        <w:pStyle w:val="ListParagraph"/>
        <w:numPr>
          <w:ilvl w:val="1"/>
          <w:numId w:val="4"/>
        </w:numPr>
      </w:pPr>
      <w:r>
        <w:t>Math it</w:t>
      </w:r>
    </w:p>
    <w:p w14:paraId="28B8F969" w14:textId="77777777" w:rsidR="00CC7AC1" w:rsidRDefault="00CC7AC1" w:rsidP="00CC7AC1">
      <w:pPr>
        <w:pStyle w:val="ListParagraph"/>
        <w:numPr>
          <w:ilvl w:val="1"/>
          <w:numId w:val="4"/>
        </w:numPr>
      </w:pPr>
      <w:r>
        <w:t>Explain why it is useful</w:t>
      </w:r>
    </w:p>
    <w:p w14:paraId="5B44F075" w14:textId="77777777" w:rsidR="00CC7AC1" w:rsidRDefault="00CC7AC1" w:rsidP="00CC7AC1">
      <w:pPr>
        <w:pStyle w:val="ListParagraph"/>
        <w:numPr>
          <w:ilvl w:val="0"/>
          <w:numId w:val="4"/>
        </w:numPr>
      </w:pPr>
      <w:r>
        <w:t>Write out the model with some math</w:t>
      </w:r>
    </w:p>
    <w:p w14:paraId="7EC9A4FF" w14:textId="77777777" w:rsidR="00CC7AC1" w:rsidRDefault="00CC7AC1" w:rsidP="00CC7AC1">
      <w:pPr>
        <w:pStyle w:val="ListParagraph"/>
        <w:numPr>
          <w:ilvl w:val="0"/>
          <w:numId w:val="4"/>
        </w:numPr>
      </w:pPr>
      <w:r>
        <w:t>Bayesian framework, lots of iterations, checked for convergence</w:t>
      </w:r>
    </w:p>
    <w:p w14:paraId="18CBCB71" w14:textId="77777777" w:rsidR="00CC7AC1" w:rsidRDefault="00CC7AC1" w:rsidP="00CC7AC1"/>
    <w:p w14:paraId="5D486AD1" w14:textId="77777777" w:rsidR="00CC7AC1" w:rsidRDefault="00CC7AC1" w:rsidP="00CC7AC1">
      <w:r>
        <w:t>Results</w:t>
      </w:r>
    </w:p>
    <w:p w14:paraId="3E36B9AE" w14:textId="77777777" w:rsidR="00CC7AC1" w:rsidRDefault="00CC7AC1" w:rsidP="00CC7AC1"/>
    <w:p w14:paraId="547E1550" w14:textId="77777777" w:rsidR="00CC7AC1" w:rsidRDefault="00CC7AC1" w:rsidP="00CC7AC1">
      <w:r>
        <w:t>Discussion</w:t>
      </w:r>
    </w:p>
    <w:p w14:paraId="04047462" w14:textId="77777777" w:rsidR="00215A03" w:rsidRDefault="00215A03" w:rsidP="00CC7AC1"/>
    <w:p w14:paraId="39F190AB" w14:textId="77777777" w:rsidR="00215A03" w:rsidRDefault="00215A03" w:rsidP="00CC7AC1">
      <w:r>
        <w:t>Come up with some really cool unifying remarks about what an analysis of this type teaches us about urban ecology, and steps moving forward.</w:t>
      </w:r>
    </w:p>
    <w:p w14:paraId="0347CB63" w14:textId="77777777" w:rsidR="00347149" w:rsidRDefault="00347149" w:rsidP="00894FAF"/>
    <w:p w14:paraId="74525194" w14:textId="77777777" w:rsidR="00894FAF" w:rsidRDefault="00894FAF" w:rsidP="00894FAF"/>
    <w:p w14:paraId="151098F3" w14:textId="3D2BC68F" w:rsidR="00894FAF" w:rsidRDefault="00894FAF" w:rsidP="00894FAF"/>
    <w:p w14:paraId="7B577EB6" w14:textId="1269A9E6" w:rsidR="00894FAF" w:rsidRDefault="00540754" w:rsidP="00894FAF">
      <w:proofErr w:type="spellStart"/>
      <w:r>
        <w:rPr>
          <w:rFonts w:ascii="Arial" w:hAnsi="Arial" w:cs="Arial"/>
          <w:color w:val="222222"/>
          <w:sz w:val="20"/>
          <w:szCs w:val="20"/>
          <w:shd w:val="clear" w:color="auto" w:fill="FFFFFF"/>
        </w:rPr>
        <w:t>Aguinis</w:t>
      </w:r>
      <w:proofErr w:type="spellEnd"/>
      <w:r>
        <w:rPr>
          <w:rFonts w:ascii="Arial" w:hAnsi="Arial" w:cs="Arial"/>
          <w:color w:val="222222"/>
          <w:sz w:val="20"/>
          <w:szCs w:val="20"/>
          <w:shd w:val="clear" w:color="auto" w:fill="FFFFFF"/>
        </w:rPr>
        <w:t>, H., Gottfredson, R. K., &amp; Culpepper, S. A. (2013). Best-practice recommendations for estimating cross-level interaction effects using multilevel modeling. </w:t>
      </w:r>
      <w:r>
        <w:rPr>
          <w:rFonts w:ascii="Arial" w:hAnsi="Arial" w:cs="Arial"/>
          <w:i/>
          <w:iCs/>
          <w:color w:val="222222"/>
          <w:sz w:val="20"/>
          <w:szCs w:val="20"/>
          <w:shd w:val="clear" w:color="auto" w:fill="FFFFFF"/>
        </w:rPr>
        <w:t>Journal of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(6), 1490-1528.</w:t>
      </w:r>
    </w:p>
    <w:p w14:paraId="66A4F34B" w14:textId="77777777" w:rsidR="00894FAF" w:rsidRDefault="00894FAF" w:rsidP="00894FAF"/>
    <w:p w14:paraId="611662BB" w14:textId="77777777" w:rsidR="00894FAF" w:rsidRDefault="00894FAF" w:rsidP="00894FAF"/>
    <w:p w14:paraId="078DBAC5" w14:textId="7671CB4D" w:rsidR="00B2723D" w:rsidRDefault="00B2723D" w:rsidP="00894FA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Beninde</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Feldmeier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Veith</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Hochkirch</w:t>
      </w:r>
      <w:proofErr w:type="spellEnd"/>
      <w:r>
        <w:rPr>
          <w:rFonts w:ascii="Arial" w:hAnsi="Arial" w:cs="Arial"/>
          <w:color w:val="222222"/>
          <w:sz w:val="20"/>
          <w:szCs w:val="20"/>
          <w:shd w:val="clear" w:color="auto" w:fill="FFFFFF"/>
        </w:rPr>
        <w:t>, A. (2018). Admixture of hybrid swarms of native and introduced lizards in cities is determined by the cityscape structure and invasion history. </w:t>
      </w:r>
      <w:r>
        <w:rPr>
          <w:rFonts w:ascii="Arial" w:hAnsi="Arial" w:cs="Arial"/>
          <w:i/>
          <w:iCs/>
          <w:color w:val="222222"/>
          <w:sz w:val="20"/>
          <w:szCs w:val="20"/>
          <w:shd w:val="clear" w:color="auto" w:fill="FFFFFF"/>
        </w:rPr>
        <w:t>Proceedings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(1883), 20180143.</w:t>
      </w:r>
    </w:p>
    <w:p w14:paraId="06912EA7" w14:textId="0AB782E1" w:rsidR="003643A8" w:rsidRDefault="003643A8" w:rsidP="00894FAF">
      <w:pPr>
        <w:rPr>
          <w:rFonts w:ascii="Arial" w:hAnsi="Arial" w:cs="Arial"/>
          <w:color w:val="222222"/>
          <w:sz w:val="20"/>
          <w:szCs w:val="20"/>
          <w:shd w:val="clear" w:color="auto" w:fill="FFFFFF"/>
        </w:rPr>
      </w:pPr>
    </w:p>
    <w:p w14:paraId="52017F65" w14:textId="5F8C2C81" w:rsidR="00AC714B" w:rsidRDefault="00AC714B" w:rsidP="00894FA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Gehrt</w:t>
      </w:r>
      <w:proofErr w:type="spellEnd"/>
      <w:r>
        <w:rPr>
          <w:rFonts w:ascii="Arial" w:hAnsi="Arial" w:cs="Arial"/>
          <w:color w:val="222222"/>
          <w:sz w:val="20"/>
          <w:szCs w:val="20"/>
          <w:shd w:val="clear" w:color="auto" w:fill="FFFFFF"/>
        </w:rPr>
        <w:t>, S. D., Riley, S. P., &amp; Cypher, B. L. (Eds.). (2010). </w:t>
      </w:r>
      <w:r>
        <w:rPr>
          <w:rFonts w:ascii="Arial" w:hAnsi="Arial" w:cs="Arial"/>
          <w:i/>
          <w:iCs/>
          <w:color w:val="222222"/>
          <w:sz w:val="20"/>
          <w:szCs w:val="20"/>
          <w:shd w:val="clear" w:color="auto" w:fill="FFFFFF"/>
        </w:rPr>
        <w:t>Urban carnivores: ecology, conflict, and conservation</w:t>
      </w:r>
      <w:r>
        <w:rPr>
          <w:rFonts w:ascii="Arial" w:hAnsi="Arial" w:cs="Arial"/>
          <w:color w:val="222222"/>
          <w:sz w:val="20"/>
          <w:szCs w:val="20"/>
          <w:shd w:val="clear" w:color="auto" w:fill="FFFFFF"/>
        </w:rPr>
        <w:t>. JHU Press.</w:t>
      </w:r>
    </w:p>
    <w:p w14:paraId="1F94321F" w14:textId="1353A043" w:rsidR="00610A8C" w:rsidRDefault="00610A8C" w:rsidP="00894FAF">
      <w:pPr>
        <w:rPr>
          <w:rFonts w:ascii="Arial" w:hAnsi="Arial" w:cs="Arial"/>
          <w:color w:val="222222"/>
          <w:sz w:val="20"/>
          <w:szCs w:val="20"/>
          <w:shd w:val="clear" w:color="auto" w:fill="FFFFFF"/>
        </w:rPr>
      </w:pPr>
    </w:p>
    <w:p w14:paraId="0A37EB62" w14:textId="5EC25D9C" w:rsidR="00610A8C" w:rsidRDefault="00610A8C" w:rsidP="00894FA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Geisser</w:t>
      </w:r>
      <w:proofErr w:type="spellEnd"/>
      <w:r>
        <w:rPr>
          <w:rFonts w:ascii="Arial" w:hAnsi="Arial" w:cs="Arial"/>
          <w:color w:val="222222"/>
          <w:sz w:val="20"/>
          <w:szCs w:val="20"/>
          <w:shd w:val="clear" w:color="auto" w:fill="FFFFFF"/>
        </w:rPr>
        <w:t>, S. (2017). </w:t>
      </w:r>
      <w:r>
        <w:rPr>
          <w:rFonts w:ascii="Arial" w:hAnsi="Arial" w:cs="Arial"/>
          <w:i/>
          <w:iCs/>
          <w:color w:val="222222"/>
          <w:sz w:val="20"/>
          <w:szCs w:val="20"/>
          <w:shd w:val="clear" w:color="auto" w:fill="FFFFFF"/>
        </w:rPr>
        <w:t>Predictive inference</w:t>
      </w:r>
      <w:r>
        <w:rPr>
          <w:rFonts w:ascii="Arial" w:hAnsi="Arial" w:cs="Arial"/>
          <w:color w:val="222222"/>
          <w:sz w:val="20"/>
          <w:szCs w:val="20"/>
          <w:shd w:val="clear" w:color="auto" w:fill="FFFFFF"/>
        </w:rPr>
        <w:t>. Routledge.</w:t>
      </w:r>
    </w:p>
    <w:p w14:paraId="59532535" w14:textId="77777777" w:rsidR="00AC714B" w:rsidRDefault="00AC714B" w:rsidP="00894FAF">
      <w:pPr>
        <w:rPr>
          <w:rFonts w:ascii="Arial" w:hAnsi="Arial" w:cs="Arial"/>
          <w:color w:val="222222"/>
          <w:sz w:val="20"/>
          <w:szCs w:val="20"/>
          <w:shd w:val="clear" w:color="auto" w:fill="FFFFFF"/>
        </w:rPr>
      </w:pPr>
    </w:p>
    <w:p w14:paraId="3D24ACC8" w14:textId="1E8116C4" w:rsidR="003643A8" w:rsidRDefault="003643A8" w:rsidP="00894F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Gelman, A., Carlin, J. B., Stern, H. S., Dunson, D. B., </w:t>
      </w:r>
      <w:proofErr w:type="spellStart"/>
      <w:r>
        <w:rPr>
          <w:rFonts w:ascii="Arial" w:hAnsi="Arial" w:cs="Arial"/>
          <w:color w:val="222222"/>
          <w:sz w:val="20"/>
          <w:szCs w:val="20"/>
          <w:shd w:val="clear" w:color="auto" w:fill="FFFFFF"/>
        </w:rPr>
        <w:t>Vehtari</w:t>
      </w:r>
      <w:proofErr w:type="spellEnd"/>
      <w:r>
        <w:rPr>
          <w:rFonts w:ascii="Arial" w:hAnsi="Arial" w:cs="Arial"/>
          <w:color w:val="222222"/>
          <w:sz w:val="20"/>
          <w:szCs w:val="20"/>
          <w:shd w:val="clear" w:color="auto" w:fill="FFFFFF"/>
        </w:rPr>
        <w:t>, A., &amp; Rubin, D. B. (2013). </w:t>
      </w:r>
      <w:r>
        <w:rPr>
          <w:rFonts w:ascii="Arial" w:hAnsi="Arial" w:cs="Arial"/>
          <w:i/>
          <w:iCs/>
          <w:color w:val="222222"/>
          <w:sz w:val="20"/>
          <w:szCs w:val="20"/>
          <w:shd w:val="clear" w:color="auto" w:fill="FFFFFF"/>
        </w:rPr>
        <w:t>Bayesian data analysis</w:t>
      </w:r>
      <w:r>
        <w:rPr>
          <w:rFonts w:ascii="Arial" w:hAnsi="Arial" w:cs="Arial"/>
          <w:color w:val="222222"/>
          <w:sz w:val="20"/>
          <w:szCs w:val="20"/>
          <w:shd w:val="clear" w:color="auto" w:fill="FFFFFF"/>
        </w:rPr>
        <w:t>. Chapman and Hall/CRC.</w:t>
      </w:r>
    </w:p>
    <w:p w14:paraId="441A3C6A" w14:textId="77777777" w:rsidR="00AC714B" w:rsidRDefault="00AC714B" w:rsidP="00894FAF">
      <w:pPr>
        <w:rPr>
          <w:rFonts w:ascii="Arial" w:hAnsi="Arial" w:cs="Arial"/>
          <w:color w:val="222222"/>
          <w:sz w:val="20"/>
          <w:szCs w:val="20"/>
          <w:shd w:val="clear" w:color="auto" w:fill="FFFFFF"/>
        </w:rPr>
      </w:pPr>
    </w:p>
    <w:p w14:paraId="23C45D2A" w14:textId="3F36D286" w:rsidR="00893D46" w:rsidRDefault="00893D46" w:rsidP="00894FAF">
      <w:pPr>
        <w:rPr>
          <w:rFonts w:ascii="Arial" w:hAnsi="Arial" w:cs="Arial"/>
          <w:color w:val="222222"/>
          <w:sz w:val="20"/>
          <w:szCs w:val="20"/>
          <w:shd w:val="clear" w:color="auto" w:fill="FFFFFF"/>
        </w:rPr>
      </w:pPr>
    </w:p>
    <w:p w14:paraId="35373659" w14:textId="0C32F560" w:rsidR="00893D46" w:rsidRDefault="00893D46" w:rsidP="00894FA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MacKenzie</w:t>
      </w:r>
      <w:proofErr w:type="spellEnd"/>
      <w:r>
        <w:rPr>
          <w:rFonts w:ascii="Arial" w:hAnsi="Arial" w:cs="Arial"/>
          <w:color w:val="222222"/>
          <w:sz w:val="20"/>
          <w:szCs w:val="20"/>
          <w:shd w:val="clear" w:color="auto" w:fill="FFFFFF"/>
        </w:rPr>
        <w:t>, D. I., Nichols, J. D., Royle, J. A., Pollock, K. H., Bailey, L., &amp; Hines, J. E. (2017). </w:t>
      </w:r>
      <w:r>
        <w:rPr>
          <w:rFonts w:ascii="Arial" w:hAnsi="Arial" w:cs="Arial"/>
          <w:i/>
          <w:iCs/>
          <w:color w:val="222222"/>
          <w:sz w:val="20"/>
          <w:szCs w:val="20"/>
          <w:shd w:val="clear" w:color="auto" w:fill="FFFFFF"/>
        </w:rPr>
        <w:t>Occupancy estimation and modeling: inferring patterns and dynamics of species occurrence</w:t>
      </w:r>
      <w:r>
        <w:rPr>
          <w:rFonts w:ascii="Arial" w:hAnsi="Arial" w:cs="Arial"/>
          <w:color w:val="222222"/>
          <w:sz w:val="20"/>
          <w:szCs w:val="20"/>
          <w:shd w:val="clear" w:color="auto" w:fill="FFFFFF"/>
        </w:rPr>
        <w:t>. Elsevier.</w:t>
      </w:r>
    </w:p>
    <w:p w14:paraId="19FC2C2F" w14:textId="7A37C569" w:rsidR="001D174B" w:rsidRDefault="001D174B" w:rsidP="00894FAF">
      <w:pPr>
        <w:rPr>
          <w:rFonts w:ascii="Arial" w:hAnsi="Arial" w:cs="Arial"/>
          <w:color w:val="222222"/>
          <w:sz w:val="20"/>
          <w:szCs w:val="20"/>
          <w:shd w:val="clear" w:color="auto" w:fill="FFFFFF"/>
        </w:rPr>
      </w:pPr>
    </w:p>
    <w:p w14:paraId="489D5224" w14:textId="09824825" w:rsidR="001D174B" w:rsidRDefault="001D174B" w:rsidP="00894F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O'Connell, A. F., Nichols, J. D., &amp; </w:t>
      </w:r>
      <w:proofErr w:type="spellStart"/>
      <w:r>
        <w:rPr>
          <w:rFonts w:ascii="Arial" w:hAnsi="Arial" w:cs="Arial"/>
          <w:color w:val="222222"/>
          <w:sz w:val="20"/>
          <w:szCs w:val="20"/>
          <w:shd w:val="clear" w:color="auto" w:fill="FFFFFF"/>
        </w:rPr>
        <w:t>Karanth</w:t>
      </w:r>
      <w:proofErr w:type="spellEnd"/>
      <w:r>
        <w:rPr>
          <w:rFonts w:ascii="Arial" w:hAnsi="Arial" w:cs="Arial"/>
          <w:color w:val="222222"/>
          <w:sz w:val="20"/>
          <w:szCs w:val="20"/>
          <w:shd w:val="clear" w:color="auto" w:fill="FFFFFF"/>
        </w:rPr>
        <w:t>, K. U. (Eds.). (2010). </w:t>
      </w:r>
      <w:r>
        <w:rPr>
          <w:rFonts w:ascii="Arial" w:hAnsi="Arial" w:cs="Arial"/>
          <w:i/>
          <w:iCs/>
          <w:color w:val="222222"/>
          <w:sz w:val="20"/>
          <w:szCs w:val="20"/>
          <w:shd w:val="clear" w:color="auto" w:fill="FFFFFF"/>
        </w:rPr>
        <w:t>Camera traps in animal ecology: methods and analyses</w:t>
      </w:r>
      <w:r>
        <w:rPr>
          <w:rFonts w:ascii="Arial" w:hAnsi="Arial" w:cs="Arial"/>
          <w:color w:val="222222"/>
          <w:sz w:val="20"/>
          <w:szCs w:val="20"/>
          <w:shd w:val="clear" w:color="auto" w:fill="FFFFFF"/>
        </w:rPr>
        <w:t>. Springer Science &amp; Business Media.</w:t>
      </w:r>
    </w:p>
    <w:p w14:paraId="165720F2" w14:textId="349CED27" w:rsidR="00B2723D" w:rsidRDefault="00B2723D" w:rsidP="00894FAF">
      <w:pPr>
        <w:rPr>
          <w:rFonts w:ascii="Arial" w:hAnsi="Arial" w:cs="Arial"/>
          <w:color w:val="222222"/>
          <w:sz w:val="20"/>
          <w:szCs w:val="20"/>
          <w:shd w:val="clear" w:color="auto" w:fill="FFFFFF"/>
        </w:rPr>
      </w:pPr>
    </w:p>
    <w:p w14:paraId="0342BD99" w14:textId="2BD0981A" w:rsidR="003643A8" w:rsidRDefault="003643A8" w:rsidP="00894F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Plummer, M. (2003, March). JAGS: A program for analysis of Bayesian graphical models using Gibbs sampling. In </w:t>
      </w:r>
      <w:r>
        <w:rPr>
          <w:rFonts w:ascii="Arial" w:hAnsi="Arial" w:cs="Arial"/>
          <w:i/>
          <w:iCs/>
          <w:color w:val="222222"/>
          <w:sz w:val="20"/>
          <w:szCs w:val="20"/>
          <w:shd w:val="clear" w:color="auto" w:fill="FFFFFF"/>
        </w:rPr>
        <w:t>Proceedings of the 3rd international workshop on distributed statistical computing</w:t>
      </w:r>
      <w:r>
        <w:rPr>
          <w:rFonts w:ascii="Arial" w:hAnsi="Arial" w:cs="Arial"/>
          <w:color w:val="222222"/>
          <w:sz w:val="20"/>
          <w:szCs w:val="20"/>
          <w:shd w:val="clear" w:color="auto" w:fill="FFFFFF"/>
        </w:rPr>
        <w:t> (Vol. 124, No. 125, p. 10).</w:t>
      </w:r>
    </w:p>
    <w:p w14:paraId="7C67E885" w14:textId="395036AB" w:rsidR="003643A8" w:rsidRDefault="003643A8" w:rsidP="00894FAF">
      <w:pPr>
        <w:rPr>
          <w:rFonts w:ascii="Arial" w:hAnsi="Arial" w:cs="Arial"/>
          <w:color w:val="222222"/>
          <w:sz w:val="20"/>
          <w:szCs w:val="20"/>
          <w:shd w:val="clear" w:color="auto" w:fill="FFFFFF"/>
        </w:rPr>
      </w:pPr>
    </w:p>
    <w:p w14:paraId="554E1DCE" w14:textId="54CDAEA3" w:rsidR="003643A8" w:rsidRDefault="003643A8" w:rsidP="00894FAF">
      <w:pPr>
        <w:rPr>
          <w:rFonts w:ascii="Arial" w:hAnsi="Arial" w:cs="Arial"/>
          <w:color w:val="222222"/>
          <w:sz w:val="20"/>
          <w:szCs w:val="20"/>
          <w:shd w:val="clear" w:color="auto" w:fill="FFFFFF"/>
        </w:rPr>
      </w:pPr>
      <w:r>
        <w:rPr>
          <w:rStyle w:val="groupname"/>
          <w:rFonts w:ascii="Arial" w:hAnsi="Arial" w:cs="Arial"/>
          <w:color w:val="1C1D1E"/>
          <w:sz w:val="21"/>
          <w:szCs w:val="21"/>
          <w:shd w:val="clear" w:color="auto" w:fill="FFFFFF"/>
        </w:rPr>
        <w:t>R Core Development Team</w:t>
      </w:r>
      <w:r>
        <w:rPr>
          <w:rFonts w:ascii="Arial" w:hAnsi="Arial" w:cs="Arial"/>
          <w:color w:val="1C1D1E"/>
          <w:sz w:val="21"/>
          <w:szCs w:val="21"/>
          <w:shd w:val="clear" w:color="auto" w:fill="FFFFFF"/>
        </w:rPr>
        <w:t>. </w:t>
      </w:r>
      <w:r>
        <w:rPr>
          <w:rStyle w:val="pubyear"/>
          <w:rFonts w:ascii="Arial" w:hAnsi="Arial" w:cs="Arial"/>
          <w:color w:val="1C1D1E"/>
          <w:sz w:val="21"/>
          <w:szCs w:val="21"/>
          <w:shd w:val="clear" w:color="auto" w:fill="FFFFFF"/>
        </w:rPr>
        <w:t>2019</w:t>
      </w:r>
      <w:r>
        <w:rPr>
          <w:rFonts w:ascii="Arial" w:hAnsi="Arial" w:cs="Arial"/>
          <w:color w:val="1C1D1E"/>
          <w:sz w:val="21"/>
          <w:szCs w:val="21"/>
          <w:shd w:val="clear" w:color="auto" w:fill="FFFFFF"/>
        </w:rPr>
        <w:t>. </w:t>
      </w:r>
      <w:r>
        <w:rPr>
          <w:rStyle w:val="booktitle"/>
          <w:rFonts w:ascii="Arial" w:hAnsi="Arial" w:cs="Arial"/>
          <w:i/>
          <w:iCs/>
          <w:color w:val="1C1D1E"/>
          <w:sz w:val="21"/>
          <w:szCs w:val="21"/>
          <w:shd w:val="clear" w:color="auto" w:fill="FFFFFF"/>
        </w:rPr>
        <w:t>R: a language and environment for statistical computing</w:t>
      </w:r>
      <w:r>
        <w:rPr>
          <w:rFonts w:ascii="Arial" w:hAnsi="Arial" w:cs="Arial"/>
          <w:color w:val="1C1D1E"/>
          <w:sz w:val="21"/>
          <w:szCs w:val="21"/>
          <w:shd w:val="clear" w:color="auto" w:fill="FFFFFF"/>
        </w:rPr>
        <w:t>. R Foundation for Statistical Computing, </w:t>
      </w:r>
      <w:r>
        <w:rPr>
          <w:rStyle w:val="publisherlocation"/>
          <w:rFonts w:ascii="Arial" w:hAnsi="Arial" w:cs="Arial"/>
          <w:color w:val="1C1D1E"/>
          <w:sz w:val="21"/>
          <w:szCs w:val="21"/>
          <w:shd w:val="clear" w:color="auto" w:fill="FFFFFF"/>
        </w:rPr>
        <w:t>Vienna, Austria</w:t>
      </w:r>
      <w:r>
        <w:rPr>
          <w:rFonts w:ascii="Arial" w:hAnsi="Arial" w:cs="Arial"/>
          <w:color w:val="1C1D1E"/>
          <w:sz w:val="21"/>
          <w:szCs w:val="21"/>
          <w:shd w:val="clear" w:color="auto" w:fill="FFFFFF"/>
        </w:rPr>
        <w:t>.</w:t>
      </w:r>
    </w:p>
    <w:p w14:paraId="1A686105" w14:textId="77777777" w:rsidR="003643A8" w:rsidRDefault="003643A8" w:rsidP="00894FAF">
      <w:pPr>
        <w:rPr>
          <w:rFonts w:ascii="Arial" w:hAnsi="Arial" w:cs="Arial"/>
          <w:color w:val="222222"/>
          <w:sz w:val="20"/>
          <w:szCs w:val="20"/>
          <w:shd w:val="clear" w:color="auto" w:fill="FFFFFF"/>
        </w:rPr>
      </w:pPr>
    </w:p>
    <w:p w14:paraId="32D67BA6" w14:textId="6342D7A1" w:rsidR="00894FAF" w:rsidRDefault="006A2F3B" w:rsidP="00894FAF">
      <w:r>
        <w:rPr>
          <w:rFonts w:ascii="Arial" w:hAnsi="Arial" w:cs="Arial"/>
          <w:color w:val="222222"/>
          <w:sz w:val="20"/>
          <w:szCs w:val="20"/>
          <w:shd w:val="clear" w:color="auto" w:fill="FFFFFF"/>
        </w:rPr>
        <w:t xml:space="preserve">Schneider, A., </w:t>
      </w:r>
      <w:proofErr w:type="spellStart"/>
      <w:r>
        <w:rPr>
          <w:rFonts w:ascii="Arial" w:hAnsi="Arial" w:cs="Arial"/>
          <w:color w:val="222222"/>
          <w:sz w:val="20"/>
          <w:szCs w:val="20"/>
          <w:shd w:val="clear" w:color="auto" w:fill="FFFFFF"/>
        </w:rPr>
        <w:t>Friedl</w:t>
      </w:r>
      <w:proofErr w:type="spellEnd"/>
      <w:r>
        <w:rPr>
          <w:rFonts w:ascii="Arial" w:hAnsi="Arial" w:cs="Arial"/>
          <w:color w:val="222222"/>
          <w:sz w:val="20"/>
          <w:szCs w:val="20"/>
          <w:shd w:val="clear" w:color="auto" w:fill="FFFFFF"/>
        </w:rPr>
        <w:t xml:space="preserve">, M. A., &amp; </w:t>
      </w:r>
      <w:proofErr w:type="spellStart"/>
      <w:r>
        <w:rPr>
          <w:rFonts w:ascii="Arial" w:hAnsi="Arial" w:cs="Arial"/>
          <w:color w:val="222222"/>
          <w:sz w:val="20"/>
          <w:szCs w:val="20"/>
          <w:shd w:val="clear" w:color="auto" w:fill="FFFFFF"/>
        </w:rPr>
        <w:t>Potere</w:t>
      </w:r>
      <w:proofErr w:type="spellEnd"/>
      <w:r>
        <w:rPr>
          <w:rFonts w:ascii="Arial" w:hAnsi="Arial" w:cs="Arial"/>
          <w:color w:val="222222"/>
          <w:sz w:val="20"/>
          <w:szCs w:val="20"/>
          <w:shd w:val="clear" w:color="auto" w:fill="FFFFFF"/>
        </w:rPr>
        <w:t xml:space="preserve">, D. (2010). Mapping global urban areas using MODIS 500-m data: New methods and datasets based on ‘urban </w:t>
      </w:r>
      <w:proofErr w:type="gramStart"/>
      <w:r>
        <w:rPr>
          <w:rFonts w:ascii="Arial" w:hAnsi="Arial" w:cs="Arial"/>
          <w:color w:val="222222"/>
          <w:sz w:val="20"/>
          <w:szCs w:val="20"/>
          <w:shd w:val="clear" w:color="auto" w:fill="FFFFFF"/>
        </w:rPr>
        <w:t>ecoregions’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(8), 1733-1746.</w:t>
      </w:r>
    </w:p>
    <w:sectPr w:rsidR="00894FAF"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dino, Mason" w:date="2019-08-08T14:59:00Z" w:initials="FM">
    <w:p w14:paraId="51AAD234" w14:textId="03BF7EE0" w:rsidR="00295328" w:rsidRDefault="00295328">
      <w:pPr>
        <w:pStyle w:val="CommentText"/>
      </w:pPr>
      <w:r>
        <w:rPr>
          <w:rStyle w:val="CommentReference"/>
        </w:rPr>
        <w:annotationRef/>
      </w:r>
      <w:r>
        <w:t>Examples?</w:t>
      </w:r>
    </w:p>
  </w:comment>
  <w:comment w:id="1" w:author="Fidino, Mason" w:date="2019-08-08T14:02:00Z" w:initials="FM">
    <w:p w14:paraId="1F1654B7" w14:textId="0271FC22" w:rsidR="00295328" w:rsidRDefault="00295328">
      <w:pPr>
        <w:pStyle w:val="CommentText"/>
      </w:pPr>
      <w:r>
        <w:rPr>
          <w:rStyle w:val="CommentReference"/>
        </w:rPr>
        <w:annotationRef/>
      </w:r>
      <w:r>
        <w:t>Not sure in love with this</w:t>
      </w:r>
    </w:p>
  </w:comment>
  <w:comment w:id="2" w:author="Fidino, Mason" w:date="2019-08-26T11:42:00Z" w:initials="FM">
    <w:p w14:paraId="38B59512" w14:textId="2A9B936E" w:rsidR="00295328" w:rsidRDefault="00295328">
      <w:pPr>
        <w:pStyle w:val="CommentText"/>
      </w:pPr>
      <w:r>
        <w:rPr>
          <w:rStyle w:val="CommentReference"/>
        </w:rPr>
        <w:annotationRef/>
      </w:r>
      <w:r>
        <w:t>Add ‘between cities’ here as well? Not sure if that is 100% clear here.</w:t>
      </w:r>
    </w:p>
  </w:comment>
  <w:comment w:id="3" w:author="Fidino, Mason" w:date="2019-08-28T15:51:00Z" w:initials="FM">
    <w:p w14:paraId="03EF5D69" w14:textId="6167C395" w:rsidR="00295328" w:rsidRDefault="00295328">
      <w:pPr>
        <w:pStyle w:val="CommentText"/>
      </w:pPr>
      <w:r>
        <w:rPr>
          <w:rStyle w:val="CommentReference"/>
        </w:rPr>
        <w:annotationRef/>
      </w:r>
      <w:r>
        <w:t>Kind of weird to say ‘at least 25’ but then have 23 here. I think it was due to malfunctions though…</w:t>
      </w:r>
    </w:p>
  </w:comment>
  <w:comment w:id="4" w:author="Fidino, Mason" w:date="2019-08-27T10:07:00Z" w:initials="FM">
    <w:p w14:paraId="4D7991BC" w14:textId="46A36E5D" w:rsidR="00295328" w:rsidRDefault="00295328">
      <w:pPr>
        <w:pStyle w:val="CommentText"/>
      </w:pPr>
      <w:r>
        <w:rPr>
          <w:rStyle w:val="CommentReference"/>
        </w:rPr>
        <w:annotationRef/>
      </w:r>
      <w:r>
        <w:t xml:space="preserve">Get citation from FREE </w:t>
      </w:r>
      <w:proofErr w:type="spellStart"/>
      <w:r>
        <w:t>ms</w:t>
      </w:r>
      <w:proofErr w:type="spellEnd"/>
    </w:p>
  </w:comment>
  <w:comment w:id="5" w:author="Fidino, Mason" w:date="2019-08-27T10:57:00Z" w:initials="FM">
    <w:p w14:paraId="172D9B02" w14:textId="5B055C1F" w:rsidR="00295328" w:rsidRDefault="00295328">
      <w:pPr>
        <w:pStyle w:val="CommentText"/>
      </w:pPr>
      <w:r>
        <w:rPr>
          <w:rStyle w:val="CommentReference"/>
        </w:rPr>
        <w:annotationRef/>
      </w:r>
      <w:r>
        <w:t>Wish we did not have to place the lure.</w:t>
      </w:r>
    </w:p>
  </w:comment>
  <w:comment w:id="6" w:author="Fidino, Mason" w:date="2019-09-10T16:28:00Z" w:initials="FM">
    <w:p w14:paraId="4EE480DF" w14:textId="746D6CC9" w:rsidR="00295328" w:rsidRDefault="00295328">
      <w:pPr>
        <w:pStyle w:val="CommentText"/>
      </w:pPr>
      <w:r>
        <w:rPr>
          <w:rStyle w:val="CommentReference"/>
        </w:rPr>
        <w:annotationRef/>
      </w:r>
      <w:r>
        <w:t>Probably going to have to include as a supplementary info</w:t>
      </w:r>
      <w:r w:rsidR="00FC29A1">
        <w:t>.</w:t>
      </w:r>
      <w:r>
        <w:t xml:space="preserve"> Not sure if it’s necessarily needed for the actual MS.</w:t>
      </w:r>
    </w:p>
  </w:comment>
  <w:comment w:id="7" w:author="Fidino, Mason" w:date="2019-09-16T09:40:00Z" w:initials="FM">
    <w:p w14:paraId="3938C5EA" w14:textId="35B0B348" w:rsidR="00295328" w:rsidRDefault="00295328">
      <w:pPr>
        <w:pStyle w:val="CommentText"/>
      </w:pPr>
      <w:r>
        <w:rPr>
          <w:rStyle w:val="CommentReference"/>
        </w:rPr>
        <w:annotationRef/>
      </w:r>
      <w:r>
        <w:t>Supplemental table needed for naïve occupancy and the like across cities?</w:t>
      </w:r>
    </w:p>
  </w:comment>
  <w:comment w:id="9" w:author="Fidino, Mason" w:date="2019-09-16T10:02:00Z" w:initials="FM">
    <w:p w14:paraId="10CFFB3B" w14:textId="36F22082" w:rsidR="00295328" w:rsidRDefault="00295328">
      <w:pPr>
        <w:pStyle w:val="CommentText"/>
      </w:pPr>
      <w:r>
        <w:rPr>
          <w:rStyle w:val="CommentReference"/>
        </w:rPr>
        <w:annotationRef/>
      </w:r>
      <w:r>
        <w:t>Do we want to put little names next to the dots to indicate what city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AAD234" w15:done="0"/>
  <w15:commentEx w15:paraId="1F1654B7" w15:done="0"/>
  <w15:commentEx w15:paraId="38B59512" w15:done="0"/>
  <w15:commentEx w15:paraId="03EF5D69" w15:done="0"/>
  <w15:commentEx w15:paraId="4D7991BC" w15:done="0"/>
  <w15:commentEx w15:paraId="172D9B02" w15:done="0"/>
  <w15:commentEx w15:paraId="4EE480DF" w15:done="0"/>
  <w15:commentEx w15:paraId="3938C5EA" w15:done="0"/>
  <w15:commentEx w15:paraId="10CFFB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AAD234" w16cid:durableId="20F6B766"/>
  <w16cid:commentId w16cid:paraId="1F1654B7" w16cid:durableId="20F6A9F4"/>
  <w16cid:commentId w16cid:paraId="38B59512" w16cid:durableId="210E4441"/>
  <w16cid:commentId w16cid:paraId="03EF5D69" w16cid:durableId="21112182"/>
  <w16cid:commentId w16cid:paraId="4D7991BC" w16cid:durableId="210F7F5D"/>
  <w16cid:commentId w16cid:paraId="172D9B02" w16cid:durableId="210F8B0D"/>
  <w16cid:commentId w16cid:paraId="4EE480DF" w16cid:durableId="21224DA0"/>
  <w16cid:commentId w16cid:paraId="3938C5EA" w16cid:durableId="2129D720"/>
  <w16cid:commentId w16cid:paraId="10CFFB3B" w16cid:durableId="2129D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85544"/>
    <w:multiLevelType w:val="hybridMultilevel"/>
    <w:tmpl w:val="37A8A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7FC5"/>
    <w:multiLevelType w:val="hybridMultilevel"/>
    <w:tmpl w:val="7080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F3871"/>
    <w:multiLevelType w:val="hybridMultilevel"/>
    <w:tmpl w:val="5CCA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32C61"/>
    <w:multiLevelType w:val="hybridMultilevel"/>
    <w:tmpl w:val="F55C6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BE"/>
    <w:rsid w:val="000057E8"/>
    <w:rsid w:val="00014306"/>
    <w:rsid w:val="000258B3"/>
    <w:rsid w:val="00030016"/>
    <w:rsid w:val="000371C1"/>
    <w:rsid w:val="00071AD5"/>
    <w:rsid w:val="000B30AC"/>
    <w:rsid w:val="000D0014"/>
    <w:rsid w:val="000D48FD"/>
    <w:rsid w:val="000E0F25"/>
    <w:rsid w:val="000E7B0B"/>
    <w:rsid w:val="00117CC1"/>
    <w:rsid w:val="00121DFE"/>
    <w:rsid w:val="00122A6D"/>
    <w:rsid w:val="00134FFE"/>
    <w:rsid w:val="001709E1"/>
    <w:rsid w:val="001767F5"/>
    <w:rsid w:val="001A741D"/>
    <w:rsid w:val="001C22DB"/>
    <w:rsid w:val="001C2C6E"/>
    <w:rsid w:val="001D174B"/>
    <w:rsid w:val="001D1A36"/>
    <w:rsid w:val="001E4C38"/>
    <w:rsid w:val="00211AC2"/>
    <w:rsid w:val="00212967"/>
    <w:rsid w:val="00215A03"/>
    <w:rsid w:val="00227CB2"/>
    <w:rsid w:val="002322A5"/>
    <w:rsid w:val="0023672F"/>
    <w:rsid w:val="00246C1A"/>
    <w:rsid w:val="00255089"/>
    <w:rsid w:val="00255601"/>
    <w:rsid w:val="00284C25"/>
    <w:rsid w:val="00284E87"/>
    <w:rsid w:val="0029163F"/>
    <w:rsid w:val="00295328"/>
    <w:rsid w:val="002B2A26"/>
    <w:rsid w:val="002C0B83"/>
    <w:rsid w:val="002D0324"/>
    <w:rsid w:val="002D5B4D"/>
    <w:rsid w:val="002E0DB2"/>
    <w:rsid w:val="00305139"/>
    <w:rsid w:val="00347149"/>
    <w:rsid w:val="003643A8"/>
    <w:rsid w:val="00372B8A"/>
    <w:rsid w:val="003742C8"/>
    <w:rsid w:val="003903FD"/>
    <w:rsid w:val="00393910"/>
    <w:rsid w:val="003B0D67"/>
    <w:rsid w:val="003C67EB"/>
    <w:rsid w:val="003D565D"/>
    <w:rsid w:val="003E2811"/>
    <w:rsid w:val="003F6F05"/>
    <w:rsid w:val="00423B3B"/>
    <w:rsid w:val="00430626"/>
    <w:rsid w:val="00431C1C"/>
    <w:rsid w:val="00440309"/>
    <w:rsid w:val="004407B5"/>
    <w:rsid w:val="00442994"/>
    <w:rsid w:val="00444DD1"/>
    <w:rsid w:val="00453A1B"/>
    <w:rsid w:val="0046353F"/>
    <w:rsid w:val="004C3C06"/>
    <w:rsid w:val="004C68F9"/>
    <w:rsid w:val="004D433E"/>
    <w:rsid w:val="004D704C"/>
    <w:rsid w:val="005018EB"/>
    <w:rsid w:val="0051129B"/>
    <w:rsid w:val="005175E3"/>
    <w:rsid w:val="00530F88"/>
    <w:rsid w:val="00536EEE"/>
    <w:rsid w:val="00540754"/>
    <w:rsid w:val="00547F05"/>
    <w:rsid w:val="00557038"/>
    <w:rsid w:val="005612E4"/>
    <w:rsid w:val="005660CA"/>
    <w:rsid w:val="00577948"/>
    <w:rsid w:val="00584CDC"/>
    <w:rsid w:val="005B5383"/>
    <w:rsid w:val="005C389C"/>
    <w:rsid w:val="005C54D3"/>
    <w:rsid w:val="005E33F6"/>
    <w:rsid w:val="005E4E71"/>
    <w:rsid w:val="005F7CEB"/>
    <w:rsid w:val="00610A8C"/>
    <w:rsid w:val="00614154"/>
    <w:rsid w:val="00621B90"/>
    <w:rsid w:val="00631A55"/>
    <w:rsid w:val="00645E8B"/>
    <w:rsid w:val="0065020C"/>
    <w:rsid w:val="006665BC"/>
    <w:rsid w:val="0069489B"/>
    <w:rsid w:val="006A2F3B"/>
    <w:rsid w:val="006C0055"/>
    <w:rsid w:val="006C219E"/>
    <w:rsid w:val="006C718D"/>
    <w:rsid w:val="006C7202"/>
    <w:rsid w:val="006D1F15"/>
    <w:rsid w:val="006D6BAB"/>
    <w:rsid w:val="006E03B4"/>
    <w:rsid w:val="006E14BE"/>
    <w:rsid w:val="006E2B45"/>
    <w:rsid w:val="006E6912"/>
    <w:rsid w:val="00714EB6"/>
    <w:rsid w:val="00723D54"/>
    <w:rsid w:val="00740DD9"/>
    <w:rsid w:val="00745256"/>
    <w:rsid w:val="0074526E"/>
    <w:rsid w:val="007563A2"/>
    <w:rsid w:val="007769A6"/>
    <w:rsid w:val="00780BFF"/>
    <w:rsid w:val="00783CF1"/>
    <w:rsid w:val="007D3BEB"/>
    <w:rsid w:val="007E358B"/>
    <w:rsid w:val="00822BF6"/>
    <w:rsid w:val="008251A1"/>
    <w:rsid w:val="0083698B"/>
    <w:rsid w:val="00843D92"/>
    <w:rsid w:val="00857204"/>
    <w:rsid w:val="0086028E"/>
    <w:rsid w:val="00864EC4"/>
    <w:rsid w:val="008664F3"/>
    <w:rsid w:val="00893B02"/>
    <w:rsid w:val="00893D46"/>
    <w:rsid w:val="00894FAF"/>
    <w:rsid w:val="008A78BA"/>
    <w:rsid w:val="008C513E"/>
    <w:rsid w:val="008E035C"/>
    <w:rsid w:val="008E2D28"/>
    <w:rsid w:val="008F3F7C"/>
    <w:rsid w:val="009017CB"/>
    <w:rsid w:val="00906744"/>
    <w:rsid w:val="00927A9D"/>
    <w:rsid w:val="0096088E"/>
    <w:rsid w:val="0096441E"/>
    <w:rsid w:val="00975360"/>
    <w:rsid w:val="00987F2D"/>
    <w:rsid w:val="009A4906"/>
    <w:rsid w:val="009F6387"/>
    <w:rsid w:val="00A130C0"/>
    <w:rsid w:val="00A13B33"/>
    <w:rsid w:val="00A6337D"/>
    <w:rsid w:val="00A873CA"/>
    <w:rsid w:val="00A90E3E"/>
    <w:rsid w:val="00A945B1"/>
    <w:rsid w:val="00AB1D18"/>
    <w:rsid w:val="00AC714B"/>
    <w:rsid w:val="00AD17D1"/>
    <w:rsid w:val="00AE0849"/>
    <w:rsid w:val="00AE42A4"/>
    <w:rsid w:val="00AE7C5B"/>
    <w:rsid w:val="00B01064"/>
    <w:rsid w:val="00B12EB1"/>
    <w:rsid w:val="00B134D7"/>
    <w:rsid w:val="00B2723D"/>
    <w:rsid w:val="00B3184A"/>
    <w:rsid w:val="00B34D6A"/>
    <w:rsid w:val="00B35FB5"/>
    <w:rsid w:val="00B404BD"/>
    <w:rsid w:val="00B43D55"/>
    <w:rsid w:val="00B44844"/>
    <w:rsid w:val="00B46D25"/>
    <w:rsid w:val="00B55551"/>
    <w:rsid w:val="00B80C69"/>
    <w:rsid w:val="00B81992"/>
    <w:rsid w:val="00B8512A"/>
    <w:rsid w:val="00BE4162"/>
    <w:rsid w:val="00BE4220"/>
    <w:rsid w:val="00C03040"/>
    <w:rsid w:val="00C2013A"/>
    <w:rsid w:val="00C250E5"/>
    <w:rsid w:val="00C30217"/>
    <w:rsid w:val="00C31E5B"/>
    <w:rsid w:val="00C45D58"/>
    <w:rsid w:val="00C54ECB"/>
    <w:rsid w:val="00C71B54"/>
    <w:rsid w:val="00C873C8"/>
    <w:rsid w:val="00C932D4"/>
    <w:rsid w:val="00CA2781"/>
    <w:rsid w:val="00CA7B0C"/>
    <w:rsid w:val="00CC745C"/>
    <w:rsid w:val="00CC7AC1"/>
    <w:rsid w:val="00CD60D2"/>
    <w:rsid w:val="00CD6E56"/>
    <w:rsid w:val="00D11016"/>
    <w:rsid w:val="00D36FBE"/>
    <w:rsid w:val="00D47210"/>
    <w:rsid w:val="00D605DC"/>
    <w:rsid w:val="00D77B93"/>
    <w:rsid w:val="00D810C3"/>
    <w:rsid w:val="00DA6493"/>
    <w:rsid w:val="00DC50C7"/>
    <w:rsid w:val="00E20EBF"/>
    <w:rsid w:val="00E302C3"/>
    <w:rsid w:val="00E57414"/>
    <w:rsid w:val="00E8579D"/>
    <w:rsid w:val="00E945C9"/>
    <w:rsid w:val="00EA1630"/>
    <w:rsid w:val="00EC5680"/>
    <w:rsid w:val="00EC5AEA"/>
    <w:rsid w:val="00ED3A83"/>
    <w:rsid w:val="00EF5117"/>
    <w:rsid w:val="00F15826"/>
    <w:rsid w:val="00F226CC"/>
    <w:rsid w:val="00F24ABC"/>
    <w:rsid w:val="00F26B63"/>
    <w:rsid w:val="00F62EDC"/>
    <w:rsid w:val="00F67E5D"/>
    <w:rsid w:val="00F826D6"/>
    <w:rsid w:val="00F9530F"/>
    <w:rsid w:val="00FC0D16"/>
    <w:rsid w:val="00FC29A1"/>
    <w:rsid w:val="00FC66B2"/>
    <w:rsid w:val="00FD7B48"/>
    <w:rsid w:val="00FE0CD9"/>
    <w:rsid w:val="00FE337D"/>
    <w:rsid w:val="00FF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E6CC"/>
  <w15:chartTrackingRefBased/>
  <w15:docId w15:val="{32CFCB14-0D16-0D42-9694-EE5D7B1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A26"/>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B2A2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4BE"/>
    <w:pPr>
      <w:ind w:left="720"/>
      <w:contextualSpacing/>
    </w:pPr>
  </w:style>
  <w:style w:type="character" w:styleId="CommentReference">
    <w:name w:val="annotation reference"/>
    <w:basedOn w:val="DefaultParagraphFont"/>
    <w:uiPriority w:val="99"/>
    <w:semiHidden/>
    <w:unhideWhenUsed/>
    <w:rsid w:val="002322A5"/>
    <w:rPr>
      <w:sz w:val="16"/>
      <w:szCs w:val="16"/>
    </w:rPr>
  </w:style>
  <w:style w:type="paragraph" w:styleId="CommentText">
    <w:name w:val="annotation text"/>
    <w:basedOn w:val="Normal"/>
    <w:link w:val="CommentTextChar"/>
    <w:uiPriority w:val="99"/>
    <w:semiHidden/>
    <w:unhideWhenUsed/>
    <w:rsid w:val="002322A5"/>
    <w:rPr>
      <w:sz w:val="20"/>
      <w:szCs w:val="20"/>
    </w:rPr>
  </w:style>
  <w:style w:type="character" w:customStyle="1" w:styleId="CommentTextChar">
    <w:name w:val="Comment Text Char"/>
    <w:basedOn w:val="DefaultParagraphFont"/>
    <w:link w:val="CommentText"/>
    <w:uiPriority w:val="99"/>
    <w:semiHidden/>
    <w:rsid w:val="002322A5"/>
    <w:rPr>
      <w:sz w:val="20"/>
      <w:szCs w:val="20"/>
    </w:rPr>
  </w:style>
  <w:style w:type="paragraph" w:styleId="CommentSubject">
    <w:name w:val="annotation subject"/>
    <w:basedOn w:val="CommentText"/>
    <w:next w:val="CommentText"/>
    <w:link w:val="CommentSubjectChar"/>
    <w:uiPriority w:val="99"/>
    <w:semiHidden/>
    <w:unhideWhenUsed/>
    <w:rsid w:val="002322A5"/>
    <w:rPr>
      <w:b/>
      <w:bCs/>
    </w:rPr>
  </w:style>
  <w:style w:type="character" w:customStyle="1" w:styleId="CommentSubjectChar">
    <w:name w:val="Comment Subject Char"/>
    <w:basedOn w:val="CommentTextChar"/>
    <w:link w:val="CommentSubject"/>
    <w:uiPriority w:val="99"/>
    <w:semiHidden/>
    <w:rsid w:val="002322A5"/>
    <w:rPr>
      <w:b/>
      <w:bCs/>
      <w:sz w:val="20"/>
      <w:szCs w:val="20"/>
    </w:rPr>
  </w:style>
  <w:style w:type="paragraph" w:styleId="BalloonText">
    <w:name w:val="Balloon Text"/>
    <w:basedOn w:val="Normal"/>
    <w:link w:val="BalloonTextChar"/>
    <w:uiPriority w:val="99"/>
    <w:semiHidden/>
    <w:unhideWhenUsed/>
    <w:rsid w:val="00232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2A5"/>
    <w:rPr>
      <w:rFonts w:ascii="Segoe UI" w:hAnsi="Segoe UI" w:cs="Segoe UI"/>
      <w:sz w:val="18"/>
      <w:szCs w:val="18"/>
    </w:rPr>
  </w:style>
  <w:style w:type="character" w:customStyle="1" w:styleId="Heading1Char">
    <w:name w:val="Heading 1 Char"/>
    <w:basedOn w:val="DefaultParagraphFont"/>
    <w:link w:val="Heading1"/>
    <w:uiPriority w:val="9"/>
    <w:rsid w:val="002B2A2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B2A26"/>
    <w:rPr>
      <w:rFonts w:asciiTheme="majorHAnsi" w:eastAsiaTheme="majorEastAsia" w:hAnsiTheme="majorHAnsi" w:cstheme="majorBidi"/>
      <w:sz w:val="26"/>
      <w:szCs w:val="26"/>
    </w:rPr>
  </w:style>
  <w:style w:type="table" w:styleId="TableGrid">
    <w:name w:val="Table Grid"/>
    <w:basedOn w:val="TableNormal"/>
    <w:uiPriority w:val="39"/>
    <w:rsid w:val="002E0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0016"/>
    <w:rPr>
      <w:color w:val="808080"/>
    </w:rPr>
  </w:style>
  <w:style w:type="character" w:customStyle="1" w:styleId="groupname">
    <w:name w:val="groupname"/>
    <w:basedOn w:val="DefaultParagraphFont"/>
    <w:rsid w:val="003643A8"/>
  </w:style>
  <w:style w:type="character" w:customStyle="1" w:styleId="pubyear">
    <w:name w:val="pubyear"/>
    <w:basedOn w:val="DefaultParagraphFont"/>
    <w:rsid w:val="003643A8"/>
  </w:style>
  <w:style w:type="character" w:customStyle="1" w:styleId="booktitle">
    <w:name w:val="booktitle"/>
    <w:basedOn w:val="DefaultParagraphFont"/>
    <w:rsid w:val="003643A8"/>
  </w:style>
  <w:style w:type="character" w:customStyle="1" w:styleId="publisherlocation">
    <w:name w:val="publisherlocation"/>
    <w:basedOn w:val="DefaultParagraphFont"/>
    <w:rsid w:val="003643A8"/>
  </w:style>
  <w:style w:type="paragraph" w:styleId="Caption">
    <w:name w:val="caption"/>
    <w:basedOn w:val="Normal"/>
    <w:next w:val="Normal"/>
    <w:uiPriority w:val="35"/>
    <w:unhideWhenUsed/>
    <w:qFormat/>
    <w:rsid w:val="00C3021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96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3452-6A25-48AA-9D27-091D7A15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10343</TotalTime>
  <Pages>15</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54</cp:revision>
  <dcterms:created xsi:type="dcterms:W3CDTF">2019-06-13T20:04:00Z</dcterms:created>
  <dcterms:modified xsi:type="dcterms:W3CDTF">2019-09-18T18:54:00Z</dcterms:modified>
</cp:coreProperties>
</file>