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9B02" w14:textId="0BC71417" w:rsidR="00561DC4" w:rsidRPr="00064B22" w:rsidRDefault="002563E7" w:rsidP="00561DC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4B22">
        <w:rPr>
          <w:rFonts w:ascii="Arial" w:eastAsia="Times New Roman" w:hAnsi="Arial" w:cs="Arial"/>
          <w:b/>
          <w:bCs/>
        </w:rPr>
        <w:t xml:space="preserve">Corrections to Figure 3. </w:t>
      </w:r>
      <w:r w:rsidR="00561DC4" w:rsidRPr="00064B22">
        <w:rPr>
          <w:rFonts w:ascii="Arial" w:eastAsia="Times New Roman" w:hAnsi="Arial" w:cs="Arial"/>
          <w:b/>
          <w:bCs/>
        </w:rPr>
        <w:t xml:space="preserve"> </w:t>
      </w:r>
      <w:r w:rsidR="00561DC4" w:rsidRPr="00064B22">
        <w:rPr>
          <w:rFonts w:ascii="Arial" w:eastAsia="Times New Roman" w:hAnsi="Arial" w:cs="Arial"/>
          <w:color w:val="000000"/>
        </w:rPr>
        <w:t xml:space="preserve">While preparing our R code for publication, we found that in our original submission, Figure 3 presented results from an earlier version of the Supplementary Livelihoods QNM. We have corrected both Fig. 3 and the associated supplementary Fig. S8 in our revision. </w:t>
      </w:r>
      <w:r w:rsidR="00561DC4" w:rsidRPr="00064B22">
        <w:rPr>
          <w:rFonts w:ascii="Arial" w:eastAsia="Times New Roman" w:hAnsi="Arial" w:cs="Arial"/>
          <w:b/>
          <w:bCs/>
          <w:color w:val="000000"/>
        </w:rPr>
        <w:t>This figure correction did not require changing any text in the manuscript, and did not change our main results / discussion points.</w:t>
      </w:r>
      <w:r w:rsidR="00561DC4" w:rsidRPr="00064B22">
        <w:rPr>
          <w:rFonts w:ascii="Arial" w:eastAsia="Times New Roman" w:hAnsi="Arial" w:cs="Arial"/>
          <w:color w:val="000000"/>
        </w:rPr>
        <w:t xml:space="preserve"> For transparency, we have copied the original (incorrect) Figure 3 and the re-submitted (correct) Figure 3 below</w:t>
      </w:r>
      <w:r w:rsidR="001F565F" w:rsidRPr="00064B22">
        <w:rPr>
          <w:rFonts w:ascii="Arial" w:eastAsia="Times New Roman" w:hAnsi="Arial" w:cs="Arial"/>
          <w:color w:val="000000"/>
        </w:rPr>
        <w:t>.</w:t>
      </w:r>
    </w:p>
    <w:p w14:paraId="6FA93F4A" w14:textId="77777777" w:rsidR="002563E7" w:rsidRPr="00064B22" w:rsidRDefault="002563E7" w:rsidP="002563E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10BA1524" w14:textId="0900682D" w:rsidR="002563E7" w:rsidRPr="00064B22" w:rsidRDefault="002563E7" w:rsidP="002563E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4B22">
        <w:rPr>
          <w:rFonts w:ascii="Arial" w:eastAsia="Times New Roman" w:hAnsi="Arial" w:cs="Arial"/>
          <w:color w:val="000000"/>
        </w:rPr>
        <w:t xml:space="preserve">Results for the Supplementary Diversification QNM (the only results that differ between the two figures) are in the bottom row of each table a-c. </w:t>
      </w:r>
    </w:p>
    <w:p w14:paraId="4DC9BAC1" w14:textId="77777777" w:rsidR="002563E7" w:rsidRPr="002D56F6" w:rsidRDefault="002563E7" w:rsidP="002563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545"/>
      </w:tblGrid>
      <w:tr w:rsidR="002563E7" w:rsidRPr="00B00034" w14:paraId="40E3CE9E" w14:textId="77777777" w:rsidTr="00B85FB6"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4C30" w14:textId="77777777" w:rsidR="002563E7" w:rsidRPr="00B00034" w:rsidRDefault="002563E7" w:rsidP="00B85F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00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Original</w:t>
            </w:r>
            <w:r w:rsidRPr="00D43C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(Incorrect)</w:t>
            </w:r>
            <w:r w:rsidRPr="00B00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Figure 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B19D" w14:textId="77777777" w:rsidR="002563E7" w:rsidRPr="000B5414" w:rsidRDefault="002563E7" w:rsidP="00B85F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Resubmitted (Corrected)</w:t>
            </w:r>
            <w:r w:rsidRPr="00B00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Figure 3</w:t>
            </w:r>
          </w:p>
        </w:tc>
      </w:tr>
      <w:tr w:rsidR="002563E7" w:rsidRPr="00B00034" w14:paraId="6B5B89BB" w14:textId="77777777" w:rsidTr="00B85FB6"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6387" w14:textId="77777777" w:rsidR="002563E7" w:rsidRPr="00B00034" w:rsidRDefault="002563E7" w:rsidP="00B85F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CA5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74EA74F1" wp14:editId="6195407A">
                  <wp:extent cx="2932670" cy="4228335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30"/>
                          <a:stretch/>
                        </pic:blipFill>
                        <pic:spPr bwMode="auto">
                          <a:xfrm>
                            <a:off x="0" y="0"/>
                            <a:ext cx="2937663" cy="4235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933F8" w14:textId="77777777" w:rsidR="002563E7" w:rsidRPr="00B00034" w:rsidRDefault="002563E7" w:rsidP="00B85F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CA5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5D77D22" wp14:editId="26E86203">
                  <wp:extent cx="2759675" cy="387159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10"/>
                          <a:stretch/>
                        </pic:blipFill>
                        <pic:spPr bwMode="auto">
                          <a:xfrm>
                            <a:off x="0" y="0"/>
                            <a:ext cx="2759675" cy="387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FC691" w14:textId="77777777" w:rsidR="002563E7" w:rsidRDefault="002563E7" w:rsidP="002563E7"/>
    <w:p w14:paraId="2531776D" w14:textId="21401880" w:rsidR="002563E7" w:rsidRPr="00064B22" w:rsidRDefault="002563E7" w:rsidP="002563E7">
      <w:pPr>
        <w:spacing w:after="0" w:line="240" w:lineRule="auto"/>
        <w:rPr>
          <w:rFonts w:ascii="Arial" w:eastAsia="Times New Roman" w:hAnsi="Arial" w:cs="Arial"/>
        </w:rPr>
      </w:pPr>
      <w:r w:rsidRPr="00064B22">
        <w:rPr>
          <w:rFonts w:ascii="Arial" w:eastAsia="Times New Roman" w:hAnsi="Arial" w:cs="Arial"/>
          <w:color w:val="000000"/>
        </w:rPr>
        <w:t>The statements that reference the Supplementary Livelihoods QNM results presented in Figure 3 are</w:t>
      </w:r>
      <w:r w:rsidR="00561DC4" w:rsidRPr="00064B22">
        <w:rPr>
          <w:rFonts w:ascii="Arial" w:eastAsia="Times New Roman" w:hAnsi="Arial" w:cs="Arial"/>
          <w:color w:val="000000"/>
        </w:rPr>
        <w:t xml:space="preserve"> as follows. </w:t>
      </w:r>
      <w:r w:rsidR="00D00BC6" w:rsidRPr="00064B22">
        <w:rPr>
          <w:rFonts w:ascii="Arial" w:eastAsia="Times New Roman" w:hAnsi="Arial" w:cs="Arial"/>
          <w:b/>
          <w:bCs/>
          <w:color w:val="000000"/>
        </w:rPr>
        <w:t>Both</w:t>
      </w:r>
      <w:r w:rsidR="00561DC4" w:rsidRPr="00064B22">
        <w:rPr>
          <w:rFonts w:ascii="Arial" w:eastAsia="Times New Roman" w:hAnsi="Arial" w:cs="Arial"/>
          <w:b/>
          <w:bCs/>
          <w:color w:val="000000"/>
        </w:rPr>
        <w:t xml:space="preserve"> of these statements still reflect the results presented in Figure 3, after corrections. </w:t>
      </w:r>
      <w:r w:rsidRPr="00064B22">
        <w:rPr>
          <w:rFonts w:ascii="Arial" w:eastAsia="Times New Roman" w:hAnsi="Arial" w:cs="Arial"/>
          <w:color w:val="000000"/>
        </w:rPr>
        <w:t> </w:t>
      </w:r>
    </w:p>
    <w:p w14:paraId="75BF66C3" w14:textId="4CFB746E" w:rsidR="002563E7" w:rsidRPr="00064B22" w:rsidRDefault="002563E7" w:rsidP="002563E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4B22">
        <w:rPr>
          <w:rFonts w:ascii="Arial" w:eastAsia="Times New Roman" w:hAnsi="Arial" w:cs="Arial"/>
          <w:color w:val="000000"/>
        </w:rPr>
        <w:t xml:space="preserve">Lines 429-433: “Insurance, Multi-Objective Disaster Relief, and Supplementary Diversification intensified HAB impacts on </w:t>
      </w:r>
      <w:r w:rsidRPr="00064B22">
        <w:rPr>
          <w:rFonts w:ascii="Arial" w:eastAsia="Times New Roman" w:hAnsi="Arial" w:cs="Arial"/>
          <w:i/>
          <w:iCs/>
          <w:color w:val="000000"/>
        </w:rPr>
        <w:t>Intangible connections to nature</w:t>
      </w:r>
      <w:r w:rsidRPr="00064B22">
        <w:rPr>
          <w:rFonts w:ascii="Arial" w:eastAsia="Times New Roman" w:hAnsi="Arial" w:cs="Arial"/>
          <w:color w:val="000000"/>
        </w:rPr>
        <w:t xml:space="preserve">, such that the variable response went from weakly negative in the Status Quo to strongly negative for all three strategies [Fig 3b]. Insurance and Supplementary Diversification also intensified the negative HAB impact on </w:t>
      </w:r>
      <w:r w:rsidRPr="00064B22">
        <w:rPr>
          <w:rFonts w:ascii="Arial" w:eastAsia="Times New Roman" w:hAnsi="Arial" w:cs="Arial"/>
          <w:i/>
          <w:iCs/>
          <w:color w:val="000000"/>
        </w:rPr>
        <w:t>Identity</w:t>
      </w:r>
      <w:r w:rsidRPr="00064B22">
        <w:rPr>
          <w:rFonts w:ascii="Arial" w:eastAsia="Times New Roman" w:hAnsi="Arial" w:cs="Arial"/>
          <w:color w:val="000000"/>
        </w:rPr>
        <w:t xml:space="preserve">, which went from weakly to strongly negative (Fig 3b).” </w:t>
      </w:r>
    </w:p>
    <w:p w14:paraId="73161CA1" w14:textId="77777777" w:rsidR="00D00BC6" w:rsidRPr="00064B22" w:rsidRDefault="00D00BC6" w:rsidP="00D00BC6">
      <w:pPr>
        <w:spacing w:before="240"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AD642B2" w14:textId="5F4129F5" w:rsidR="002563E7" w:rsidRPr="00064B22" w:rsidRDefault="002563E7" w:rsidP="002563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4B22">
        <w:rPr>
          <w:rFonts w:ascii="Arial" w:eastAsia="Times New Roman" w:hAnsi="Arial" w:cs="Arial"/>
          <w:color w:val="000000"/>
        </w:rPr>
        <w:t xml:space="preserve">Lines.644-646: “In exploring model configurations with reduced in-season flexibility (Section 3.2.1), we found that three different adaptation strategies (Insurance, Multi-Objective Disaster Relief, Supplementary Diversification) intensified negative impacts to </w:t>
      </w:r>
      <w:r w:rsidRPr="00064B22">
        <w:rPr>
          <w:rFonts w:ascii="Arial" w:eastAsia="Times New Roman" w:hAnsi="Arial" w:cs="Arial"/>
          <w:i/>
          <w:iCs/>
          <w:color w:val="000000"/>
        </w:rPr>
        <w:t>Intangible connections to nature</w:t>
      </w:r>
      <w:r w:rsidRPr="00064B22">
        <w:rPr>
          <w:rFonts w:ascii="Arial" w:eastAsia="Times New Roman" w:hAnsi="Arial" w:cs="Arial"/>
          <w:color w:val="000000"/>
        </w:rPr>
        <w:t xml:space="preserve">.” </w:t>
      </w:r>
    </w:p>
    <w:p w14:paraId="18C98A3F" w14:textId="77777777" w:rsidR="002563E7" w:rsidRPr="002966B7" w:rsidRDefault="002563E7" w:rsidP="002563E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FEFD5F" w14:textId="06C955BA" w:rsidR="00DE36B9" w:rsidRDefault="002563E7" w:rsidP="002563E7">
      <w:r w:rsidRPr="002966B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</w:t>
      </w:r>
    </w:p>
    <w:sectPr w:rsidR="00DE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5432"/>
    <w:multiLevelType w:val="multilevel"/>
    <w:tmpl w:val="896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61"/>
    <w:rsid w:val="00064B22"/>
    <w:rsid w:val="001F565F"/>
    <w:rsid w:val="002361AB"/>
    <w:rsid w:val="002563E7"/>
    <w:rsid w:val="00265FDB"/>
    <w:rsid w:val="00561DC4"/>
    <w:rsid w:val="00871F61"/>
    <w:rsid w:val="00A47129"/>
    <w:rsid w:val="00D00BC6"/>
    <w:rsid w:val="00DE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C7FC"/>
  <w15:chartTrackingRefBased/>
  <w15:docId w15:val="{FE8D029C-083F-48FF-9AF9-8F15B9E8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Fisher</dc:creator>
  <cp:keywords/>
  <dc:description/>
  <cp:lastModifiedBy>Mary Fisher</cp:lastModifiedBy>
  <cp:revision>7</cp:revision>
  <dcterms:created xsi:type="dcterms:W3CDTF">2025-08-08T23:39:00Z</dcterms:created>
  <dcterms:modified xsi:type="dcterms:W3CDTF">2025-08-11T17:06:00Z</dcterms:modified>
</cp:coreProperties>
</file>