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EA" w:rsidRDefault="003430EA" w:rsidP="003430EA">
      <w:pPr>
        <w:spacing w:after="0"/>
        <w:jc w:val="center"/>
        <w:rPr>
          <w:rFonts w:ascii="Times New Roman" w:hAnsi="Times New Roman" w:cs="Times New Roman"/>
          <w:b/>
          <w:sz w:val="24"/>
          <w:szCs w:val="24"/>
        </w:rPr>
      </w:pPr>
      <w:r>
        <w:rPr>
          <w:rFonts w:ascii="Times New Roman" w:hAnsi="Times New Roman" w:cs="Times New Roman"/>
          <w:b/>
          <w:sz w:val="24"/>
          <w:szCs w:val="24"/>
        </w:rPr>
        <w:t>DNA Sequencing &amp; Otolith Microchemi</w:t>
      </w:r>
      <w:r w:rsidR="006947BA">
        <w:rPr>
          <w:rFonts w:ascii="Times New Roman" w:hAnsi="Times New Roman" w:cs="Times New Roman"/>
          <w:b/>
          <w:sz w:val="24"/>
          <w:szCs w:val="24"/>
        </w:rPr>
        <w:t>stry</w:t>
      </w:r>
      <w:r>
        <w:rPr>
          <w:rFonts w:ascii="Times New Roman" w:hAnsi="Times New Roman" w:cs="Times New Roman"/>
          <w:b/>
          <w:sz w:val="24"/>
          <w:szCs w:val="24"/>
        </w:rPr>
        <w:t xml:space="preserve"> Data Set</w:t>
      </w:r>
    </w:p>
    <w:p w:rsidR="00353AA4" w:rsidRPr="00AC0DB2" w:rsidRDefault="00AC0DB2" w:rsidP="003430EA">
      <w:pPr>
        <w:jc w:val="center"/>
        <w:rPr>
          <w:rFonts w:ascii="Times New Roman" w:hAnsi="Times New Roman" w:cs="Times New Roman"/>
          <w:b/>
          <w:sz w:val="24"/>
          <w:szCs w:val="24"/>
        </w:rPr>
      </w:pPr>
      <w:r w:rsidRPr="00AC0DB2">
        <w:rPr>
          <w:rFonts w:ascii="Times New Roman" w:hAnsi="Times New Roman" w:cs="Times New Roman"/>
          <w:b/>
          <w:sz w:val="24"/>
          <w:szCs w:val="24"/>
        </w:rPr>
        <w:t xml:space="preserve">Pacific cod, South Korea </w:t>
      </w:r>
      <w:r w:rsidR="003430EA">
        <w:rPr>
          <w:rFonts w:ascii="Times New Roman" w:hAnsi="Times New Roman" w:cs="Times New Roman"/>
          <w:b/>
          <w:sz w:val="24"/>
          <w:szCs w:val="24"/>
        </w:rPr>
        <w:t>coastal waters</w:t>
      </w:r>
    </w:p>
    <w:p w:rsidR="00AC0DB2" w:rsidRPr="00AC0DB2" w:rsidRDefault="00AC0DB2" w:rsidP="00AC0DB2">
      <w:pPr>
        <w:rPr>
          <w:rFonts w:ascii="Times New Roman" w:hAnsi="Times New Roman" w:cs="Times New Roman"/>
          <w:b/>
          <w:sz w:val="24"/>
          <w:szCs w:val="24"/>
        </w:rPr>
      </w:pPr>
    </w:p>
    <w:p w:rsidR="00AC0DB2" w:rsidRPr="00AC0DB2" w:rsidRDefault="00AC0DB2" w:rsidP="00AC0DB2">
      <w:pPr>
        <w:rPr>
          <w:rFonts w:ascii="Times New Roman" w:hAnsi="Times New Roman" w:cs="Times New Roman"/>
          <w:b/>
          <w:sz w:val="24"/>
          <w:szCs w:val="24"/>
        </w:rPr>
      </w:pPr>
      <w:r w:rsidRPr="00AC0DB2">
        <w:rPr>
          <w:rFonts w:ascii="Times New Roman" w:hAnsi="Times New Roman" w:cs="Times New Roman"/>
          <w:b/>
          <w:sz w:val="24"/>
          <w:szCs w:val="24"/>
        </w:rPr>
        <w:t>Dataset Description</w:t>
      </w:r>
    </w:p>
    <w:p w:rsidR="00497CAB" w:rsidRDefault="00497CAB" w:rsidP="00497CAB">
      <w:pPr>
        <w:spacing w:line="276" w:lineRule="auto"/>
        <w:rPr>
          <w:rFonts w:ascii="Times New Roman" w:hAnsi="Times New Roman" w:cs="Times New Roman"/>
          <w:sz w:val="24"/>
          <w:szCs w:val="24"/>
        </w:rPr>
      </w:pPr>
      <w:r>
        <w:rPr>
          <w:rFonts w:ascii="Times New Roman" w:hAnsi="Times New Roman" w:cs="Times New Roman"/>
          <w:sz w:val="24"/>
          <w:szCs w:val="24"/>
        </w:rPr>
        <w:t>This data set consists of genetic and otolith</w:t>
      </w:r>
      <w:r w:rsidR="003430EA">
        <w:rPr>
          <w:rFonts w:ascii="Times New Roman" w:hAnsi="Times New Roman" w:cs="Times New Roman"/>
          <w:sz w:val="24"/>
          <w:szCs w:val="24"/>
        </w:rPr>
        <w:t xml:space="preserve"> microchemi</w:t>
      </w:r>
      <w:r w:rsidR="006947BA">
        <w:rPr>
          <w:rFonts w:ascii="Times New Roman" w:hAnsi="Times New Roman" w:cs="Times New Roman"/>
          <w:sz w:val="24"/>
          <w:szCs w:val="24"/>
        </w:rPr>
        <w:t>stry</w:t>
      </w:r>
      <w:r>
        <w:rPr>
          <w:rFonts w:ascii="Times New Roman" w:hAnsi="Times New Roman" w:cs="Times New Roman"/>
          <w:sz w:val="24"/>
          <w:szCs w:val="24"/>
        </w:rPr>
        <w:t xml:space="preserve"> data for Pacific cod</w:t>
      </w:r>
      <w:r w:rsidR="00101607">
        <w:rPr>
          <w:rFonts w:ascii="Times New Roman" w:hAnsi="Times New Roman" w:cs="Times New Roman"/>
          <w:sz w:val="24"/>
          <w:szCs w:val="24"/>
        </w:rPr>
        <w:t>, to be used to determine stock structure of Pacific cod around the Korean peninsula</w:t>
      </w:r>
      <w:r w:rsidR="003430EA">
        <w:rPr>
          <w:rFonts w:ascii="Times New Roman" w:hAnsi="Times New Roman" w:cs="Times New Roman"/>
          <w:sz w:val="24"/>
          <w:szCs w:val="24"/>
        </w:rPr>
        <w:t>. Mature Pacific cod were</w:t>
      </w:r>
      <w:r>
        <w:rPr>
          <w:rFonts w:ascii="Times New Roman" w:hAnsi="Times New Roman" w:cs="Times New Roman"/>
          <w:sz w:val="24"/>
          <w:szCs w:val="24"/>
        </w:rPr>
        <w:t xml:space="preserve"> sampled from winter spawning aggregates in coastal South Korean waters over the course of several spawning seasons. </w:t>
      </w:r>
      <w:r w:rsidR="003430EA">
        <w:rPr>
          <w:rFonts w:ascii="Times New Roman" w:hAnsi="Times New Roman" w:cs="Times New Roman"/>
          <w:sz w:val="24"/>
          <w:szCs w:val="24"/>
        </w:rPr>
        <w:t>For each individual, a fin clip or tissue sample was taken</w:t>
      </w:r>
      <w:r w:rsidR="008469B1">
        <w:rPr>
          <w:rFonts w:ascii="Times New Roman" w:hAnsi="Times New Roman" w:cs="Times New Roman"/>
          <w:sz w:val="24"/>
          <w:szCs w:val="24"/>
        </w:rPr>
        <w:t xml:space="preserve"> and preserved in 100% denatured ethanol</w:t>
      </w:r>
      <w:r w:rsidR="003430EA">
        <w:rPr>
          <w:rFonts w:ascii="Times New Roman" w:hAnsi="Times New Roman" w:cs="Times New Roman"/>
          <w:sz w:val="24"/>
          <w:szCs w:val="24"/>
        </w:rPr>
        <w:t xml:space="preserve">, and either one or both otoliths </w:t>
      </w:r>
      <w:r w:rsidR="0049541D">
        <w:rPr>
          <w:rFonts w:ascii="Times New Roman" w:hAnsi="Times New Roman" w:cs="Times New Roman"/>
          <w:sz w:val="24"/>
          <w:szCs w:val="24"/>
        </w:rPr>
        <w:t xml:space="preserve">(ear bones) </w:t>
      </w:r>
      <w:r w:rsidR="008469B1">
        <w:rPr>
          <w:rFonts w:ascii="Times New Roman" w:hAnsi="Times New Roman" w:cs="Times New Roman"/>
          <w:sz w:val="24"/>
          <w:szCs w:val="24"/>
        </w:rPr>
        <w:t>collected</w:t>
      </w:r>
      <w:r w:rsidR="003430EA">
        <w:rPr>
          <w:rFonts w:ascii="Times New Roman" w:hAnsi="Times New Roman" w:cs="Times New Roman"/>
          <w:sz w:val="24"/>
          <w:szCs w:val="24"/>
        </w:rPr>
        <w:t xml:space="preserve"> </w:t>
      </w:r>
      <w:r w:rsidR="008469B1">
        <w:rPr>
          <w:rFonts w:ascii="Times New Roman" w:hAnsi="Times New Roman" w:cs="Times New Roman"/>
          <w:sz w:val="24"/>
          <w:szCs w:val="24"/>
        </w:rPr>
        <w:t>and stored dried</w:t>
      </w:r>
      <w:r w:rsidR="003430EA">
        <w:rPr>
          <w:rFonts w:ascii="Times New Roman" w:hAnsi="Times New Roman" w:cs="Times New Roman"/>
          <w:sz w:val="24"/>
          <w:szCs w:val="24"/>
        </w:rPr>
        <w:t>. Samples were collected by Dr. Sukyung Kang of the National Institute of Fisheries Science</w:t>
      </w:r>
      <w:r w:rsidR="008469B1">
        <w:rPr>
          <w:rFonts w:ascii="Times New Roman" w:hAnsi="Times New Roman" w:cs="Times New Roman"/>
          <w:sz w:val="24"/>
          <w:szCs w:val="24"/>
        </w:rPr>
        <w:t xml:space="preserve"> (spawning seasons 2014 – 2016)</w:t>
      </w:r>
      <w:r w:rsidR="003430EA">
        <w:rPr>
          <w:rFonts w:ascii="Times New Roman" w:hAnsi="Times New Roman" w:cs="Times New Roman"/>
          <w:sz w:val="24"/>
          <w:szCs w:val="24"/>
        </w:rPr>
        <w:t xml:space="preserve">, and Dr. WooSeok Gwak of </w:t>
      </w:r>
      <w:r w:rsidR="008469B1">
        <w:rPr>
          <w:rFonts w:ascii="Times New Roman" w:hAnsi="Times New Roman" w:cs="Times New Roman"/>
          <w:sz w:val="24"/>
          <w:szCs w:val="24"/>
        </w:rPr>
        <w:t xml:space="preserve">Gyeongsang </w:t>
      </w:r>
      <w:r w:rsidR="003430EA">
        <w:rPr>
          <w:rFonts w:ascii="Times New Roman" w:hAnsi="Times New Roman" w:cs="Times New Roman"/>
          <w:sz w:val="24"/>
          <w:szCs w:val="24"/>
        </w:rPr>
        <w:t>University</w:t>
      </w:r>
      <w:r w:rsidR="008469B1">
        <w:rPr>
          <w:rFonts w:ascii="Times New Roman" w:hAnsi="Times New Roman" w:cs="Times New Roman"/>
          <w:sz w:val="24"/>
          <w:szCs w:val="24"/>
        </w:rPr>
        <w:t xml:space="preserve"> (2007-2008 spawning season)</w:t>
      </w:r>
      <w:r w:rsidR="003430EA">
        <w:rPr>
          <w:rFonts w:ascii="Times New Roman" w:hAnsi="Times New Roman" w:cs="Times New Roman"/>
          <w:sz w:val="24"/>
          <w:szCs w:val="24"/>
        </w:rPr>
        <w:t xml:space="preserve">. </w:t>
      </w:r>
      <w:r w:rsidR="00101607">
        <w:rPr>
          <w:rFonts w:ascii="Times New Roman" w:hAnsi="Times New Roman" w:cs="Times New Roman"/>
          <w:sz w:val="24"/>
          <w:szCs w:val="24"/>
        </w:rPr>
        <w:t>Tissue samples from the 2007-2008 spawning season are subsamples from Gyeongsang National University.</w:t>
      </w:r>
    </w:p>
    <w:p w:rsidR="00497CAB" w:rsidRDefault="008469B1" w:rsidP="00497CAB">
      <w:pPr>
        <w:spacing w:line="276" w:lineRule="auto"/>
        <w:rPr>
          <w:rFonts w:ascii="Times New Roman" w:hAnsi="Times New Roman" w:cs="Times New Roman"/>
          <w:sz w:val="24"/>
          <w:szCs w:val="24"/>
        </w:rPr>
      </w:pPr>
      <w:r>
        <w:rPr>
          <w:rFonts w:ascii="Times New Roman" w:hAnsi="Times New Roman" w:cs="Times New Roman"/>
          <w:sz w:val="24"/>
          <w:szCs w:val="24"/>
        </w:rPr>
        <w:t>The s</w:t>
      </w:r>
      <w:r w:rsidR="003430EA">
        <w:rPr>
          <w:rFonts w:ascii="Times New Roman" w:hAnsi="Times New Roman" w:cs="Times New Roman"/>
          <w:sz w:val="24"/>
          <w:szCs w:val="24"/>
        </w:rPr>
        <w:t>pawning aggregates span three regions of South Korean coastal waters: the western coast</w:t>
      </w:r>
      <w:r>
        <w:rPr>
          <w:rFonts w:ascii="Times New Roman" w:hAnsi="Times New Roman" w:cs="Times New Roman"/>
          <w:sz w:val="24"/>
          <w:szCs w:val="24"/>
        </w:rPr>
        <w:t xml:space="preserve"> (2 sites)</w:t>
      </w:r>
      <w:r w:rsidR="003430EA">
        <w:rPr>
          <w:rFonts w:ascii="Times New Roman" w:hAnsi="Times New Roman" w:cs="Times New Roman"/>
          <w:sz w:val="24"/>
          <w:szCs w:val="24"/>
        </w:rPr>
        <w:t>, southern coast</w:t>
      </w:r>
      <w:r>
        <w:rPr>
          <w:rFonts w:ascii="Times New Roman" w:hAnsi="Times New Roman" w:cs="Times New Roman"/>
          <w:sz w:val="24"/>
          <w:szCs w:val="24"/>
        </w:rPr>
        <w:t xml:space="preserve"> (4 sites)</w:t>
      </w:r>
      <w:r w:rsidR="003430EA">
        <w:rPr>
          <w:rFonts w:ascii="Times New Roman" w:hAnsi="Times New Roman" w:cs="Times New Roman"/>
          <w:sz w:val="24"/>
          <w:szCs w:val="24"/>
        </w:rPr>
        <w:t>, and eastern coast</w:t>
      </w:r>
      <w:r>
        <w:rPr>
          <w:rFonts w:ascii="Times New Roman" w:hAnsi="Times New Roman" w:cs="Times New Roman"/>
          <w:sz w:val="24"/>
          <w:szCs w:val="24"/>
        </w:rPr>
        <w:t xml:space="preserve"> (1 site)</w:t>
      </w:r>
      <w:r w:rsidR="003430EA">
        <w:rPr>
          <w:rFonts w:ascii="Times New Roman" w:hAnsi="Times New Roman" w:cs="Times New Roman"/>
          <w:sz w:val="24"/>
          <w:szCs w:val="24"/>
        </w:rPr>
        <w:t>.</w:t>
      </w:r>
      <w:r>
        <w:rPr>
          <w:rFonts w:ascii="Times New Roman" w:hAnsi="Times New Roman" w:cs="Times New Roman"/>
          <w:sz w:val="24"/>
          <w:szCs w:val="24"/>
        </w:rPr>
        <w:t xml:space="preserve"> The data also includes temporal replicates; one site was sampled during both the 2013-2014 and 2014-2015 spawning seasons to test between-year differences, and one site sampled at the beginning and end of the 2007-2008 spawning season to test within-year differences.</w:t>
      </w:r>
      <w:r w:rsidR="00101607">
        <w:rPr>
          <w:rFonts w:ascii="Times New Roman" w:hAnsi="Times New Roman" w:cs="Times New Roman"/>
          <w:sz w:val="24"/>
          <w:szCs w:val="24"/>
        </w:rPr>
        <w:t xml:space="preserve"> </w:t>
      </w:r>
    </w:p>
    <w:p w:rsidR="00497CAB" w:rsidRDefault="00497CAB" w:rsidP="00497CAB">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data filtering and processing, genetic data is available for </w:t>
      </w:r>
      <w:r w:rsidR="003430EA">
        <w:rPr>
          <w:rFonts w:ascii="Times New Roman" w:hAnsi="Times New Roman" w:cs="Times New Roman"/>
          <w:sz w:val="24"/>
          <w:szCs w:val="24"/>
        </w:rPr>
        <w:t>253 individuals. Of the 253 individuals processed for genetic analysis,</w:t>
      </w:r>
      <w:r w:rsidR="006947BA">
        <w:rPr>
          <w:rFonts w:ascii="Times New Roman" w:hAnsi="Times New Roman" w:cs="Times New Roman"/>
          <w:sz w:val="24"/>
          <w:szCs w:val="24"/>
        </w:rPr>
        <w:t xml:space="preserve"> 198</w:t>
      </w:r>
      <w:r w:rsidR="003430EA">
        <w:rPr>
          <w:rFonts w:ascii="Times New Roman" w:hAnsi="Times New Roman" w:cs="Times New Roman"/>
          <w:sz w:val="24"/>
          <w:szCs w:val="24"/>
        </w:rPr>
        <w:t xml:space="preserve"> individuals have corresponding otolith data. </w:t>
      </w:r>
    </w:p>
    <w:p w:rsidR="008469B1" w:rsidRPr="000F1A7A" w:rsidRDefault="008469B1" w:rsidP="00497CAB">
      <w:pPr>
        <w:spacing w:line="276" w:lineRule="auto"/>
        <w:rPr>
          <w:rFonts w:ascii="Times New Roman" w:hAnsi="Times New Roman" w:cs="Times New Roman"/>
          <w:sz w:val="24"/>
          <w:szCs w:val="24"/>
        </w:rPr>
      </w:pPr>
      <w:r>
        <w:rPr>
          <w:rFonts w:ascii="Times New Roman" w:hAnsi="Times New Roman" w:cs="Times New Roman"/>
          <w:sz w:val="24"/>
          <w:szCs w:val="24"/>
        </w:rPr>
        <w:t xml:space="preserve">Genetic </w:t>
      </w:r>
      <w:r w:rsidR="00101607">
        <w:rPr>
          <w:rFonts w:ascii="Times New Roman" w:hAnsi="Times New Roman" w:cs="Times New Roman"/>
          <w:sz w:val="24"/>
          <w:szCs w:val="24"/>
        </w:rPr>
        <w:t>data collection</w:t>
      </w:r>
      <w:r>
        <w:rPr>
          <w:rFonts w:ascii="Times New Roman" w:hAnsi="Times New Roman" w:cs="Times New Roman"/>
          <w:sz w:val="24"/>
          <w:szCs w:val="24"/>
        </w:rPr>
        <w:t xml:space="preserve"> consisted of restriction-site associated DNA sequencing, which produced thousands of single nucleotide polymorphisms (referred to from here on as “markers”). DNA sequencing prep was conducted by </w:t>
      </w:r>
      <w:r w:rsidR="008861A9">
        <w:rPr>
          <w:rFonts w:ascii="Times New Roman" w:hAnsi="Times New Roman" w:cs="Times New Roman"/>
          <w:sz w:val="24"/>
          <w:szCs w:val="24"/>
        </w:rPr>
        <w:t xml:space="preserve">the Molecular Ecology Research Lab </w:t>
      </w:r>
      <w:r>
        <w:rPr>
          <w:rFonts w:ascii="Times New Roman" w:hAnsi="Times New Roman" w:cs="Times New Roman"/>
          <w:sz w:val="24"/>
          <w:szCs w:val="24"/>
        </w:rPr>
        <w:t xml:space="preserve">at the University of Washington, and sequencing completed </w:t>
      </w:r>
      <w:r w:rsidR="008861A9">
        <w:rPr>
          <w:rFonts w:ascii="Times New Roman" w:hAnsi="Times New Roman" w:cs="Times New Roman"/>
          <w:sz w:val="24"/>
          <w:szCs w:val="24"/>
        </w:rPr>
        <w:t>at</w:t>
      </w:r>
      <w:r>
        <w:rPr>
          <w:rFonts w:ascii="Times New Roman" w:hAnsi="Times New Roman" w:cs="Times New Roman"/>
          <w:sz w:val="24"/>
          <w:szCs w:val="24"/>
        </w:rPr>
        <w:t xml:space="preserve"> the University of Oregon’s Genomics </w:t>
      </w:r>
      <w:r w:rsidR="008861A9">
        <w:rPr>
          <w:rFonts w:ascii="Times New Roman" w:hAnsi="Times New Roman" w:cs="Times New Roman"/>
          <w:sz w:val="24"/>
          <w:szCs w:val="24"/>
        </w:rPr>
        <w:t>&amp; Cell Characterization Core Facility</w:t>
      </w:r>
      <w:r>
        <w:rPr>
          <w:rFonts w:ascii="Times New Roman" w:hAnsi="Times New Roman" w:cs="Times New Roman"/>
          <w:sz w:val="24"/>
          <w:szCs w:val="24"/>
        </w:rPr>
        <w:t xml:space="preserve">. Otoliths were processed and aged by the Alaska Fisheries Science </w:t>
      </w:r>
      <w:r w:rsidR="008861A9">
        <w:rPr>
          <w:rFonts w:ascii="Times New Roman" w:hAnsi="Times New Roman" w:cs="Times New Roman"/>
          <w:sz w:val="24"/>
          <w:szCs w:val="24"/>
        </w:rPr>
        <w:t>Center’s Age &amp; Growth Program. Otolith m</w:t>
      </w:r>
      <w:r>
        <w:rPr>
          <w:rFonts w:ascii="Times New Roman" w:hAnsi="Times New Roman" w:cs="Times New Roman"/>
          <w:sz w:val="24"/>
          <w:szCs w:val="24"/>
        </w:rPr>
        <w:t xml:space="preserve">icrochemical </w:t>
      </w:r>
      <w:r w:rsidR="00101607">
        <w:rPr>
          <w:rFonts w:ascii="Times New Roman" w:hAnsi="Times New Roman" w:cs="Times New Roman"/>
          <w:sz w:val="24"/>
          <w:szCs w:val="24"/>
        </w:rPr>
        <w:t>data collection</w:t>
      </w:r>
      <w:r>
        <w:rPr>
          <w:rFonts w:ascii="Times New Roman" w:hAnsi="Times New Roman" w:cs="Times New Roman"/>
          <w:sz w:val="24"/>
          <w:szCs w:val="24"/>
        </w:rPr>
        <w:t xml:space="preserve"> was completed by Age &amp; Growth Program lab technicians using the University of Oregon’s mass spectrometer. </w:t>
      </w:r>
    </w:p>
    <w:p w:rsidR="00AC0DB2" w:rsidRDefault="00AC0DB2" w:rsidP="00AC0DB2">
      <w:pPr>
        <w:rPr>
          <w:rFonts w:ascii="Times New Roman" w:hAnsi="Times New Roman" w:cs="Times New Roman"/>
          <w:b/>
          <w:sz w:val="24"/>
          <w:szCs w:val="24"/>
        </w:rPr>
      </w:pPr>
    </w:p>
    <w:p w:rsidR="000D37C4" w:rsidRDefault="000D37C4" w:rsidP="00AC0DB2">
      <w:pPr>
        <w:rPr>
          <w:rFonts w:ascii="Times New Roman" w:hAnsi="Times New Roman" w:cs="Times New Roman"/>
          <w:b/>
          <w:sz w:val="24"/>
          <w:szCs w:val="24"/>
        </w:rPr>
      </w:pPr>
    </w:p>
    <w:p w:rsidR="00101607" w:rsidRPr="00101607" w:rsidRDefault="00101607" w:rsidP="00AC0DB2">
      <w:pPr>
        <w:rPr>
          <w:rFonts w:ascii="Times New Roman" w:hAnsi="Times New Roman" w:cs="Times New Roman"/>
          <w:sz w:val="24"/>
          <w:szCs w:val="24"/>
        </w:rPr>
      </w:pPr>
      <w:r>
        <w:rPr>
          <w:rFonts w:ascii="Times New Roman" w:hAnsi="Times New Roman" w:cs="Times New Roman"/>
          <w:sz w:val="24"/>
          <w:szCs w:val="24"/>
        </w:rPr>
        <w:t>The combination of the two datasets is an exploratory analysis of how population structure differs, or remains the same, on evolutionary versus ecological timescales.</w:t>
      </w:r>
    </w:p>
    <w:p w:rsidR="00101607" w:rsidRDefault="008861A9" w:rsidP="00101607">
      <w:pPr>
        <w:rPr>
          <w:rFonts w:ascii="Times New Roman" w:hAnsi="Times New Roman" w:cs="Times New Roman"/>
          <w:sz w:val="24"/>
          <w:szCs w:val="24"/>
        </w:rPr>
      </w:pPr>
      <w:r>
        <w:rPr>
          <w:rFonts w:ascii="Times New Roman" w:hAnsi="Times New Roman" w:cs="Times New Roman"/>
          <w:sz w:val="24"/>
          <w:szCs w:val="24"/>
        </w:rPr>
        <w:t>The genetic data set can determine the population structure of Pacific cod around the Korean peninsula</w:t>
      </w:r>
      <w:r w:rsidR="00101607">
        <w:rPr>
          <w:rFonts w:ascii="Times New Roman" w:hAnsi="Times New Roman" w:cs="Times New Roman"/>
          <w:sz w:val="24"/>
          <w:szCs w:val="24"/>
        </w:rPr>
        <w:t xml:space="preserve"> on evolutionary timescales</w:t>
      </w:r>
      <w:r>
        <w:rPr>
          <w:rFonts w:ascii="Times New Roman" w:hAnsi="Times New Roman" w:cs="Times New Roman"/>
          <w:sz w:val="24"/>
          <w:szCs w:val="24"/>
        </w:rPr>
        <w:t xml:space="preserve">. </w:t>
      </w:r>
      <w:r w:rsidR="00101607">
        <w:rPr>
          <w:rFonts w:ascii="Times New Roman" w:hAnsi="Times New Roman" w:cs="Times New Roman"/>
          <w:sz w:val="24"/>
          <w:szCs w:val="24"/>
        </w:rPr>
        <w:t xml:space="preserve">The purpose of the otolith microchemistry analysis is to determine population structure on ecological timescales. To do so, multivariate analyses will be conducted on otolith microchemical concentrations of the bone layer at (1) the core of the otolith, representative of the body of water where the fish spent time as an early juvenile, and (2) the </w:t>
      </w:r>
      <w:r w:rsidR="00101607">
        <w:rPr>
          <w:rFonts w:ascii="Times New Roman" w:hAnsi="Times New Roman" w:cs="Times New Roman"/>
          <w:sz w:val="24"/>
          <w:szCs w:val="24"/>
        </w:rPr>
        <w:lastRenderedPageBreak/>
        <w:t>edge of the otolith, representative of the body of water where the fish was caught. This comparison will show the extent to which fish show site fidelity to their natal spawning population, or the extent to which there is mixing between genetically distinct populations on ecological timescales.</w:t>
      </w:r>
      <w:r w:rsidR="0049541D">
        <w:rPr>
          <w:rFonts w:ascii="Times New Roman" w:hAnsi="Times New Roman" w:cs="Times New Roman"/>
          <w:sz w:val="24"/>
          <w:szCs w:val="24"/>
        </w:rPr>
        <w:t xml:space="preserve"> </w:t>
      </w:r>
    </w:p>
    <w:p w:rsidR="00AC0DB2" w:rsidRPr="00AC0DB2" w:rsidRDefault="00AC0DB2" w:rsidP="00AC0DB2">
      <w:pPr>
        <w:rPr>
          <w:rFonts w:ascii="Times New Roman" w:hAnsi="Times New Roman" w:cs="Times New Roman"/>
          <w:b/>
          <w:sz w:val="24"/>
          <w:szCs w:val="24"/>
        </w:rPr>
      </w:pPr>
    </w:p>
    <w:p w:rsidR="00AC0DB2" w:rsidRPr="000D37C4" w:rsidRDefault="00274BA5" w:rsidP="00AC0DB2">
      <w:pPr>
        <w:rPr>
          <w:rFonts w:ascii="Times New Roman" w:hAnsi="Times New Roman" w:cs="Times New Roman"/>
          <w:sz w:val="24"/>
          <w:szCs w:val="24"/>
        </w:rPr>
      </w:pPr>
      <w:r>
        <w:rPr>
          <w:rFonts w:ascii="Times New Roman" w:hAnsi="Times New Roman" w:cs="Times New Roman"/>
          <w:sz w:val="24"/>
          <w:szCs w:val="24"/>
        </w:rPr>
        <w:t>It would be interesting to access existing environmental data (particularly water temperature</w:t>
      </w:r>
      <w:r w:rsidR="0049541D">
        <w:rPr>
          <w:rFonts w:ascii="Times New Roman" w:hAnsi="Times New Roman" w:cs="Times New Roman"/>
          <w:sz w:val="24"/>
          <w:szCs w:val="24"/>
        </w:rPr>
        <w:t xml:space="preserve"> data, given temperature-specific spawning behavior in Pacific cod</w:t>
      </w:r>
      <w:r>
        <w:rPr>
          <w:rFonts w:ascii="Times New Roman" w:hAnsi="Times New Roman" w:cs="Times New Roman"/>
          <w:sz w:val="24"/>
          <w:szCs w:val="24"/>
        </w:rPr>
        <w:t xml:space="preserve">) for the dates and locations where samples were taken. This is not readily available; I would contact the National Institute of Fisheries Science to see if they have a similar buoy system to NOAA, collecting continuous measurements of environmental variables at sea.  </w:t>
      </w:r>
    </w:p>
    <w:p w:rsidR="00AC0DB2" w:rsidRDefault="00AC0DB2" w:rsidP="00AC0DB2">
      <w:pPr>
        <w:rPr>
          <w:rFonts w:ascii="Times New Roman" w:hAnsi="Times New Roman" w:cs="Times New Roman"/>
          <w:sz w:val="24"/>
          <w:szCs w:val="24"/>
        </w:rPr>
      </w:pPr>
    </w:p>
    <w:p w:rsidR="00BF21D7" w:rsidRPr="00BF21D7" w:rsidRDefault="00BF21D7" w:rsidP="00AC0DB2">
      <w:pPr>
        <w:rPr>
          <w:rFonts w:ascii="Times New Roman" w:hAnsi="Times New Roman" w:cs="Times New Roman"/>
          <w:b/>
          <w:sz w:val="24"/>
          <w:szCs w:val="24"/>
        </w:rPr>
      </w:pPr>
      <w:r>
        <w:rPr>
          <w:rFonts w:ascii="Times New Roman" w:hAnsi="Times New Roman" w:cs="Times New Roman"/>
          <w:b/>
          <w:sz w:val="24"/>
          <w:szCs w:val="24"/>
        </w:rPr>
        <w:t>Variables</w:t>
      </w:r>
      <w:bookmarkStart w:id="0" w:name="_GoBack"/>
      <w:bookmarkEnd w:id="0"/>
    </w:p>
    <w:p w:rsidR="00AC0DB2" w:rsidRDefault="000D37C4" w:rsidP="00AC0DB2">
      <w:pPr>
        <w:rPr>
          <w:rFonts w:ascii="Times New Roman" w:hAnsi="Times New Roman" w:cs="Times New Roman"/>
          <w:sz w:val="24"/>
          <w:szCs w:val="24"/>
          <w:u w:val="single"/>
        </w:rPr>
      </w:pPr>
      <w:r>
        <w:rPr>
          <w:rFonts w:ascii="Times New Roman" w:hAnsi="Times New Roman" w:cs="Times New Roman"/>
          <w:sz w:val="24"/>
          <w:szCs w:val="24"/>
          <w:u w:val="single"/>
        </w:rPr>
        <w:t xml:space="preserve">All Possible Explanatory </w:t>
      </w:r>
      <w:r w:rsidR="00AC0DB2">
        <w:rPr>
          <w:rFonts w:ascii="Times New Roman" w:hAnsi="Times New Roman" w:cs="Times New Roman"/>
          <w:sz w:val="24"/>
          <w:szCs w:val="24"/>
          <w:u w:val="single"/>
        </w:rPr>
        <w:t>Variables</w:t>
      </w:r>
    </w:p>
    <w:tbl>
      <w:tblPr>
        <w:tblStyle w:val="TableGrid"/>
        <w:tblW w:w="0" w:type="auto"/>
        <w:tblLook w:val="04A0" w:firstRow="1" w:lastRow="0" w:firstColumn="1" w:lastColumn="0" w:noHBand="0" w:noVBand="1"/>
      </w:tblPr>
      <w:tblGrid>
        <w:gridCol w:w="1525"/>
        <w:gridCol w:w="5400"/>
      </w:tblGrid>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Site</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Sampling Site</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Season</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Sampling Spawning Season</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Region</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Sampling Region (West / South / East)</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TL</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Total length of fish (cm)</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W</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Weight of fish (g)</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GW</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Gonad weight of fish (g)</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Sex</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Sex of fish (M/F)</w:t>
            </w:r>
            <w:r w:rsidR="000D37C4">
              <w:rPr>
                <w:rFonts w:ascii="Times New Roman" w:hAnsi="Times New Roman" w:cs="Times New Roman"/>
                <w:sz w:val="24"/>
                <w:szCs w:val="24"/>
              </w:rPr>
              <w:t>*</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Maturity</w:t>
            </w:r>
          </w:p>
        </w:tc>
        <w:tc>
          <w:tcPr>
            <w:tcW w:w="5400"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Sexual maturity of fish at time of capture</w:t>
            </w:r>
            <w:r w:rsidR="000D37C4">
              <w:rPr>
                <w:rFonts w:ascii="Times New Roman" w:hAnsi="Times New Roman" w:cs="Times New Roman"/>
                <w:sz w:val="24"/>
                <w:szCs w:val="24"/>
              </w:rPr>
              <w:t>*</w:t>
            </w:r>
          </w:p>
        </w:tc>
      </w:tr>
      <w:tr w:rsidR="00101607" w:rsidTr="000D37C4">
        <w:tc>
          <w:tcPr>
            <w:tcW w:w="1525" w:type="dxa"/>
          </w:tcPr>
          <w:p w:rsidR="00101607" w:rsidRDefault="00101607" w:rsidP="00101607">
            <w:pPr>
              <w:rPr>
                <w:rFonts w:ascii="Times New Roman" w:hAnsi="Times New Roman" w:cs="Times New Roman"/>
                <w:sz w:val="24"/>
                <w:szCs w:val="24"/>
              </w:rPr>
            </w:pPr>
            <w:r>
              <w:rPr>
                <w:rFonts w:ascii="Times New Roman" w:hAnsi="Times New Roman" w:cs="Times New Roman"/>
                <w:sz w:val="24"/>
                <w:szCs w:val="24"/>
              </w:rPr>
              <w:t>Age</w:t>
            </w:r>
          </w:p>
        </w:tc>
        <w:tc>
          <w:tcPr>
            <w:tcW w:w="5400" w:type="dxa"/>
          </w:tcPr>
          <w:p w:rsidR="00101607" w:rsidRDefault="00101607" w:rsidP="000D37C4">
            <w:pPr>
              <w:rPr>
                <w:rFonts w:ascii="Times New Roman" w:hAnsi="Times New Roman" w:cs="Times New Roman"/>
                <w:sz w:val="24"/>
                <w:szCs w:val="24"/>
              </w:rPr>
            </w:pPr>
            <w:r>
              <w:rPr>
                <w:rFonts w:ascii="Times New Roman" w:hAnsi="Times New Roman" w:cs="Times New Roman"/>
                <w:sz w:val="24"/>
                <w:szCs w:val="24"/>
              </w:rPr>
              <w:t>Age of fish</w:t>
            </w:r>
            <w:r w:rsidR="000D37C4">
              <w:rPr>
                <w:rFonts w:ascii="Times New Roman" w:hAnsi="Times New Roman" w:cs="Times New Roman"/>
                <w:sz w:val="24"/>
                <w:szCs w:val="24"/>
              </w:rPr>
              <w:t>, as determined from otolith</w:t>
            </w:r>
            <w:r>
              <w:rPr>
                <w:rFonts w:ascii="Times New Roman" w:hAnsi="Times New Roman" w:cs="Times New Roman"/>
                <w:sz w:val="24"/>
                <w:szCs w:val="24"/>
              </w:rPr>
              <w:t xml:space="preserve"> (years)</w:t>
            </w:r>
          </w:p>
        </w:tc>
      </w:tr>
      <w:tr w:rsidR="000D37C4" w:rsidTr="000D37C4">
        <w:trPr>
          <w:trHeight w:val="305"/>
        </w:trPr>
        <w:tc>
          <w:tcPr>
            <w:tcW w:w="1525" w:type="dxa"/>
          </w:tcPr>
          <w:p w:rsidR="000D37C4" w:rsidRDefault="000D37C4" w:rsidP="00101607">
            <w:pPr>
              <w:rPr>
                <w:rFonts w:ascii="Times New Roman" w:hAnsi="Times New Roman" w:cs="Times New Roman"/>
                <w:sz w:val="24"/>
                <w:szCs w:val="24"/>
              </w:rPr>
            </w:pPr>
            <w:r>
              <w:rPr>
                <w:rFonts w:ascii="Times New Roman" w:hAnsi="Times New Roman" w:cs="Times New Roman"/>
                <w:sz w:val="24"/>
                <w:szCs w:val="24"/>
              </w:rPr>
              <w:t>OW</w:t>
            </w:r>
          </w:p>
        </w:tc>
        <w:tc>
          <w:tcPr>
            <w:tcW w:w="5400" w:type="dxa"/>
          </w:tcPr>
          <w:p w:rsidR="000D37C4" w:rsidRDefault="000D37C4" w:rsidP="00101607">
            <w:pPr>
              <w:rPr>
                <w:rFonts w:ascii="Times New Roman" w:hAnsi="Times New Roman" w:cs="Times New Roman"/>
                <w:sz w:val="24"/>
                <w:szCs w:val="24"/>
              </w:rPr>
            </w:pPr>
            <w:r>
              <w:rPr>
                <w:rFonts w:ascii="Times New Roman" w:hAnsi="Times New Roman" w:cs="Times New Roman"/>
                <w:sz w:val="24"/>
                <w:szCs w:val="24"/>
              </w:rPr>
              <w:t>Otolith weight (g)</w:t>
            </w:r>
          </w:p>
        </w:tc>
      </w:tr>
    </w:tbl>
    <w:p w:rsidR="00AC0DB2" w:rsidRDefault="00497CAB" w:rsidP="00AC0DB2">
      <w:pPr>
        <w:rPr>
          <w:rFonts w:ascii="Times New Roman" w:hAnsi="Times New Roman" w:cs="Times New Roman"/>
          <w:sz w:val="24"/>
          <w:szCs w:val="24"/>
        </w:rPr>
      </w:pPr>
      <w:r>
        <w:rPr>
          <w:rFonts w:ascii="Times New Roman" w:hAnsi="Times New Roman" w:cs="Times New Roman"/>
          <w:sz w:val="24"/>
          <w:szCs w:val="24"/>
        </w:rPr>
        <w:t>* Low confidence that these variables were correctly measured in the field. Will likely remove from final data set</w:t>
      </w:r>
      <w:r w:rsidR="000D37C4">
        <w:rPr>
          <w:rFonts w:ascii="Times New Roman" w:hAnsi="Times New Roman" w:cs="Times New Roman"/>
          <w:sz w:val="24"/>
          <w:szCs w:val="24"/>
        </w:rPr>
        <w:t>.</w:t>
      </w:r>
    </w:p>
    <w:p w:rsidR="00497CAB" w:rsidRDefault="00497CAB" w:rsidP="00AC0DB2">
      <w:pPr>
        <w:rPr>
          <w:rFonts w:ascii="Times New Roman" w:hAnsi="Times New Roman" w:cs="Times New Roman"/>
          <w:sz w:val="24"/>
          <w:szCs w:val="24"/>
        </w:rPr>
      </w:pPr>
    </w:p>
    <w:p w:rsidR="000D37C4" w:rsidRPr="000D37C4" w:rsidRDefault="000D37C4" w:rsidP="00AC0DB2">
      <w:pPr>
        <w:rPr>
          <w:rFonts w:ascii="Times New Roman" w:hAnsi="Times New Roman" w:cs="Times New Roman"/>
          <w:sz w:val="24"/>
          <w:szCs w:val="24"/>
          <w:u w:val="single"/>
        </w:rPr>
      </w:pPr>
      <w:r>
        <w:rPr>
          <w:rFonts w:ascii="Times New Roman" w:hAnsi="Times New Roman" w:cs="Times New Roman"/>
          <w:sz w:val="24"/>
          <w:szCs w:val="24"/>
          <w:u w:val="single"/>
        </w:rPr>
        <w:t>All Possible Response Variables</w:t>
      </w:r>
    </w:p>
    <w:p w:rsidR="00497CAB" w:rsidRDefault="00497CAB" w:rsidP="00497C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Genetic markers</w:t>
      </w:r>
    </w:p>
    <w:p w:rsidR="00497CAB" w:rsidRDefault="00497CAB" w:rsidP="00497CA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5,405 single nucleotide polymorphisms </w:t>
      </w:r>
      <w:r w:rsidR="000D37C4">
        <w:rPr>
          <w:rFonts w:ascii="Times New Roman" w:hAnsi="Times New Roman" w:cs="Times New Roman"/>
          <w:sz w:val="24"/>
          <w:szCs w:val="24"/>
        </w:rPr>
        <w:t>(SNPs), recorded as “Locus_”</w:t>
      </w:r>
    </w:p>
    <w:p w:rsidR="000D37C4" w:rsidRDefault="0049541D" w:rsidP="000D37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Otolith chemical markers</w:t>
      </w:r>
    </w:p>
    <w:p w:rsidR="0049541D" w:rsidRDefault="0049541D" w:rsidP="0049541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All chemicals are expressed as a </w:t>
      </w:r>
      <w:r>
        <w:rPr>
          <w:rFonts w:ascii="Times New Roman" w:hAnsi="Times New Roman" w:cs="Times New Roman"/>
          <w:i/>
          <w:sz w:val="24"/>
          <w:szCs w:val="24"/>
        </w:rPr>
        <w:t xml:space="preserve">relative </w:t>
      </w:r>
      <w:r>
        <w:rPr>
          <w:rFonts w:ascii="Times New Roman" w:hAnsi="Times New Roman" w:cs="Times New Roman"/>
          <w:sz w:val="24"/>
          <w:szCs w:val="24"/>
        </w:rPr>
        <w:t>concentration to a Calcium standard</w:t>
      </w:r>
    </w:p>
    <w:tbl>
      <w:tblPr>
        <w:tblStyle w:val="TableGrid"/>
        <w:tblW w:w="0" w:type="auto"/>
        <w:tblInd w:w="720" w:type="dxa"/>
        <w:tblLook w:val="04A0" w:firstRow="1" w:lastRow="0" w:firstColumn="1" w:lastColumn="0" w:noHBand="0" w:noVBand="1"/>
      </w:tblPr>
      <w:tblGrid>
        <w:gridCol w:w="1577"/>
        <w:gridCol w:w="2018"/>
        <w:gridCol w:w="4950"/>
      </w:tblGrid>
      <w:tr w:rsidR="00274BA5" w:rsidTr="00274BA5">
        <w:tc>
          <w:tcPr>
            <w:tcW w:w="1577" w:type="dxa"/>
          </w:tcPr>
          <w:p w:rsidR="00274BA5" w:rsidRPr="00274BA5" w:rsidRDefault="00274BA5" w:rsidP="000D37C4">
            <w:pPr>
              <w:rPr>
                <w:rFonts w:ascii="Times New Roman" w:hAnsi="Times New Roman" w:cs="Times New Roman"/>
                <w:b/>
                <w:sz w:val="24"/>
                <w:szCs w:val="24"/>
              </w:rPr>
            </w:pPr>
            <w:r>
              <w:rPr>
                <w:rFonts w:ascii="Times New Roman" w:hAnsi="Times New Roman" w:cs="Times New Roman"/>
                <w:b/>
                <w:sz w:val="24"/>
                <w:szCs w:val="24"/>
              </w:rPr>
              <w:t>Abbreviation</w:t>
            </w:r>
          </w:p>
        </w:tc>
        <w:tc>
          <w:tcPr>
            <w:tcW w:w="2018" w:type="dxa"/>
          </w:tcPr>
          <w:p w:rsidR="00274BA5" w:rsidRPr="00274BA5" w:rsidRDefault="00274BA5" w:rsidP="000D37C4">
            <w:pPr>
              <w:rPr>
                <w:rFonts w:ascii="Times New Roman" w:hAnsi="Times New Roman" w:cs="Times New Roman"/>
                <w:b/>
                <w:sz w:val="24"/>
                <w:szCs w:val="24"/>
              </w:rPr>
            </w:pPr>
            <w:r w:rsidRPr="00274BA5">
              <w:rPr>
                <w:rFonts w:ascii="Times New Roman" w:hAnsi="Times New Roman" w:cs="Times New Roman"/>
                <w:b/>
                <w:sz w:val="24"/>
                <w:szCs w:val="24"/>
              </w:rPr>
              <w:t>Element</w:t>
            </w:r>
          </w:p>
        </w:tc>
        <w:tc>
          <w:tcPr>
            <w:tcW w:w="4950" w:type="dxa"/>
          </w:tcPr>
          <w:p w:rsidR="00274BA5" w:rsidRPr="00274BA5" w:rsidRDefault="00274BA5" w:rsidP="000D37C4">
            <w:pPr>
              <w:rPr>
                <w:rFonts w:ascii="Times New Roman" w:hAnsi="Times New Roman" w:cs="Times New Roman"/>
                <w:b/>
                <w:sz w:val="24"/>
                <w:szCs w:val="24"/>
              </w:rPr>
            </w:pPr>
            <w:r>
              <w:rPr>
                <w:rFonts w:ascii="Times New Roman" w:hAnsi="Times New Roman" w:cs="Times New Roman"/>
                <w:b/>
                <w:sz w:val="24"/>
                <w:szCs w:val="24"/>
              </w:rPr>
              <w:t>Correlated with…</w:t>
            </w: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B11</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Boron</w:t>
            </w:r>
          </w:p>
        </w:tc>
        <w:tc>
          <w:tcPr>
            <w:tcW w:w="4950" w:type="dxa"/>
          </w:tcPr>
          <w:p w:rsidR="00274BA5" w:rsidRDefault="00274BA5" w:rsidP="00274BA5">
            <w:pPr>
              <w:rPr>
                <w:rFonts w:ascii="Times New Roman" w:hAnsi="Times New Roman" w:cs="Times New Roman"/>
                <w:sz w:val="24"/>
                <w:szCs w:val="24"/>
              </w:rPr>
            </w:pP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Ba138</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Barium 138</w:t>
            </w:r>
          </w:p>
        </w:tc>
        <w:tc>
          <w:tcPr>
            <w:tcW w:w="4950"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Salinity</w:t>
            </w:r>
            <w:r w:rsidR="005B1932">
              <w:rPr>
                <w:rFonts w:ascii="Times New Roman" w:hAnsi="Times New Roman" w:cs="Times New Roman"/>
                <w:sz w:val="24"/>
                <w:szCs w:val="24"/>
              </w:rPr>
              <w:t xml:space="preserve"> of water</w:t>
            </w: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Li7</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Lithium 7</w:t>
            </w:r>
          </w:p>
        </w:tc>
        <w:tc>
          <w:tcPr>
            <w:tcW w:w="4950" w:type="dxa"/>
          </w:tcPr>
          <w:p w:rsidR="00274BA5" w:rsidRDefault="00274BA5" w:rsidP="00274BA5">
            <w:pPr>
              <w:rPr>
                <w:rFonts w:ascii="Times New Roman" w:hAnsi="Times New Roman" w:cs="Times New Roman"/>
                <w:sz w:val="24"/>
                <w:szCs w:val="24"/>
              </w:rPr>
            </w:pP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Mg25</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Magnesium 25</w:t>
            </w:r>
          </w:p>
        </w:tc>
        <w:tc>
          <w:tcPr>
            <w:tcW w:w="4950" w:type="dxa"/>
          </w:tcPr>
          <w:p w:rsidR="00274BA5" w:rsidRDefault="005B1932" w:rsidP="005B1932">
            <w:pPr>
              <w:rPr>
                <w:rFonts w:ascii="Times New Roman" w:hAnsi="Times New Roman" w:cs="Times New Roman"/>
                <w:sz w:val="24"/>
                <w:szCs w:val="24"/>
              </w:rPr>
            </w:pPr>
            <w:r>
              <w:rPr>
                <w:rFonts w:ascii="Times New Roman" w:hAnsi="Times New Roman" w:cs="Times New Roman"/>
                <w:sz w:val="24"/>
                <w:szCs w:val="24"/>
              </w:rPr>
              <w:t>Heavy metals (magnesium) in water</w:t>
            </w: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Mn55</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Manganese 55</w:t>
            </w:r>
          </w:p>
        </w:tc>
        <w:tc>
          <w:tcPr>
            <w:tcW w:w="4950" w:type="dxa"/>
          </w:tcPr>
          <w:p w:rsidR="00274BA5" w:rsidRDefault="00274BA5" w:rsidP="00274BA5">
            <w:pPr>
              <w:rPr>
                <w:rFonts w:ascii="Times New Roman" w:hAnsi="Times New Roman" w:cs="Times New Roman"/>
                <w:sz w:val="24"/>
                <w:szCs w:val="24"/>
              </w:rPr>
            </w:pP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Pb208</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Lead 208</w:t>
            </w:r>
          </w:p>
        </w:tc>
        <w:tc>
          <w:tcPr>
            <w:tcW w:w="4950"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Heavy metals (lead) in water</w:t>
            </w: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lastRenderedPageBreak/>
              <w:t>Si86</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Silicon 86</w:t>
            </w:r>
          </w:p>
        </w:tc>
        <w:tc>
          <w:tcPr>
            <w:tcW w:w="4950" w:type="dxa"/>
          </w:tcPr>
          <w:p w:rsidR="00274BA5" w:rsidRDefault="00274BA5" w:rsidP="00274BA5">
            <w:pPr>
              <w:rPr>
                <w:rFonts w:ascii="Times New Roman" w:hAnsi="Times New Roman" w:cs="Times New Roman"/>
                <w:sz w:val="24"/>
                <w:szCs w:val="24"/>
              </w:rPr>
            </w:pPr>
          </w:p>
        </w:tc>
      </w:tr>
      <w:tr w:rsidR="00274BA5" w:rsidTr="00274BA5">
        <w:tc>
          <w:tcPr>
            <w:tcW w:w="1577"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Zn66</w:t>
            </w:r>
          </w:p>
        </w:tc>
        <w:tc>
          <w:tcPr>
            <w:tcW w:w="2018"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Zinc 66</w:t>
            </w:r>
          </w:p>
        </w:tc>
        <w:tc>
          <w:tcPr>
            <w:tcW w:w="4950" w:type="dxa"/>
          </w:tcPr>
          <w:p w:rsidR="00274BA5" w:rsidRDefault="00274BA5" w:rsidP="00274BA5">
            <w:pPr>
              <w:rPr>
                <w:rFonts w:ascii="Times New Roman" w:hAnsi="Times New Roman" w:cs="Times New Roman"/>
                <w:sz w:val="24"/>
                <w:szCs w:val="24"/>
              </w:rPr>
            </w:pPr>
            <w:r>
              <w:rPr>
                <w:rFonts w:ascii="Times New Roman" w:hAnsi="Times New Roman" w:cs="Times New Roman"/>
                <w:sz w:val="24"/>
                <w:szCs w:val="24"/>
              </w:rPr>
              <w:t>Heavy metals (zinc) in water</w:t>
            </w:r>
          </w:p>
        </w:tc>
      </w:tr>
    </w:tbl>
    <w:p w:rsidR="000D37C4" w:rsidRDefault="000D37C4" w:rsidP="00AC0DB2">
      <w:pPr>
        <w:rPr>
          <w:rFonts w:ascii="Times New Roman" w:hAnsi="Times New Roman" w:cs="Times New Roman"/>
          <w:sz w:val="24"/>
          <w:szCs w:val="24"/>
          <w:u w:val="single"/>
        </w:rPr>
      </w:pPr>
    </w:p>
    <w:p w:rsidR="00AC0DB2" w:rsidRDefault="00AC0DB2" w:rsidP="00AC0DB2">
      <w:pPr>
        <w:rPr>
          <w:rFonts w:ascii="Times New Roman" w:hAnsi="Times New Roman" w:cs="Times New Roman"/>
          <w:sz w:val="24"/>
          <w:szCs w:val="24"/>
          <w:u w:val="single"/>
        </w:rPr>
      </w:pPr>
      <w:r w:rsidRPr="00AC0DB2">
        <w:rPr>
          <w:rFonts w:ascii="Times New Roman" w:hAnsi="Times New Roman" w:cs="Times New Roman"/>
          <w:sz w:val="24"/>
          <w:szCs w:val="24"/>
          <w:u w:val="single"/>
        </w:rPr>
        <w:t>Individual Codes</w:t>
      </w:r>
    </w:p>
    <w:p w:rsidR="00AC0DB2" w:rsidRPr="00AC0DB2" w:rsidRDefault="00AC0DB2" w:rsidP="00AC0DB2">
      <w:pPr>
        <w:rPr>
          <w:rFonts w:ascii="Times New Roman" w:hAnsi="Times New Roman" w:cs="Times New Roman"/>
          <w:sz w:val="24"/>
          <w:szCs w:val="24"/>
        </w:rPr>
      </w:pPr>
      <w:r w:rsidRPr="00AC0DB2">
        <w:rPr>
          <w:rFonts w:ascii="Times New Roman" w:hAnsi="Times New Roman" w:cs="Times New Roman"/>
          <w:sz w:val="24"/>
          <w:szCs w:val="24"/>
        </w:rPr>
        <w:t>Each individual sample is c</w:t>
      </w:r>
      <w:r w:rsidR="00497CAB">
        <w:rPr>
          <w:rFonts w:ascii="Times New Roman" w:hAnsi="Times New Roman" w:cs="Times New Roman"/>
          <w:sz w:val="24"/>
          <w:szCs w:val="24"/>
        </w:rPr>
        <w:t>oded according to sampling site</w:t>
      </w:r>
      <w:r w:rsidRPr="00AC0DB2">
        <w:rPr>
          <w:rFonts w:ascii="Times New Roman" w:hAnsi="Times New Roman" w:cs="Times New Roman"/>
          <w:sz w:val="24"/>
          <w:szCs w:val="24"/>
        </w:rPr>
        <w:t xml:space="preserve">, </w:t>
      </w:r>
      <w:r w:rsidR="00497CAB">
        <w:rPr>
          <w:rFonts w:ascii="Times New Roman" w:hAnsi="Times New Roman" w:cs="Times New Roman"/>
          <w:sz w:val="24"/>
          <w:szCs w:val="24"/>
        </w:rPr>
        <w:t xml:space="preserve">sampling </w:t>
      </w:r>
      <w:r w:rsidRPr="00AC0DB2">
        <w:rPr>
          <w:rFonts w:ascii="Times New Roman" w:hAnsi="Times New Roman" w:cs="Times New Roman"/>
          <w:sz w:val="24"/>
          <w:szCs w:val="24"/>
        </w:rPr>
        <w:t>date</w:t>
      </w:r>
      <w:r w:rsidR="00497CAB">
        <w:rPr>
          <w:rFonts w:ascii="Times New Roman" w:hAnsi="Times New Roman" w:cs="Times New Roman"/>
          <w:sz w:val="24"/>
          <w:szCs w:val="24"/>
        </w:rPr>
        <w:t>. Following the code is a</w:t>
      </w:r>
      <w:r w:rsidRPr="00AC0DB2">
        <w:rPr>
          <w:rFonts w:ascii="Times New Roman" w:hAnsi="Times New Roman" w:cs="Times New Roman"/>
          <w:sz w:val="24"/>
          <w:szCs w:val="24"/>
        </w:rPr>
        <w:t xml:space="preserve"> specific numerical identifier for that sample</w:t>
      </w:r>
      <w:r w:rsidR="00497CAB">
        <w:rPr>
          <w:rFonts w:ascii="Times New Roman" w:hAnsi="Times New Roman" w:cs="Times New Roman"/>
          <w:sz w:val="24"/>
          <w:szCs w:val="24"/>
        </w:rPr>
        <w:t>, and any appropriate suffixes (see next section)</w:t>
      </w:r>
      <w:r w:rsidRPr="00AC0DB2">
        <w:rPr>
          <w:rFonts w:ascii="Times New Roman" w:hAnsi="Times New Roman" w:cs="Times New Roman"/>
          <w:sz w:val="24"/>
          <w:szCs w:val="24"/>
        </w:rPr>
        <w:t xml:space="preserve">. </w:t>
      </w:r>
    </w:p>
    <w:tbl>
      <w:tblPr>
        <w:tblStyle w:val="TableGrid"/>
        <w:tblW w:w="9355" w:type="dxa"/>
        <w:tblLook w:val="04A0" w:firstRow="1" w:lastRow="0" w:firstColumn="1" w:lastColumn="0" w:noHBand="0" w:noVBand="1"/>
      </w:tblPr>
      <w:tblGrid>
        <w:gridCol w:w="1577"/>
        <w:gridCol w:w="2648"/>
        <w:gridCol w:w="1800"/>
        <w:gridCol w:w="3330"/>
      </w:tblGrid>
      <w:tr w:rsidR="00E01E96" w:rsidTr="006947BA">
        <w:tc>
          <w:tcPr>
            <w:tcW w:w="1577"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Abbreviation</w:t>
            </w:r>
          </w:p>
        </w:tc>
        <w:tc>
          <w:tcPr>
            <w:tcW w:w="2648"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Sampling Site Location</w:t>
            </w:r>
          </w:p>
        </w:tc>
        <w:tc>
          <w:tcPr>
            <w:tcW w:w="1800"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Sampling Date</w:t>
            </w:r>
          </w:p>
        </w:tc>
        <w:tc>
          <w:tcPr>
            <w:tcW w:w="3330" w:type="dxa"/>
          </w:tcPr>
          <w:p w:rsidR="00E01E96" w:rsidRPr="00E01E96" w:rsidRDefault="00E01E96" w:rsidP="00AC0DB2">
            <w:pPr>
              <w:rPr>
                <w:rFonts w:ascii="Times New Roman" w:hAnsi="Times New Roman" w:cs="Times New Roman"/>
                <w:b/>
                <w:sz w:val="24"/>
                <w:szCs w:val="24"/>
              </w:rPr>
            </w:pPr>
            <w:r w:rsidRPr="00E01E96">
              <w:rPr>
                <w:rFonts w:ascii="Times New Roman" w:hAnsi="Times New Roman" w:cs="Times New Roman"/>
                <w:b/>
                <w:sz w:val="24"/>
                <w:szCs w:val="24"/>
              </w:rPr>
              <w:t>Analysis Group</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PO010715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Pohang</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1/7/2015</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Pohang 2015</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PO020515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Pohang</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2/5/2015</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Pohang 2015</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GE011215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 xml:space="preserve">Geoje </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1/12/15</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 2015</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GE012315</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1/23/2015</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 2015</w:t>
            </w:r>
          </w:p>
        </w:tc>
      </w:tr>
      <w:tr w:rsidR="00E01E96" w:rsidTr="006947BA">
        <w:tc>
          <w:tcPr>
            <w:tcW w:w="1577" w:type="dxa"/>
          </w:tcPr>
          <w:p w:rsidR="00E01E96" w:rsidRP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GEO020414</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2/4/2014</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Geoje 2014</w:t>
            </w:r>
          </w:p>
        </w:tc>
      </w:tr>
      <w:tr w:rsidR="00E01E96" w:rsidTr="006947BA">
        <w:tc>
          <w:tcPr>
            <w:tcW w:w="1577" w:type="dxa"/>
          </w:tcPr>
          <w:p w:rsidR="00E01E96" w:rsidRDefault="00497CAB" w:rsidP="00AC0DB2">
            <w:pPr>
              <w:rPr>
                <w:rFonts w:ascii="Times New Roman" w:hAnsi="Times New Roman" w:cs="Times New Roman"/>
                <w:sz w:val="24"/>
                <w:szCs w:val="24"/>
              </w:rPr>
            </w:pPr>
            <w:r>
              <w:rPr>
                <w:rFonts w:ascii="Times New Roman" w:hAnsi="Times New Roman" w:cs="Times New Roman"/>
                <w:sz w:val="24"/>
                <w:szCs w:val="24"/>
              </w:rPr>
              <w:t>YS</w:t>
            </w:r>
            <w:r w:rsidR="00E01E96" w:rsidRPr="00E01E96">
              <w:rPr>
                <w:rFonts w:ascii="Times New Roman" w:hAnsi="Times New Roman" w:cs="Times New Roman"/>
                <w:sz w:val="24"/>
                <w:szCs w:val="24"/>
              </w:rPr>
              <w:t>121316</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Yellow Sea Block 161</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12/13/2016</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Yellow Sea 2016</w:t>
            </w:r>
          </w:p>
        </w:tc>
      </w:tr>
      <w:tr w:rsidR="00E01E96" w:rsidTr="006947BA">
        <w:tc>
          <w:tcPr>
            <w:tcW w:w="1577" w:type="dxa"/>
          </w:tcPr>
          <w:p w:rsid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JB121807</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Jinhae Bay</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12/18/2007</w:t>
            </w:r>
          </w:p>
        </w:tc>
        <w:tc>
          <w:tcPr>
            <w:tcW w:w="3330" w:type="dxa"/>
          </w:tcPr>
          <w:p w:rsidR="00E01E96" w:rsidRDefault="006947BA" w:rsidP="00AC0DB2">
            <w:pPr>
              <w:rPr>
                <w:rFonts w:ascii="Times New Roman" w:hAnsi="Times New Roman" w:cs="Times New Roman"/>
                <w:sz w:val="24"/>
                <w:szCs w:val="24"/>
              </w:rPr>
            </w:pPr>
            <w:r>
              <w:rPr>
                <w:rFonts w:ascii="Times New Roman" w:hAnsi="Times New Roman" w:cs="Times New Roman"/>
                <w:sz w:val="24"/>
                <w:szCs w:val="24"/>
              </w:rPr>
              <w:t>Jinhae Bay 2007, Early Spawn</w:t>
            </w:r>
          </w:p>
        </w:tc>
      </w:tr>
      <w:tr w:rsidR="00E01E96" w:rsidTr="006947BA">
        <w:tc>
          <w:tcPr>
            <w:tcW w:w="1577" w:type="dxa"/>
          </w:tcPr>
          <w:p w:rsidR="00E01E96" w:rsidRPr="00E01E96" w:rsidRDefault="00E01E96" w:rsidP="00AC0DB2">
            <w:pPr>
              <w:rPr>
                <w:rFonts w:ascii="Times New Roman" w:hAnsi="Times New Roman" w:cs="Times New Roman"/>
                <w:sz w:val="24"/>
                <w:szCs w:val="24"/>
              </w:rPr>
            </w:pPr>
            <w:r w:rsidRPr="00E01E96">
              <w:rPr>
                <w:rFonts w:ascii="Times New Roman" w:hAnsi="Times New Roman" w:cs="Times New Roman"/>
                <w:sz w:val="24"/>
                <w:szCs w:val="24"/>
              </w:rPr>
              <w:t>JB021108</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 xml:space="preserve">Jinhae Bay </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2/11/2008</w:t>
            </w:r>
          </w:p>
        </w:tc>
        <w:tc>
          <w:tcPr>
            <w:tcW w:w="3330" w:type="dxa"/>
          </w:tcPr>
          <w:p w:rsidR="00E01E96" w:rsidRDefault="00E01E96" w:rsidP="006947BA">
            <w:pPr>
              <w:rPr>
                <w:rFonts w:ascii="Times New Roman" w:hAnsi="Times New Roman" w:cs="Times New Roman"/>
                <w:sz w:val="24"/>
                <w:szCs w:val="24"/>
              </w:rPr>
            </w:pPr>
            <w:r>
              <w:rPr>
                <w:rFonts w:ascii="Times New Roman" w:hAnsi="Times New Roman" w:cs="Times New Roman"/>
                <w:sz w:val="24"/>
                <w:szCs w:val="24"/>
              </w:rPr>
              <w:t xml:space="preserve">Jinhae Bay 2007, Late </w:t>
            </w:r>
            <w:r w:rsidR="006947BA">
              <w:rPr>
                <w:rFonts w:ascii="Times New Roman" w:hAnsi="Times New Roman" w:cs="Times New Roman"/>
                <w:sz w:val="24"/>
                <w:szCs w:val="24"/>
              </w:rPr>
              <w:t>Spawn</w:t>
            </w:r>
          </w:p>
        </w:tc>
      </w:tr>
      <w:tr w:rsidR="00E01E96" w:rsidTr="006947BA">
        <w:tc>
          <w:tcPr>
            <w:tcW w:w="1577" w:type="dxa"/>
          </w:tcPr>
          <w:p w:rsidR="00E01E96" w:rsidRPr="00E01E96" w:rsidRDefault="00E01E96" w:rsidP="00AC0DB2">
            <w:pPr>
              <w:rPr>
                <w:rFonts w:ascii="Times New Roman" w:hAnsi="Times New Roman" w:cs="Times New Roman"/>
                <w:sz w:val="24"/>
                <w:szCs w:val="24"/>
              </w:rPr>
            </w:pPr>
            <w:r>
              <w:rPr>
                <w:rFonts w:ascii="Times New Roman" w:hAnsi="Times New Roman" w:cs="Times New Roman"/>
                <w:sz w:val="24"/>
                <w:szCs w:val="24"/>
              </w:rPr>
              <w:t>JUK07</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Jukbyeon</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12/10/2007</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Jukbyeon 2007</w:t>
            </w:r>
          </w:p>
        </w:tc>
      </w:tr>
      <w:tr w:rsidR="00E01E96" w:rsidTr="006947BA">
        <w:tc>
          <w:tcPr>
            <w:tcW w:w="1577"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BOR07</w:t>
            </w:r>
          </w:p>
        </w:tc>
        <w:tc>
          <w:tcPr>
            <w:tcW w:w="2648"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Boryeong</w:t>
            </w:r>
          </w:p>
        </w:tc>
        <w:tc>
          <w:tcPr>
            <w:tcW w:w="180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1/24/2007</w:t>
            </w:r>
          </w:p>
        </w:tc>
        <w:tc>
          <w:tcPr>
            <w:tcW w:w="3330"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Boryeong 2007</w:t>
            </w:r>
          </w:p>
        </w:tc>
      </w:tr>
    </w:tbl>
    <w:p w:rsidR="00AC0DB2" w:rsidRPr="00AC0DB2" w:rsidRDefault="00AC0DB2" w:rsidP="00AC0DB2">
      <w:pPr>
        <w:rPr>
          <w:rFonts w:ascii="Times New Roman" w:hAnsi="Times New Roman" w:cs="Times New Roman"/>
          <w:sz w:val="24"/>
          <w:szCs w:val="24"/>
        </w:rPr>
      </w:pPr>
    </w:p>
    <w:p w:rsidR="00AC0DB2" w:rsidRDefault="00AC0DB2" w:rsidP="00AC0DB2">
      <w:pPr>
        <w:rPr>
          <w:rFonts w:ascii="Times New Roman" w:hAnsi="Times New Roman" w:cs="Times New Roman"/>
          <w:sz w:val="24"/>
          <w:szCs w:val="24"/>
        </w:rPr>
      </w:pPr>
      <w:r>
        <w:rPr>
          <w:rFonts w:ascii="Times New Roman" w:hAnsi="Times New Roman" w:cs="Times New Roman"/>
          <w:sz w:val="24"/>
          <w:szCs w:val="24"/>
          <w:u w:val="single"/>
        </w:rPr>
        <w:t xml:space="preserve">Individual Suffixes </w:t>
      </w:r>
    </w:p>
    <w:p w:rsidR="00AC0DB2" w:rsidRDefault="00497CAB" w:rsidP="00AC0DB2">
      <w:pPr>
        <w:rPr>
          <w:rFonts w:ascii="Times New Roman" w:hAnsi="Times New Roman" w:cs="Times New Roman"/>
          <w:sz w:val="24"/>
          <w:szCs w:val="24"/>
        </w:rPr>
      </w:pPr>
      <w:r>
        <w:rPr>
          <w:rFonts w:ascii="Times New Roman" w:hAnsi="Times New Roman" w:cs="Times New Roman"/>
          <w:sz w:val="24"/>
          <w:szCs w:val="24"/>
        </w:rPr>
        <w:t>Describe g</w:t>
      </w:r>
      <w:r w:rsidR="00AC0DB2">
        <w:rPr>
          <w:rFonts w:ascii="Times New Roman" w:hAnsi="Times New Roman" w:cs="Times New Roman"/>
          <w:sz w:val="24"/>
          <w:szCs w:val="24"/>
        </w:rPr>
        <w:t xml:space="preserve">enetic data only. Suffixes on individual codes provide an additional description of how the sample was processed. This was included in the data set because the difference in processing may affect data quality, and so these samples were tracked through data filtering steps. </w:t>
      </w:r>
    </w:p>
    <w:tbl>
      <w:tblPr>
        <w:tblStyle w:val="TableGrid"/>
        <w:tblW w:w="0" w:type="auto"/>
        <w:tblLook w:val="04A0" w:firstRow="1" w:lastRow="0" w:firstColumn="1" w:lastColumn="0" w:noHBand="0" w:noVBand="1"/>
      </w:tblPr>
      <w:tblGrid>
        <w:gridCol w:w="2785"/>
        <w:gridCol w:w="6565"/>
      </w:tblGrid>
      <w:tr w:rsidR="00AC0DB2" w:rsidTr="00AC0DB2">
        <w:tc>
          <w:tcPr>
            <w:tcW w:w="2785" w:type="dxa"/>
          </w:tcPr>
          <w:p w:rsidR="00AC0DB2" w:rsidRPr="00AC0DB2" w:rsidRDefault="00AC0DB2" w:rsidP="00AC0DB2">
            <w:pPr>
              <w:rPr>
                <w:rFonts w:ascii="Times New Roman" w:hAnsi="Times New Roman" w:cs="Times New Roman"/>
                <w:sz w:val="24"/>
                <w:szCs w:val="24"/>
              </w:rPr>
            </w:pPr>
            <w:r>
              <w:rPr>
                <w:rFonts w:ascii="Times New Roman" w:hAnsi="Times New Roman" w:cs="Times New Roman"/>
                <w:sz w:val="24"/>
                <w:szCs w:val="24"/>
              </w:rPr>
              <w:t>Suffix</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Processing</w:t>
            </w:r>
          </w:p>
        </w:tc>
      </w:tr>
      <w:tr w:rsidR="00AC0DB2" w:rsidTr="00AC0DB2">
        <w:tc>
          <w:tcPr>
            <w:tcW w:w="278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“_2”</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 xml:space="preserve">The sample used in the data set is a re-run of the original sample. This may have been done because of contamination, low read depth, or low DNA quality. </w:t>
            </w:r>
          </w:p>
        </w:tc>
      </w:tr>
      <w:tr w:rsidR="00AC0DB2" w:rsidTr="00AC0DB2">
        <w:tc>
          <w:tcPr>
            <w:tcW w:w="278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“_c”</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 xml:space="preserve">The sample used in the data set is a combination of two separate DNA extractions, because of low quantities of DNA in either extraction. </w:t>
            </w:r>
          </w:p>
        </w:tc>
      </w:tr>
      <w:tr w:rsidR="00AC0DB2" w:rsidTr="00AC0DB2">
        <w:tc>
          <w:tcPr>
            <w:tcW w:w="278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“_rep”</w:t>
            </w:r>
          </w:p>
        </w:tc>
        <w:tc>
          <w:tcPr>
            <w:tcW w:w="6565" w:type="dxa"/>
          </w:tcPr>
          <w:p w:rsidR="00AC0DB2" w:rsidRDefault="00AC0DB2" w:rsidP="00AC0DB2">
            <w:pPr>
              <w:rPr>
                <w:rFonts w:ascii="Times New Roman" w:hAnsi="Times New Roman" w:cs="Times New Roman"/>
                <w:sz w:val="24"/>
                <w:szCs w:val="24"/>
              </w:rPr>
            </w:pPr>
            <w:r>
              <w:rPr>
                <w:rFonts w:ascii="Times New Roman" w:hAnsi="Times New Roman" w:cs="Times New Roman"/>
                <w:sz w:val="24"/>
                <w:szCs w:val="24"/>
              </w:rPr>
              <w:t xml:space="preserve">The sample used in the data set was originally prepared as a replicate for an existing sample. The replicate showed higher quality or read depth, and so was maintained in the data set instead of the original sample. </w:t>
            </w:r>
          </w:p>
        </w:tc>
      </w:tr>
      <w:tr w:rsidR="00E01E96" w:rsidTr="00AC0DB2">
        <w:tc>
          <w:tcPr>
            <w:tcW w:w="2785" w:type="dxa"/>
          </w:tcPr>
          <w:p w:rsidR="00E01E96" w:rsidRDefault="00E01E96" w:rsidP="00AC0DB2">
            <w:pPr>
              <w:rPr>
                <w:rFonts w:ascii="Times New Roman" w:hAnsi="Times New Roman" w:cs="Times New Roman"/>
                <w:sz w:val="24"/>
                <w:szCs w:val="24"/>
              </w:rPr>
            </w:pPr>
            <w:r>
              <w:rPr>
                <w:rFonts w:ascii="Times New Roman" w:hAnsi="Times New Roman" w:cs="Times New Roman"/>
                <w:sz w:val="24"/>
                <w:szCs w:val="24"/>
              </w:rPr>
              <w:t>“.1”</w:t>
            </w:r>
          </w:p>
        </w:tc>
        <w:tc>
          <w:tcPr>
            <w:tcW w:w="6565" w:type="dxa"/>
          </w:tcPr>
          <w:p w:rsidR="00E01E96" w:rsidRDefault="00E01E96" w:rsidP="00497CAB">
            <w:pPr>
              <w:rPr>
                <w:rFonts w:ascii="Times New Roman" w:hAnsi="Times New Roman" w:cs="Times New Roman"/>
                <w:sz w:val="24"/>
                <w:szCs w:val="24"/>
              </w:rPr>
            </w:pPr>
            <w:r>
              <w:rPr>
                <w:rFonts w:ascii="Times New Roman" w:hAnsi="Times New Roman" w:cs="Times New Roman"/>
                <w:sz w:val="24"/>
                <w:szCs w:val="24"/>
              </w:rPr>
              <w:t xml:space="preserve">The sample was put through paired end sequencing. Whereas </w:t>
            </w:r>
            <w:r w:rsidR="00497CAB">
              <w:rPr>
                <w:rFonts w:ascii="Times New Roman" w:hAnsi="Times New Roman" w:cs="Times New Roman"/>
                <w:sz w:val="24"/>
                <w:szCs w:val="24"/>
              </w:rPr>
              <w:t>only forward sequencing reads are available for samples without this prefix, “.1” samples have both forward and reverse reads available for data analysis. The reverse reads will not be used for this project.</w:t>
            </w:r>
          </w:p>
        </w:tc>
      </w:tr>
    </w:tbl>
    <w:p w:rsidR="00AC0DB2" w:rsidRPr="00AC0DB2" w:rsidRDefault="00AC0DB2" w:rsidP="00AC0DB2">
      <w:pPr>
        <w:rPr>
          <w:rFonts w:ascii="Times New Roman" w:hAnsi="Times New Roman" w:cs="Times New Roman"/>
          <w:sz w:val="24"/>
          <w:szCs w:val="24"/>
        </w:rPr>
      </w:pPr>
    </w:p>
    <w:sectPr w:rsidR="00AC0DB2" w:rsidRPr="00AC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F78FE"/>
    <w:multiLevelType w:val="hybridMultilevel"/>
    <w:tmpl w:val="2E304660"/>
    <w:lvl w:ilvl="0" w:tplc="07CE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90E01"/>
    <w:multiLevelType w:val="hybridMultilevel"/>
    <w:tmpl w:val="C374F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549CE"/>
    <w:multiLevelType w:val="hybridMultilevel"/>
    <w:tmpl w:val="41FA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B2"/>
    <w:rsid w:val="000D37C4"/>
    <w:rsid w:val="00101607"/>
    <w:rsid w:val="00274BA5"/>
    <w:rsid w:val="003430EA"/>
    <w:rsid w:val="00353AA4"/>
    <w:rsid w:val="0049541D"/>
    <w:rsid w:val="00497CAB"/>
    <w:rsid w:val="005B1932"/>
    <w:rsid w:val="006947BA"/>
    <w:rsid w:val="008469B1"/>
    <w:rsid w:val="008861A9"/>
    <w:rsid w:val="00AC0DB2"/>
    <w:rsid w:val="00BF21D7"/>
    <w:rsid w:val="00E0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40645-C2B3-47A1-99E3-CA7EB68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6</cp:revision>
  <dcterms:created xsi:type="dcterms:W3CDTF">2018-01-08T17:03:00Z</dcterms:created>
  <dcterms:modified xsi:type="dcterms:W3CDTF">2018-01-10T00:22:00Z</dcterms:modified>
</cp:coreProperties>
</file>