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34D23" w14:textId="77777777" w:rsidR="005A2D7C" w:rsidRPr="00AC7C29" w:rsidRDefault="00A53ED1" w:rsidP="005A2D7C">
      <w:pPr>
        <w:pStyle w:val="Heading1"/>
        <w:rPr>
          <w:rFonts w:ascii="Times New Roman" w:hAnsi="Times New Roman" w:cs="Times New Roman"/>
        </w:rPr>
      </w:pPr>
      <w:r>
        <w:rPr>
          <w:rFonts w:ascii="Times New Roman" w:hAnsi="Times New Roman" w:cs="Times New Roman"/>
        </w:rPr>
        <w:t>Appendix</w:t>
      </w:r>
    </w:p>
    <w:p w14:paraId="23C31C32" w14:textId="77777777" w:rsidR="005A2D7C" w:rsidRPr="00AC7C29" w:rsidRDefault="005A2D7C" w:rsidP="005A2D7C">
      <w:pPr>
        <w:rPr>
          <w:rFonts w:ascii="Times New Roman" w:hAnsi="Times New Roman" w:cs="Times New Roman"/>
          <w:b/>
        </w:rPr>
      </w:pPr>
    </w:p>
    <w:p w14:paraId="0F1D73F9" w14:textId="77777777" w:rsidR="005A2D7C" w:rsidRPr="00AC7C29" w:rsidRDefault="00A53ED1" w:rsidP="005A2D7C">
      <w:pPr>
        <w:rPr>
          <w:rFonts w:ascii="Times New Roman" w:hAnsi="Times New Roman" w:cs="Times New Roman"/>
        </w:rPr>
      </w:pPr>
      <w:r>
        <w:rPr>
          <w:rFonts w:ascii="Times New Roman" w:hAnsi="Times New Roman" w:cs="Times New Roman"/>
        </w:rPr>
        <w:t>Table A.</w:t>
      </w:r>
      <w:r w:rsidR="005A2D7C" w:rsidRPr="00AC7C29">
        <w:rPr>
          <w:rFonts w:ascii="Times New Roman" w:hAnsi="Times New Roman" w:cs="Times New Roman"/>
        </w:rPr>
        <w:t xml:space="preserve">1. Fisher behavioral and demographic variables derived and used in the clustering and random forest analyses. Variables with asterisks </w:t>
      </w:r>
      <w:proofErr w:type="gramStart"/>
      <w:r w:rsidR="005A2D7C" w:rsidRPr="00AC7C29">
        <w:rPr>
          <w:rFonts w:ascii="Times New Roman" w:hAnsi="Times New Roman" w:cs="Times New Roman"/>
        </w:rPr>
        <w:t>were removed</w:t>
      </w:r>
      <w:proofErr w:type="gramEnd"/>
      <w:r w:rsidR="005A2D7C" w:rsidRPr="00AC7C29">
        <w:rPr>
          <w:rFonts w:ascii="Times New Roman" w:hAnsi="Times New Roman" w:cs="Times New Roman"/>
        </w:rPr>
        <w:t xml:space="preserve"> from the final clustering analysis due to high collinearity with other variables.</w:t>
      </w:r>
    </w:p>
    <w:p w14:paraId="77F6C7B5" w14:textId="77777777" w:rsidR="005A2D7C" w:rsidRPr="00AC7C29" w:rsidRDefault="005A2D7C" w:rsidP="005A2D7C">
      <w:pPr>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86"/>
        <w:gridCol w:w="2284"/>
        <w:gridCol w:w="4990"/>
      </w:tblGrid>
      <w:tr w:rsidR="005A2D7C" w:rsidRPr="00E113DF" w14:paraId="6B1861D7" w14:textId="77777777" w:rsidTr="00B85770">
        <w:trPr>
          <w:trHeight w:val="405"/>
        </w:trPr>
        <w:tc>
          <w:tcPr>
            <w:tcW w:w="20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586A0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Category</w:t>
            </w:r>
          </w:p>
        </w:tc>
        <w:tc>
          <w:tcPr>
            <w:tcW w:w="228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7E98C4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Variable</w:t>
            </w:r>
          </w:p>
        </w:tc>
        <w:tc>
          <w:tcPr>
            <w:tcW w:w="498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5B8516B"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Definition</w:t>
            </w:r>
          </w:p>
        </w:tc>
      </w:tr>
      <w:tr w:rsidR="005A2D7C" w:rsidRPr="00E113DF" w14:paraId="7D0B3394" w14:textId="77777777" w:rsidTr="00B85770">
        <w:trPr>
          <w:trHeight w:val="345"/>
        </w:trPr>
        <w:tc>
          <w:tcPr>
            <w:tcW w:w="2086" w:type="dxa"/>
            <w:vMerge w:val="restart"/>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6E6B7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Port Use</w:t>
            </w: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41E9A51"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Ports per Trip</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512CB39"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Average ports visited per trip</w:t>
            </w:r>
          </w:p>
        </w:tc>
      </w:tr>
      <w:tr w:rsidR="005A2D7C" w:rsidRPr="00E113DF" w14:paraId="13ADB0F6" w14:textId="77777777" w:rsidTr="00B85770">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1C6A7DB"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D225666"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Ports per Month</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95958BB"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Number of ports visited per month</w:t>
            </w:r>
          </w:p>
        </w:tc>
      </w:tr>
      <w:tr w:rsidR="005A2D7C" w:rsidRPr="00E113DF" w14:paraId="255E5835" w14:textId="77777777" w:rsidTr="00B85770">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96A9B99"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DFE1F8"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 Diversity</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ECD96E" w14:textId="77777777" w:rsidR="005A2D7C" w:rsidRPr="00E113DF" w:rsidRDefault="00B85770" w:rsidP="00B85770">
            <w:pPr>
              <w:widowControl w:val="0"/>
              <w:rPr>
                <w:rFonts w:ascii="Times New Roman" w:hAnsi="Times New Roman" w:cs="Times New Roman"/>
                <w:szCs w:val="20"/>
              </w:rPr>
            </w:pPr>
            <w:r>
              <w:rPr>
                <w:rFonts w:ascii="Times New Roman" w:eastAsia="Times New Roman" w:hAnsi="Times New Roman" w:cs="Times New Roman"/>
                <w:szCs w:val="24"/>
              </w:rPr>
              <w:t>Inverse Simpson</w:t>
            </w:r>
            <w:r w:rsidR="005A2D7C" w:rsidRPr="00E113DF">
              <w:rPr>
                <w:rFonts w:ascii="Times New Roman" w:eastAsia="Times New Roman" w:hAnsi="Times New Roman" w:cs="Times New Roman"/>
                <w:szCs w:val="24"/>
              </w:rPr>
              <w:t xml:space="preserve"> diversity index of port use across the entire season</w:t>
            </w:r>
          </w:p>
        </w:tc>
      </w:tr>
      <w:tr w:rsidR="005A2D7C" w:rsidRPr="00E113DF" w14:paraId="3197DCE0" w14:textId="77777777" w:rsidTr="00B85770">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6ABDD9"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20A7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Total Ports*</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577E5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Total number of ports visited across the entire season</w:t>
            </w:r>
          </w:p>
        </w:tc>
      </w:tr>
      <w:tr w:rsidR="005A2D7C" w:rsidRPr="00E113DF" w14:paraId="0D9D4DC3" w14:textId="77777777" w:rsidTr="00B85770">
        <w:trPr>
          <w:trHeight w:val="345"/>
        </w:trPr>
        <w:tc>
          <w:tcPr>
            <w:tcW w:w="2086" w:type="dxa"/>
            <w:vMerge w:val="restart"/>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A01597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Trip Length</w:t>
            </w: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0D1E6C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Trip Distance*</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F8F0AC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distance per fishing trip</w:t>
            </w:r>
          </w:p>
        </w:tc>
      </w:tr>
      <w:tr w:rsidR="005A2D7C" w:rsidRPr="00E113DF" w14:paraId="6C4C91AF" w14:textId="77777777" w:rsidTr="00B85770">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6BCE0AB"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703EE1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Trip Duration</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D2C13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number of days per fishing trip</w:t>
            </w:r>
          </w:p>
        </w:tc>
      </w:tr>
      <w:tr w:rsidR="005A2D7C" w:rsidRPr="00E113DF" w14:paraId="7E1AAC47" w14:textId="77777777" w:rsidTr="00B85770">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07DD3E5"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636D2A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SD Trip Distance*</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3B4D8C"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Standard deviation of distance traveled per trip</w:t>
            </w:r>
          </w:p>
        </w:tc>
      </w:tr>
      <w:tr w:rsidR="005A2D7C" w:rsidRPr="00E113DF" w14:paraId="5D71776B" w14:textId="77777777" w:rsidTr="00B85770">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01761"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9DC89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SD Trip Duration</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2444D4"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Standard deviation of days per fishing trip</w:t>
            </w:r>
          </w:p>
        </w:tc>
      </w:tr>
      <w:tr w:rsidR="005A2D7C" w:rsidRPr="00E113DF" w14:paraId="78F5ECC3" w14:textId="77777777" w:rsidTr="00B85770">
        <w:trPr>
          <w:trHeight w:val="615"/>
        </w:trPr>
        <w:tc>
          <w:tcPr>
            <w:tcW w:w="2086" w:type="dxa"/>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FF2E31"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Participation in Other Fisheries</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9C045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Season Length</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5F3EB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Day-of-season on which fisher reached 90% of eventual, cumulative catch</w:t>
            </w:r>
          </w:p>
        </w:tc>
      </w:tr>
      <w:tr w:rsidR="005A2D7C" w:rsidRPr="00E113DF" w14:paraId="4DC7CC4F" w14:textId="77777777" w:rsidTr="00B85770">
        <w:trPr>
          <w:trHeight w:val="61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D88DF77"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6F19DF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Non-Dungeness Revenue</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E46D0E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of revenue from non-Dungeness crab fisheries</w:t>
            </w:r>
          </w:p>
        </w:tc>
      </w:tr>
      <w:tr w:rsidR="005A2D7C" w:rsidRPr="00E113DF" w14:paraId="0BBCE29D" w14:textId="77777777" w:rsidTr="00B85770">
        <w:trPr>
          <w:trHeight w:val="61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F5CF9D"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2A768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Non-Dungeness Tickets*</w:t>
            </w:r>
          </w:p>
        </w:tc>
        <w:tc>
          <w:tcPr>
            <w:tcW w:w="4989"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910FCB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of all fish tickets from non-Dungeness crab fisheries</w:t>
            </w:r>
          </w:p>
        </w:tc>
      </w:tr>
      <w:tr w:rsidR="005A2D7C" w:rsidRPr="00E113DF" w14:paraId="00BB3C94" w14:textId="77777777" w:rsidTr="00B85770">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4E4F7D"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4C5FE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Revenue Diversity</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08E80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Inverse Simpson diversity index of revenue by fished species</w:t>
            </w:r>
          </w:p>
        </w:tc>
      </w:tr>
      <w:tr w:rsidR="005A2D7C" w:rsidRPr="00E113DF" w14:paraId="2D908374" w14:textId="77777777" w:rsidTr="00B85770">
        <w:trPr>
          <w:trHeight w:val="615"/>
        </w:trPr>
        <w:tc>
          <w:tcPr>
            <w:tcW w:w="20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0FA4E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Risk-taking</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6E38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Risk Taking</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C47A3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Propensity to fish in high winds. Proportion of trip pursued where the 95% quantile of wind speed was greater than 7.5 m/s</w:t>
            </w:r>
          </w:p>
        </w:tc>
      </w:tr>
      <w:tr w:rsidR="005A2D7C" w:rsidRPr="00E113DF" w14:paraId="0E34A92B" w14:textId="77777777" w:rsidTr="00B85770">
        <w:trPr>
          <w:trHeight w:val="885"/>
        </w:trPr>
        <w:tc>
          <w:tcPr>
            <w:tcW w:w="2086" w:type="dxa"/>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0FCC93"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Exploration &amp; Mobility</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27F3EA"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Location Entropy</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C5254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Cumulative choice entropy, measuring how likely a vessel is to fish in new versus past locations. The metric used is the 90th percentile of maximum choice entropy per vessel per season</w:t>
            </w:r>
          </w:p>
        </w:tc>
      </w:tr>
      <w:tr w:rsidR="005A2D7C" w:rsidRPr="00E113DF" w14:paraId="681BB008" w14:textId="77777777" w:rsidTr="00B85770">
        <w:trPr>
          <w:trHeight w:val="88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54A9C92"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6542D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Home Range Size</w:t>
            </w:r>
          </w:p>
        </w:tc>
        <w:tc>
          <w:tcPr>
            <w:tcW w:w="498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C3658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Home range defined as the area of the convex hull surrounding all of a vessel's VMS pings during the season, excluding the top 5% spatial outliers</w:t>
            </w:r>
          </w:p>
        </w:tc>
      </w:tr>
    </w:tbl>
    <w:p w14:paraId="093D0CA2" w14:textId="77777777" w:rsidR="005A2D7C" w:rsidRPr="00AC7C29" w:rsidRDefault="00A53ED1" w:rsidP="005A2D7C">
      <w:pPr>
        <w:rPr>
          <w:rFonts w:ascii="Times New Roman" w:hAnsi="Times New Roman" w:cs="Times New Roman"/>
        </w:rPr>
      </w:pPr>
      <w:r>
        <w:rPr>
          <w:rFonts w:ascii="Times New Roman" w:hAnsi="Times New Roman" w:cs="Times New Roman"/>
        </w:rPr>
        <w:lastRenderedPageBreak/>
        <w:t>Table A.</w:t>
      </w:r>
      <w:r w:rsidR="005A2D7C" w:rsidRPr="00AC7C29">
        <w:rPr>
          <w:rFonts w:ascii="Times New Roman" w:hAnsi="Times New Roman" w:cs="Times New Roman"/>
        </w:rPr>
        <w:t xml:space="preserve">2. </w:t>
      </w:r>
      <w:commentRangeStart w:id="0"/>
      <w:r w:rsidR="005A2D7C" w:rsidRPr="00AC7C29">
        <w:rPr>
          <w:rFonts w:ascii="Times New Roman" w:hAnsi="Times New Roman" w:cs="Times New Roman"/>
        </w:rPr>
        <w:t xml:space="preserve">Tukey’s </w:t>
      </w:r>
      <w:commentRangeEnd w:id="0"/>
      <w:r w:rsidR="00B85770">
        <w:rPr>
          <w:rStyle w:val="CommentReference"/>
        </w:rPr>
        <w:commentReference w:id="0"/>
      </w:r>
      <w:r w:rsidR="005A2D7C" w:rsidRPr="00AC7C29">
        <w:rPr>
          <w:rFonts w:ascii="Times New Roman" w:hAnsi="Times New Roman" w:cs="Times New Roman"/>
        </w:rPr>
        <w:t xml:space="preserve">honest significant difference analysis on seasonal non-Dungeness crab revenue per vessel, corresponding to Figure 3b in the main text. MHW: marine heatwave period; Non-MHW: non-marine heatwave period. Bolded rows are </w:t>
      </w:r>
      <w:proofErr w:type="gramStart"/>
      <w:r w:rsidR="005A2D7C" w:rsidRPr="00AC7C29">
        <w:rPr>
          <w:rFonts w:ascii="Times New Roman" w:hAnsi="Times New Roman" w:cs="Times New Roman"/>
        </w:rPr>
        <w:t>within-behavioral-group</w:t>
      </w:r>
      <w:proofErr w:type="gramEnd"/>
      <w:r w:rsidR="005A2D7C" w:rsidRPr="00AC7C29">
        <w:rPr>
          <w:rFonts w:ascii="Times New Roman" w:hAnsi="Times New Roman" w:cs="Times New Roman"/>
        </w:rPr>
        <w:t>, between-period comparisons. Of these within-group comparisons, differences with a p-value&lt;0.05 are indicated with stars in Fig. 3b.</w:t>
      </w:r>
    </w:p>
    <w:p w14:paraId="061A61A5" w14:textId="77777777" w:rsidR="005A2D7C" w:rsidRPr="00AC7C29" w:rsidRDefault="005A2D7C" w:rsidP="005A2D7C">
      <w:pPr>
        <w:rPr>
          <w:rFonts w:ascii="Times New Roman" w:hAnsi="Times New Roman" w:cs="Times New Roman"/>
        </w:rPr>
      </w:pPr>
    </w:p>
    <w:tbl>
      <w:tblPr>
        <w:tblW w:w="9366" w:type="dxa"/>
        <w:tblBorders>
          <w:top w:val="nil"/>
          <w:left w:val="nil"/>
          <w:bottom w:val="nil"/>
          <w:right w:val="nil"/>
          <w:insideH w:val="nil"/>
          <w:insideV w:val="nil"/>
        </w:tblBorders>
        <w:tblLayout w:type="fixed"/>
        <w:tblLook w:val="0600" w:firstRow="0" w:lastRow="0" w:firstColumn="0" w:lastColumn="0" w:noHBand="1" w:noVBand="1"/>
      </w:tblPr>
      <w:tblGrid>
        <w:gridCol w:w="2294"/>
        <w:gridCol w:w="2429"/>
        <w:gridCol w:w="1110"/>
        <w:gridCol w:w="930"/>
        <w:gridCol w:w="917"/>
        <w:gridCol w:w="1686"/>
      </w:tblGrid>
      <w:tr w:rsidR="005A2D7C" w:rsidRPr="00AC7C29" w14:paraId="5EFF0D8E" w14:textId="77777777" w:rsidTr="00B85770">
        <w:trPr>
          <w:trHeight w:val="34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0B2A9"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1</w:t>
            </w:r>
          </w:p>
        </w:tc>
        <w:tc>
          <w:tcPr>
            <w:tcW w:w="242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2CE52"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1D9DD"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Difference</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F9DFE"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Lower</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8D07A5"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Upper</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B0DDA"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Adjusted p-value</w:t>
            </w:r>
          </w:p>
        </w:tc>
      </w:tr>
      <w:tr w:rsidR="005A2D7C" w:rsidRPr="00AC7C29" w14:paraId="3728B0A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7E49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CA47A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CC6B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19014</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1030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-51710</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EBA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89738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FB639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0.992</w:t>
            </w:r>
          </w:p>
        </w:tc>
      </w:tr>
      <w:tr w:rsidR="005A2D7C" w:rsidRPr="00AC7C29" w14:paraId="01CC962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1EB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5FAFC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7AE6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162616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A6C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114336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3783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210897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744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7285F4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94F5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55185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93B5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376497</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028B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311019</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15F3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441974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84C0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5B0F630"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DC51B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374C9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8233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26136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8CA2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-27947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046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80219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24B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0.826</w:t>
            </w:r>
          </w:p>
        </w:tc>
      </w:tr>
      <w:tr w:rsidR="005A2D7C" w:rsidRPr="00AC7C29" w14:paraId="4927F0BC"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161C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7127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1438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83978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96DB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21786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2B1C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146169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AA6D1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0.001</w:t>
            </w:r>
          </w:p>
        </w:tc>
      </w:tr>
      <w:tr w:rsidR="005A2D7C" w:rsidRPr="00AC7C29" w14:paraId="67732ED1"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4B2CF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09FE2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86EB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408766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6B698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352788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CF34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464743</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CCE4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6D5985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802B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EDB4F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4483A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846315</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B9DA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773088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BA61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919542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EE64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60BDA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264B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1EF7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DCC7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143602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93B3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80018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113B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207187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519E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E0ACC3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5811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B4606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234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357483</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DE1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280027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D7F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434938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552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074007"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992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78CE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8ECAD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7122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891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-60974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CE9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75217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7E05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1.000</w:t>
            </w:r>
          </w:p>
        </w:tc>
      </w:tr>
      <w:tr w:rsidR="005A2D7C" w:rsidRPr="00AC7C29" w14:paraId="33ADEF8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02A2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CD08C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7B85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64964</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C835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-9734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BF232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139662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B487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0.143</w:t>
            </w:r>
          </w:p>
        </w:tc>
      </w:tr>
      <w:tr w:rsidR="005A2D7C" w:rsidRPr="00AC7C29" w14:paraId="685073AF"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B57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C79F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F324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389751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9715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320141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DE76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459361</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246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D234B1C"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72F52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34180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89F72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827301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DB07E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743193</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C05D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911410</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99EF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2B7E17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5368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0AC71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83BD1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213880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9834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156187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F156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271574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541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r w:rsidR="005A2D7C" w:rsidRPr="00AC7C29" w14:paraId="624AB42E"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0B98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E9D46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5FF9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-136481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9EBC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-180822</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6776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-92139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DE68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0F658FD"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F336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940FC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ED7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-78639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08D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-132573</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3945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-24704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8E87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7475E0A"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098C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B292C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4C0A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246149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EBFC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199515</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0D0B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292783</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50ED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8D0978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FA34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5818E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F8F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683699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06BC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617341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382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750057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198D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219A5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26E8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66683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8CA8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-350361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3EF1B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-412991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CAD9C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-287731</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12B1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15CAF50"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2B28F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D057E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C8987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-292519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E41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-362271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88AA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-222768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9B56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4347025"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BE71B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1C872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7942E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32269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075A4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-32004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F13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96542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D3C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0.795</w:t>
            </w:r>
          </w:p>
        </w:tc>
      </w:tr>
      <w:tr w:rsidR="005A2D7C" w:rsidRPr="00AC7C29" w14:paraId="162DED6D"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F1D9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DF4E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D254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469819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F7AC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390071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208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549566</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A8B4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77F740B"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A1EC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7B8A4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421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57842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3FB4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-1344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794C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117027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295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0.061</w:t>
            </w:r>
          </w:p>
        </w:tc>
      </w:tr>
      <w:tr w:rsidR="005A2D7C" w:rsidRPr="00AC7C29" w14:paraId="43E3FDE9"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3A33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A1B7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BDE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382630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E1D2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330012</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16F7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435248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DB2E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BF3210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0B8E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112C0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42E9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820180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1D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749488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4194E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890872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9C47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C1FCF13"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7304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13339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ED2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324788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3AC8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263866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F887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385709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254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9BE45C8"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7BDF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1F205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991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762338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0CCA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685266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797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839410</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A669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49EF19B"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7F9D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87EA4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3332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437550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12418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365398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7D67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509702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C77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40A7B30E" w14:textId="77777777" w:rsidR="005A2D7C" w:rsidRPr="00AC7C29" w:rsidRDefault="005A2D7C" w:rsidP="005A2D7C">
      <w:pPr>
        <w:rPr>
          <w:rFonts w:ascii="Times New Roman" w:hAnsi="Times New Roman" w:cs="Times New Roman"/>
        </w:rPr>
      </w:pPr>
    </w:p>
    <w:p w14:paraId="7C8D0190"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r w:rsidR="00A53ED1">
        <w:rPr>
          <w:rFonts w:ascii="Times New Roman" w:hAnsi="Times New Roman" w:cs="Times New Roman"/>
        </w:rPr>
        <w:lastRenderedPageBreak/>
        <w:t>Table A.</w:t>
      </w:r>
      <w:r w:rsidRPr="00AC7C29">
        <w:rPr>
          <w:rFonts w:ascii="Times New Roman" w:hAnsi="Times New Roman" w:cs="Times New Roman"/>
        </w:rPr>
        <w:t xml:space="preserve">3. Tukey’s honest significant difference analysis on seasonal home range size (in square km) per vessel, corresponding to Figure 4b in the main text. MHW: marine heatwave period; Non-MHW: non-marine heatwave period. Bolded rows are </w:t>
      </w:r>
      <w:proofErr w:type="gramStart"/>
      <w:r w:rsidRPr="00AC7C29">
        <w:rPr>
          <w:rFonts w:ascii="Times New Roman" w:hAnsi="Times New Roman" w:cs="Times New Roman"/>
        </w:rPr>
        <w:t>within-behavioral-group</w:t>
      </w:r>
      <w:proofErr w:type="gramEnd"/>
      <w:r w:rsidRPr="00AC7C29">
        <w:rPr>
          <w:rFonts w:ascii="Times New Roman" w:hAnsi="Times New Roman" w:cs="Times New Roman"/>
        </w:rPr>
        <w:t>, between-period comparisons. Of these within-group comparisons, differences with a p-value&lt;0.05 are indicated with stars in Fig. 4b.</w:t>
      </w:r>
    </w:p>
    <w:p w14:paraId="4881FD94" w14:textId="77777777" w:rsidR="005A2D7C" w:rsidRPr="00AC7C29" w:rsidRDefault="005A2D7C" w:rsidP="005A2D7C">
      <w:pPr>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9"/>
        <w:gridCol w:w="2149"/>
        <w:gridCol w:w="1161"/>
        <w:gridCol w:w="1161"/>
        <w:gridCol w:w="1161"/>
        <w:gridCol w:w="1579"/>
      </w:tblGrid>
      <w:tr w:rsidR="005A2D7C" w:rsidRPr="00AC7C29" w14:paraId="00FC79DC" w14:textId="77777777" w:rsidTr="00B85770">
        <w:trPr>
          <w:trHeight w:val="34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9F1CE"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1</w:t>
            </w:r>
          </w:p>
        </w:tc>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E39E9"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083D4"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Difference</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E09E0"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Lower</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0D9026"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Upper</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FB700"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Adjusted p-value</w:t>
            </w:r>
          </w:p>
        </w:tc>
      </w:tr>
      <w:tr w:rsidR="005A2D7C" w:rsidRPr="00AC7C29" w14:paraId="02F6722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B8DE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DF3AA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AAB9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14.9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537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-924.2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D9C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954.1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85D0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1.000</w:t>
            </w:r>
          </w:p>
        </w:tc>
      </w:tr>
      <w:tr w:rsidR="005A2D7C" w:rsidRPr="00AC7C29" w14:paraId="39841F67"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84E4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31A4A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68E8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386.0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15E40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-231.0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D9891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1003.0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CA85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0.553</w:t>
            </w:r>
          </w:p>
        </w:tc>
      </w:tr>
      <w:tr w:rsidR="005A2D7C" w:rsidRPr="00AC7C29" w14:paraId="0F989D2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5728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F89E0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2863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391.9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3137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-489.3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F8EC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1273.1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474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0.880</w:t>
            </w:r>
          </w:p>
        </w:tc>
      </w:tr>
      <w:tr w:rsidR="005A2D7C" w:rsidRPr="00AC7C29" w14:paraId="6EA65FFB"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0833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47478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FB87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2378.2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A4B6C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1734.2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59C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3022.3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E606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8E3944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D227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E0C41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CF86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3305.1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744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2545.8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DDD1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4064.3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A7DD5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B6EA212"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CEFD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49E8D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662D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3913.4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B7B3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3248.4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720EF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4578.4</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B4355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962DA14"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C5C1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769AA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6E11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5342.7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5F79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4494.1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B813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6191.3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C67AD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549EB9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54FA8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1C990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8CA3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371.1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34E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-492.1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0503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1234.2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514ED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0.898</w:t>
            </w:r>
          </w:p>
        </w:tc>
      </w:tr>
      <w:tr w:rsidR="005A2D7C" w:rsidRPr="00AC7C29" w14:paraId="01459BB9"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ED74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2F5318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A027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376.9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DD4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-691.1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EAFC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1445.0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97D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0.963</w:t>
            </w:r>
          </w:p>
        </w:tc>
      </w:tr>
      <w:tr w:rsidR="005A2D7C" w:rsidRPr="00AC7C29" w14:paraId="13960CC2"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3BB8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EE3A8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753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2363.3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CC9D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1480.6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7979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3246.0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E6F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A1E3804"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4259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D438F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9A9E2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3290.1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2BF2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2320.2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CD5D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4260.1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5B2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825B65D"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79E8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6ABB1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9990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3898.5</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0C30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3000.4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634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4796.6</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6E364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687080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1BC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38014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6487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5327.8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74D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4286.4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0213B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6369.2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BA3C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38A35C"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4AA1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1E7EC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25F0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455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-793.8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DC97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805.6</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1622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1.000</w:t>
            </w:r>
          </w:p>
        </w:tc>
      </w:tr>
      <w:tr w:rsidR="005A2D7C" w:rsidRPr="00AC7C29" w14:paraId="47CBF85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FF15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3A662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EC8C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1992.3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A555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1465.2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992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2519.3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4B83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C493CC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3CE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0DEA2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DD1BB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2919.1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CCF6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2256.1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DD54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3582.0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5BA8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87215B0"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E69C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1CC0F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2F2F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3527.4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F823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2974.9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2357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4079.9</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A01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C3FC807"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B6F33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9CEBC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0F167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4956.7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E1B9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4193.0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53E7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5720.4</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9D6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52DB718"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E9BDA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1DE5D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6729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1986.4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66173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1165.6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9674F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2807.1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1566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2CA3751"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5D46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41841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A9E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2913.2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6534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51D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3827.1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815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61D581"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8D4F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CF37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88DBD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3521.6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6854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2684.3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14854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4358.8</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4AF3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2337891"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8A31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A63C9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E66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4950.8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DCEA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3961.4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F13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5940.3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DEDF9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A0F60A4"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54A0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1622B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FCD4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926.8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B413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238.6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6E8A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1615.0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B2EBD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0.001</w:t>
            </w:r>
          </w:p>
        </w:tc>
      </w:tr>
      <w:tr w:rsidR="005A2D7C" w:rsidRPr="00AC7C29" w14:paraId="45DEDC23"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B47D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011D1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6B8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1535.2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B327A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952.6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64E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2117.7</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07DE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3D0C3DF"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FF9C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0D9FE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B661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2964.5</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9252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2178.8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4037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3750.2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6D1F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10F5D24"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F71A3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50EB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243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608.4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E2326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-99.4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43F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1316.2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715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0.154</w:t>
            </w:r>
          </w:p>
        </w:tc>
      </w:tr>
      <w:tr w:rsidR="005A2D7C" w:rsidRPr="00AC7C29" w14:paraId="1AC8237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4E00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C458D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141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2037.7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81B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1155.1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50B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2920.2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57C25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43A1CD"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5FA4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5F526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926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1429.3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FFB1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626.3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0D12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2232.2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40A8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54A2EC05" w14:textId="77777777" w:rsidR="005A2D7C" w:rsidRPr="00AC7C29" w:rsidRDefault="005A2D7C" w:rsidP="005A2D7C">
      <w:pPr>
        <w:rPr>
          <w:rFonts w:ascii="Times New Roman" w:hAnsi="Times New Roman" w:cs="Times New Roman"/>
        </w:rPr>
      </w:pPr>
    </w:p>
    <w:p w14:paraId="09455EA7"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454CE730" w14:textId="77777777" w:rsidR="005A2D7C" w:rsidRPr="00AC7C29" w:rsidRDefault="00A53ED1" w:rsidP="005A2D7C">
      <w:pPr>
        <w:rPr>
          <w:rFonts w:ascii="Times New Roman" w:hAnsi="Times New Roman" w:cs="Times New Roman"/>
        </w:rPr>
      </w:pPr>
      <w:r>
        <w:rPr>
          <w:rFonts w:ascii="Times New Roman" w:hAnsi="Times New Roman" w:cs="Times New Roman"/>
        </w:rPr>
        <w:lastRenderedPageBreak/>
        <w:t>Table A.</w:t>
      </w:r>
      <w:r w:rsidR="005A2D7C" w:rsidRPr="00AC7C29">
        <w:rPr>
          <w:rFonts w:ascii="Times New Roman" w:hAnsi="Times New Roman" w:cs="Times New Roman"/>
        </w:rPr>
        <w:t xml:space="preserve">4. Tukey’s honest significant difference analysis on seasonal profit per vessel, corresponding to Figure 5b in the main text. MHW: marine heatwave period; Non-MHW: non-marine heatwave period. Bolded rows are </w:t>
      </w:r>
      <w:proofErr w:type="gramStart"/>
      <w:r w:rsidR="005A2D7C" w:rsidRPr="00AC7C29">
        <w:rPr>
          <w:rFonts w:ascii="Times New Roman" w:hAnsi="Times New Roman" w:cs="Times New Roman"/>
        </w:rPr>
        <w:t>within-behavioral-group</w:t>
      </w:r>
      <w:proofErr w:type="gramEnd"/>
      <w:r w:rsidR="005A2D7C" w:rsidRPr="00AC7C29">
        <w:rPr>
          <w:rFonts w:ascii="Times New Roman" w:hAnsi="Times New Roman" w:cs="Times New Roman"/>
        </w:rPr>
        <w:t>, between-period comparisons. Of these within-group comparisons, differences with a p-value&lt;0.05 are indicated with stars in Fig. 5b.</w:t>
      </w:r>
    </w:p>
    <w:p w14:paraId="324DF0F5" w14:textId="77777777" w:rsidR="005A2D7C" w:rsidRPr="00AC7C29" w:rsidRDefault="005A2D7C" w:rsidP="005A2D7C">
      <w:pPr>
        <w:rPr>
          <w:rFonts w:ascii="Times New Roman" w:hAnsi="Times New Roman" w:cs="Times New Roman"/>
        </w:rPr>
      </w:pPr>
    </w:p>
    <w:tbl>
      <w:tblPr>
        <w:tblW w:w="9353" w:type="dxa"/>
        <w:tblBorders>
          <w:top w:val="nil"/>
          <w:left w:val="nil"/>
          <w:bottom w:val="nil"/>
          <w:right w:val="nil"/>
          <w:insideH w:val="nil"/>
          <w:insideV w:val="nil"/>
        </w:tblBorders>
        <w:tblLayout w:type="fixed"/>
        <w:tblLook w:val="0600" w:firstRow="0" w:lastRow="0" w:firstColumn="0" w:lastColumn="0" w:noHBand="1" w:noVBand="1"/>
      </w:tblPr>
      <w:tblGrid>
        <w:gridCol w:w="2312"/>
        <w:gridCol w:w="2221"/>
        <w:gridCol w:w="1185"/>
        <w:gridCol w:w="1062"/>
        <w:gridCol w:w="874"/>
        <w:gridCol w:w="1699"/>
      </w:tblGrid>
      <w:tr w:rsidR="005A2D7C" w:rsidRPr="00AC7C29" w14:paraId="4B0A53A1" w14:textId="77777777" w:rsidTr="00B85770">
        <w:trPr>
          <w:trHeight w:val="34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1BCA5"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Group 1</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EF761"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Group 2</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544BE"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Difference</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AF448"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Lower</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A3E07"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Upper</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A8482"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Adjusted p-value</w:t>
            </w:r>
          </w:p>
        </w:tc>
      </w:tr>
      <w:tr w:rsidR="005A2D7C" w:rsidRPr="00AC7C29" w14:paraId="4AC2F92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37309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50CAC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11D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6532</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66BA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-20938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DCF6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34003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B3A9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0.996</w:t>
            </w:r>
          </w:p>
        </w:tc>
      </w:tr>
      <w:tr w:rsidR="005A2D7C" w:rsidRPr="00AC7C29" w14:paraId="5F4718B6"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D78F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76FB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AB2B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-2143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BD4C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-21592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B530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17305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C8C8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1.000</w:t>
            </w:r>
          </w:p>
        </w:tc>
      </w:tr>
      <w:tr w:rsidR="005A2D7C" w:rsidRPr="00AC7C29" w14:paraId="1984EAC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BF4E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3E31C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7A70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20129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FC9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-5354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7ED2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45613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1B0B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0.244</w:t>
            </w:r>
          </w:p>
        </w:tc>
      </w:tr>
      <w:tr w:rsidR="005A2D7C" w:rsidRPr="00AC7C29" w14:paraId="4AE80DB8"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03BD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73CB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18E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41291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E0A1B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19782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8053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62800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5A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256AE8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329A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41D56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A4427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71946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74A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47704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C122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96187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036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E73047A"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7212A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43B2C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DF8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96469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C49F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73885</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D68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119054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D3C6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8D9D26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7F739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3502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8088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161547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CA4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133127</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AF9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189966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3E94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CB787A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A031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06BB9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56748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-8676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14A7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-33416</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3896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16064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A44A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0.964</w:t>
            </w:r>
          </w:p>
        </w:tc>
      </w:tr>
      <w:tr w:rsidR="005A2D7C" w:rsidRPr="00AC7C29" w14:paraId="6CD5B157"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C60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7F013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F9AB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13597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E32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-16123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D96F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43317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44EF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0.863</w:t>
            </w:r>
          </w:p>
        </w:tc>
      </w:tr>
      <w:tr w:rsidR="005A2D7C" w:rsidRPr="00AC7C29" w14:paraId="74007A07"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15A7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F8EE8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3CD0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34759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DFF9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8368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82AF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61149</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9E250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0.002</w:t>
            </w:r>
          </w:p>
        </w:tc>
      </w:tr>
      <w:tr w:rsidR="005A2D7C" w:rsidRPr="00AC7C29" w14:paraId="2FC50A12"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6469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E000C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AA2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65413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8D5E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36752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3ED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94075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89F5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1B9483D"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022F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EB249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6B4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89937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D4CA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62663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6352C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117211</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C670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BC8AFD3"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53E0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FA56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829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155014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78AB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122742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90622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187287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207F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20AB190"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E1FD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E98F4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A1B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22273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D1C3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-241</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036E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44787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18373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0.055</w:t>
            </w:r>
          </w:p>
        </w:tc>
      </w:tr>
      <w:tr w:rsidR="005A2D7C" w:rsidRPr="00AC7C29" w14:paraId="5041809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ABBE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17578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66C6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43434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F97D6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25544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4C34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61325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C792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639EEA2"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F51D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359E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DDB8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74089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C6CC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52992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56C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95186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8F08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782A14"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84847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DB55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8076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98613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153C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79442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81D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117783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1F09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F8C2D1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2E47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342AC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939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163690</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A774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137900</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000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189480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795A5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270CA1F"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B025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w:t>
            </w:r>
            <w:r w:rsidRPr="00AC7C29">
              <w:rPr>
                <w:rFonts w:ascii="Times New Roman" w:hAnsi="Times New Roman" w:cs="Times New Roman"/>
                <w:sz w:val="20"/>
                <w:szCs w:val="20"/>
              </w:rPr>
              <w:lastRenderedPageBreak/>
              <w:t>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85401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F851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21161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F19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-3154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2022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45477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2A79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0.142</w:t>
            </w:r>
          </w:p>
        </w:tc>
      </w:tr>
      <w:tr w:rsidR="005A2D7C" w:rsidRPr="00AC7C29" w14:paraId="014C2C2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6C7E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30B69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8F9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51816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1A9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25053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2D0D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78580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FE7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2B250B3"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723C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35091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AEE0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76340</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A7C9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51068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0AF5A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101612</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F4CC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459F89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EE96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DBD59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D501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141417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16DE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110818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9DB5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172016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FEC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362401"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A22A1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35BCE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BB5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30655</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85CE0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7644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D40E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53665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FA26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0.001</w:t>
            </w:r>
          </w:p>
        </w:tc>
      </w:tr>
      <w:tr w:rsidR="005A2D7C" w:rsidRPr="00AC7C29" w14:paraId="1182E85E"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102B5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5C18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89DF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55178</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41EF2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33921</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018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76436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7EB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56B86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19279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1032E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DB5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120256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75F4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92879</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F514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147633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D0D5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F4F4351"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DE8F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0E39F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3BA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24524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F5E4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505</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009F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48543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AB8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0.041</w:t>
            </w:r>
          </w:p>
        </w:tc>
      </w:tr>
      <w:tr w:rsidR="005A2D7C" w:rsidRPr="00AC7C29" w14:paraId="56B6342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66DE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429A2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060D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89601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1264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60029</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645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119174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1C24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BC88780"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B451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96281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C148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65077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C5EA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36847</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7FD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93308</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109F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4702FE82" w14:textId="77777777" w:rsidR="005A2D7C" w:rsidRPr="00AC7C29" w:rsidRDefault="005A2D7C" w:rsidP="005A2D7C">
      <w:pPr>
        <w:rPr>
          <w:rFonts w:ascii="Times New Roman" w:hAnsi="Times New Roman" w:cs="Times New Roman"/>
        </w:rPr>
      </w:pPr>
    </w:p>
    <w:p w14:paraId="58EAA63B" w14:textId="77777777" w:rsidR="005A2D7C" w:rsidRPr="00AC7C29" w:rsidRDefault="005A2D7C" w:rsidP="005A2D7C">
      <w:pPr>
        <w:pStyle w:val="Heading2"/>
        <w:rPr>
          <w:rFonts w:ascii="Times New Roman" w:hAnsi="Times New Roman" w:cs="Times New Roman"/>
          <w:b/>
        </w:rPr>
      </w:pPr>
      <w:bookmarkStart w:id="1" w:name="_b66g90w73sc3" w:colFirst="0" w:colLast="0"/>
      <w:bookmarkEnd w:id="1"/>
      <w:r w:rsidRPr="00AC7C29">
        <w:rPr>
          <w:rFonts w:ascii="Times New Roman" w:hAnsi="Times New Roman" w:cs="Times New Roman"/>
        </w:rPr>
        <w:br w:type="page"/>
      </w:r>
    </w:p>
    <w:p w14:paraId="3CF7F994" w14:textId="77777777" w:rsidR="005A2D7C" w:rsidRPr="00AC7C29" w:rsidRDefault="00A53ED1" w:rsidP="005A2D7C">
      <w:pPr>
        <w:pStyle w:val="Heading2"/>
        <w:rPr>
          <w:rFonts w:ascii="Times New Roman" w:hAnsi="Times New Roman" w:cs="Times New Roman"/>
          <w:b/>
        </w:rPr>
      </w:pPr>
      <w:bookmarkStart w:id="2" w:name="_k6x7roncosca" w:colFirst="0" w:colLast="0"/>
      <w:bookmarkEnd w:id="2"/>
      <w:r>
        <w:rPr>
          <w:rFonts w:ascii="Times New Roman" w:hAnsi="Times New Roman" w:cs="Times New Roman"/>
          <w:b/>
        </w:rPr>
        <w:lastRenderedPageBreak/>
        <w:t>Appendix</w:t>
      </w:r>
      <w:r w:rsidR="005A2D7C" w:rsidRPr="00AC7C29">
        <w:rPr>
          <w:rFonts w:ascii="Times New Roman" w:hAnsi="Times New Roman" w:cs="Times New Roman"/>
          <w:b/>
        </w:rPr>
        <w:t xml:space="preserve"> Figures</w:t>
      </w:r>
    </w:p>
    <w:p w14:paraId="102E7BEF" w14:textId="77777777" w:rsidR="005A2D7C" w:rsidRPr="00AC7C29" w:rsidRDefault="005A2D7C" w:rsidP="005A2D7C">
      <w:pPr>
        <w:rPr>
          <w:rFonts w:ascii="Times New Roman" w:hAnsi="Times New Roman" w:cs="Times New Roman"/>
        </w:rPr>
      </w:pPr>
    </w:p>
    <w:p w14:paraId="62553925" w14:textId="77777777" w:rsidR="005A2D7C" w:rsidRPr="00AC7C29" w:rsidRDefault="00A53ED1" w:rsidP="005A2D7C">
      <w:pPr>
        <w:rPr>
          <w:rFonts w:ascii="Times New Roman" w:hAnsi="Times New Roman" w:cs="Times New Roman"/>
        </w:rPr>
      </w:pPr>
      <w:r>
        <w:rPr>
          <w:rFonts w:ascii="Times New Roman" w:hAnsi="Times New Roman" w:cs="Times New Roman"/>
        </w:rPr>
        <w:t>Figure A.</w:t>
      </w:r>
      <w:r w:rsidR="005A2D7C" w:rsidRPr="00AC7C29">
        <w:rPr>
          <w:rFonts w:ascii="Times New Roman" w:hAnsi="Times New Roman" w:cs="Times New Roman"/>
        </w:rPr>
        <w:t>1. Distribution of behavioral variables by behavioral groups (LG: Local Generalists; LS: Local Specialists; RG: Roving Generalists; RS: Roving Specialists). Letters represent significant group differences based on Tukey’s HSD.</w:t>
      </w:r>
    </w:p>
    <w:p w14:paraId="7A7E188E" w14:textId="77777777" w:rsidR="005A2D7C" w:rsidRPr="00AC7C29" w:rsidRDefault="005A2D7C" w:rsidP="005A2D7C">
      <w:pPr>
        <w:rPr>
          <w:rFonts w:ascii="Times New Roman" w:hAnsi="Times New Roman" w:cs="Times New Roman"/>
        </w:rPr>
      </w:pPr>
    </w:p>
    <w:p w14:paraId="5280F0CD"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6E9A9DE9" wp14:editId="4E69BAA7">
            <wp:extent cx="5943600" cy="5943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pic:spPr>
                </pic:pic>
              </a:graphicData>
            </a:graphic>
          </wp:inline>
        </w:drawing>
      </w:r>
    </w:p>
    <w:p w14:paraId="37A2D3FF"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7CABAA36" w14:textId="77777777" w:rsidR="005A2D7C" w:rsidRPr="00AC7C29" w:rsidRDefault="00A53ED1" w:rsidP="005A2D7C">
      <w:pPr>
        <w:rPr>
          <w:rFonts w:ascii="Times New Roman" w:hAnsi="Times New Roman" w:cs="Times New Roman"/>
        </w:rPr>
      </w:pPr>
      <w:r>
        <w:rPr>
          <w:rFonts w:ascii="Times New Roman" w:hAnsi="Times New Roman" w:cs="Times New Roman"/>
        </w:rPr>
        <w:lastRenderedPageBreak/>
        <w:t>Figure A.</w:t>
      </w:r>
      <w:r w:rsidR="005A2D7C" w:rsidRPr="00AC7C29">
        <w:rPr>
          <w:rFonts w:ascii="Times New Roman" w:hAnsi="Times New Roman" w:cs="Times New Roman"/>
        </w:rPr>
        <w:t xml:space="preserve">2. Rankings of each behavioral group relative to each variable included in the cluster analysis. Groups with non-significant differences (according to Tukey’s HSD, Supplementary Figure 1) </w:t>
      </w:r>
      <w:proofErr w:type="gramStart"/>
      <w:r w:rsidR="005A2D7C" w:rsidRPr="00AC7C29">
        <w:rPr>
          <w:rFonts w:ascii="Times New Roman" w:hAnsi="Times New Roman" w:cs="Times New Roman"/>
        </w:rPr>
        <w:t>are assigned</w:t>
      </w:r>
      <w:proofErr w:type="gramEnd"/>
      <w:r w:rsidR="005A2D7C" w:rsidRPr="00AC7C29">
        <w:rPr>
          <w:rFonts w:ascii="Times New Roman" w:hAnsi="Times New Roman" w:cs="Times New Roman"/>
        </w:rPr>
        <w:t xml:space="preserve"> the same rank.</w:t>
      </w:r>
    </w:p>
    <w:p w14:paraId="60ADCBE2"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34F0C800" wp14:editId="07AEAFF4">
            <wp:extent cx="5851565" cy="390104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869131" cy="3912755"/>
                    </a:xfrm>
                    <a:prstGeom prst="rect">
                      <a:avLst/>
                    </a:prstGeom>
                    <a:ln/>
                  </pic:spPr>
                </pic:pic>
              </a:graphicData>
            </a:graphic>
          </wp:inline>
        </w:drawing>
      </w:r>
    </w:p>
    <w:p w14:paraId="06737718" w14:textId="77777777" w:rsidR="005A2D7C" w:rsidRPr="00AC7C29" w:rsidRDefault="005A2D7C" w:rsidP="005A2D7C">
      <w:pPr>
        <w:rPr>
          <w:rFonts w:ascii="Times New Roman" w:hAnsi="Times New Roman" w:cs="Times New Roman"/>
        </w:rPr>
      </w:pPr>
    </w:p>
    <w:p w14:paraId="16AC8CF8"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74A8B0E0"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 xml:space="preserve">3. Number of vessels in each clustered behavioral group across crab seasons. (a) Number of vessels in each behavioral group in each crab season. Vertical lines delineate the period of the marine heatwave. (b) Mean number of vessels (+/- </w:t>
      </w:r>
      <w:proofErr w:type="gramStart"/>
      <w:r w:rsidRPr="00AC7C29">
        <w:rPr>
          <w:rFonts w:ascii="Times New Roman" w:hAnsi="Times New Roman" w:cs="Times New Roman"/>
        </w:rPr>
        <w:t>1</w:t>
      </w:r>
      <w:proofErr w:type="gramEnd"/>
      <w:r w:rsidRPr="00AC7C29">
        <w:rPr>
          <w:rFonts w:ascii="Times New Roman" w:hAnsi="Times New Roman" w:cs="Times New Roman"/>
        </w:rPr>
        <w:t xml:space="preserve"> SD) in each group in heatwave (MHW) versus non-MHW seasons.</w:t>
      </w:r>
    </w:p>
    <w:p w14:paraId="069676B7" w14:textId="77777777" w:rsidR="005A2D7C" w:rsidRPr="00AC7C29" w:rsidRDefault="005A2D7C" w:rsidP="005A2D7C">
      <w:pPr>
        <w:rPr>
          <w:rFonts w:ascii="Times New Roman" w:hAnsi="Times New Roman" w:cs="Times New Roman"/>
        </w:rPr>
      </w:pPr>
    </w:p>
    <w:p w14:paraId="55550F57"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60562E38" wp14:editId="052008D3">
            <wp:extent cx="4897040" cy="65293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897040" cy="6529388"/>
                    </a:xfrm>
                    <a:prstGeom prst="rect">
                      <a:avLst/>
                    </a:prstGeom>
                    <a:ln/>
                  </pic:spPr>
                </pic:pic>
              </a:graphicData>
            </a:graphic>
          </wp:inline>
        </w:drawing>
      </w:r>
    </w:p>
    <w:p w14:paraId="3B3A53AC" w14:textId="77777777" w:rsidR="005A2D7C" w:rsidRPr="00AC7C29" w:rsidRDefault="005A2D7C" w:rsidP="005A2D7C">
      <w:pPr>
        <w:rPr>
          <w:rFonts w:ascii="Times New Roman" w:hAnsi="Times New Roman" w:cs="Times New Roman"/>
        </w:rPr>
      </w:pPr>
    </w:p>
    <w:p w14:paraId="47A8C9DF" w14:textId="77777777" w:rsidR="005A2D7C" w:rsidRPr="00AC7C29" w:rsidRDefault="005A2D7C" w:rsidP="005A2D7C">
      <w:pPr>
        <w:rPr>
          <w:rFonts w:ascii="Times New Roman" w:hAnsi="Times New Roman" w:cs="Times New Roman"/>
        </w:rPr>
      </w:pPr>
    </w:p>
    <w:p w14:paraId="3155486E"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2FC86453"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4. Mean profit per day fished for each behavioral group in each week of the crab season, averaged across all seasons. Lines show a loess smooth across weeks for each group.</w:t>
      </w:r>
      <w:r w:rsidRPr="00AC7C29">
        <w:rPr>
          <w:rFonts w:ascii="Times New Roman" w:hAnsi="Times New Roman" w:cs="Times New Roman"/>
          <w:noProof/>
          <w:lang w:val="en-US"/>
        </w:rPr>
        <w:drawing>
          <wp:inline distT="114300" distB="114300" distL="114300" distR="114300" wp14:anchorId="32F22EF5" wp14:editId="2E2070E0">
            <wp:extent cx="5943600" cy="3962399"/>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399"/>
                    </a:xfrm>
                    <a:prstGeom prst="rect">
                      <a:avLst/>
                    </a:prstGeom>
                    <a:ln/>
                  </pic:spPr>
                </pic:pic>
              </a:graphicData>
            </a:graphic>
          </wp:inline>
        </w:drawing>
      </w:r>
    </w:p>
    <w:p w14:paraId="35BD9F1E"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468E0901"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 xml:space="preserve">5. Smoothed kernel density distributions of vessel length by behavioral group and crab season. We used vessel registration data from </w:t>
      </w:r>
      <w:proofErr w:type="spellStart"/>
      <w:r w:rsidRPr="00AC7C29">
        <w:rPr>
          <w:rFonts w:ascii="Times New Roman" w:hAnsi="Times New Roman" w:cs="Times New Roman"/>
        </w:rPr>
        <w:t>PacFIN</w:t>
      </w:r>
      <w:proofErr w:type="spellEnd"/>
      <w:r w:rsidRPr="00AC7C29">
        <w:rPr>
          <w:rFonts w:ascii="Times New Roman" w:hAnsi="Times New Roman" w:cs="Times New Roman"/>
        </w:rPr>
        <w:t xml:space="preserve"> to obtain vessel lengths in feet. Vessel lengths </w:t>
      </w:r>
      <w:proofErr w:type="gramStart"/>
      <w:r w:rsidRPr="00AC7C29">
        <w:rPr>
          <w:rFonts w:ascii="Times New Roman" w:hAnsi="Times New Roman" w:cs="Times New Roman"/>
        </w:rPr>
        <w:t>were checked</w:t>
      </w:r>
      <w:proofErr w:type="gramEnd"/>
      <w:r w:rsidRPr="00AC7C29">
        <w:rPr>
          <w:rFonts w:ascii="Times New Roman" w:hAnsi="Times New Roman" w:cs="Times New Roman"/>
        </w:rPr>
        <w:t xml:space="preserve"> for reporting errors, and only the most recent length value was used if a vessel reported multiple different lengths.</w:t>
      </w:r>
    </w:p>
    <w:p w14:paraId="51FC53AA" w14:textId="77777777" w:rsidR="005A2D7C" w:rsidRPr="00AC7C29" w:rsidRDefault="005A2D7C" w:rsidP="005A2D7C">
      <w:pPr>
        <w:rPr>
          <w:rFonts w:ascii="Times New Roman" w:hAnsi="Times New Roman" w:cs="Times New Roman"/>
        </w:rPr>
      </w:pPr>
    </w:p>
    <w:p w14:paraId="5822749A" w14:textId="77777777" w:rsidR="005A2D7C" w:rsidRPr="00AC7C29" w:rsidRDefault="005A2D7C" w:rsidP="005A2D7C">
      <w:pPr>
        <w:ind w:left="720"/>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738B5695" wp14:editId="32974E26">
            <wp:extent cx="5090160" cy="4241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090160" cy="4241800"/>
                    </a:xfrm>
                    <a:prstGeom prst="rect">
                      <a:avLst/>
                    </a:prstGeom>
                    <a:ln/>
                  </pic:spPr>
                </pic:pic>
              </a:graphicData>
            </a:graphic>
          </wp:inline>
        </w:drawing>
      </w:r>
    </w:p>
    <w:p w14:paraId="3CE01B9A" w14:textId="77777777" w:rsidR="009B237C" w:rsidRDefault="009B237C">
      <w:pPr>
        <w:spacing w:after="160" w:line="259" w:lineRule="auto"/>
        <w:rPr>
          <w:rFonts w:ascii="Times New Roman" w:hAnsi="Times New Roman" w:cs="Times New Roman"/>
        </w:rPr>
      </w:pPr>
      <w:r>
        <w:rPr>
          <w:rFonts w:ascii="Times New Roman" w:hAnsi="Times New Roman" w:cs="Times New Roman"/>
        </w:rPr>
        <w:br w:type="page"/>
      </w:r>
    </w:p>
    <w:p w14:paraId="7C8FACBF" w14:textId="77777777" w:rsidR="009B237C" w:rsidRPr="00AC7C29" w:rsidRDefault="009B237C" w:rsidP="009B237C">
      <w:pPr>
        <w:rPr>
          <w:rFonts w:ascii="Times New Roman" w:hAnsi="Times New Roman" w:cs="Times New Roman"/>
        </w:rPr>
      </w:pPr>
      <w:r w:rsidRPr="00AC7C29">
        <w:rPr>
          <w:rFonts w:ascii="Times New Roman" w:hAnsi="Times New Roman" w:cs="Times New Roman"/>
        </w:rPr>
        <w:lastRenderedPageBreak/>
        <w:t xml:space="preserve">Figure </w:t>
      </w:r>
      <w:r>
        <w:rPr>
          <w:rFonts w:ascii="Times New Roman" w:hAnsi="Times New Roman" w:cs="Times New Roman"/>
        </w:rPr>
        <w:t>A.6</w:t>
      </w:r>
      <w:r w:rsidRPr="00AC7C29">
        <w:rPr>
          <w:rFonts w:ascii="Times New Roman" w:hAnsi="Times New Roman" w:cs="Times New Roman"/>
        </w:rPr>
        <w:t xml:space="preserve">. </w:t>
      </w:r>
      <w:r>
        <w:rPr>
          <w:rFonts w:ascii="Times New Roman" w:hAnsi="Times New Roman" w:cs="Times New Roman"/>
        </w:rPr>
        <w:t xml:space="preserve">Correlation of vessel length with behavioral metrics used in the cluster analysis. </w:t>
      </w:r>
      <w:r w:rsidRPr="00AC7C29">
        <w:rPr>
          <w:rFonts w:ascii="Times New Roman" w:hAnsi="Times New Roman" w:cs="Times New Roman"/>
        </w:rPr>
        <w:t xml:space="preserve">We used vessel registration data from </w:t>
      </w:r>
      <w:proofErr w:type="spellStart"/>
      <w:r w:rsidRPr="00AC7C29">
        <w:rPr>
          <w:rFonts w:ascii="Times New Roman" w:hAnsi="Times New Roman" w:cs="Times New Roman"/>
        </w:rPr>
        <w:t>PacFIN</w:t>
      </w:r>
      <w:proofErr w:type="spellEnd"/>
      <w:r w:rsidRPr="00AC7C29">
        <w:rPr>
          <w:rFonts w:ascii="Times New Roman" w:hAnsi="Times New Roman" w:cs="Times New Roman"/>
        </w:rPr>
        <w:t xml:space="preserve"> to obtain vessel lengths in feet. Vessel lengths </w:t>
      </w:r>
      <w:proofErr w:type="gramStart"/>
      <w:r w:rsidRPr="00AC7C29">
        <w:rPr>
          <w:rFonts w:ascii="Times New Roman" w:hAnsi="Times New Roman" w:cs="Times New Roman"/>
        </w:rPr>
        <w:t>were checked</w:t>
      </w:r>
      <w:proofErr w:type="gramEnd"/>
      <w:r w:rsidRPr="00AC7C29">
        <w:rPr>
          <w:rFonts w:ascii="Times New Roman" w:hAnsi="Times New Roman" w:cs="Times New Roman"/>
        </w:rPr>
        <w:t xml:space="preserve"> for reporting errors, and only the most recent length value was used if a vessel reported multiple different lengths.</w:t>
      </w:r>
    </w:p>
    <w:p w14:paraId="2EE3185E" w14:textId="77777777" w:rsidR="005A2D7C" w:rsidRPr="00AC7C29" w:rsidRDefault="005A2D7C" w:rsidP="005A2D7C">
      <w:pPr>
        <w:ind w:left="720"/>
        <w:rPr>
          <w:rFonts w:ascii="Times New Roman" w:hAnsi="Times New Roman" w:cs="Times New Roman"/>
        </w:rPr>
      </w:pPr>
    </w:p>
    <w:p w14:paraId="592AA716" w14:textId="7E773241" w:rsidR="001A2E07" w:rsidRDefault="00632968">
      <w:r>
        <w:pict w14:anchorId="3DCFD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5in">
            <v:imagedata r:id="rId13" o:title="vessel_length_correlations"/>
          </v:shape>
        </w:pict>
      </w:r>
    </w:p>
    <w:p w14:paraId="5458E822" w14:textId="77777777" w:rsidR="00434890" w:rsidRDefault="00434890">
      <w:pPr>
        <w:spacing w:after="160" w:line="259" w:lineRule="auto"/>
      </w:pPr>
      <w:r>
        <w:br w:type="page"/>
      </w:r>
    </w:p>
    <w:p w14:paraId="71CE44D4" w14:textId="77777777" w:rsidR="00434890" w:rsidRDefault="00434890">
      <w:r>
        <w:lastRenderedPageBreak/>
        <w:t xml:space="preserve">Figure A.7 </w:t>
      </w:r>
      <w:r w:rsidRPr="00434890">
        <w:t>Seasonal mean</w:t>
      </w:r>
      <w:r>
        <w:t xml:space="preserve"> Dungeness crab</w:t>
      </w:r>
      <w:r w:rsidRPr="00434890">
        <w:t xml:space="preserve"> revenue (+/- 2SE) for vessels in each behav</w:t>
      </w:r>
      <w:r>
        <w:t>ioral group</w:t>
      </w:r>
      <w:r w:rsidRPr="00434890">
        <w:t>.</w:t>
      </w:r>
    </w:p>
    <w:p w14:paraId="1133691D" w14:textId="77777777" w:rsidR="0026669D" w:rsidRDefault="0026669D"/>
    <w:p w14:paraId="7C5426D1" w14:textId="21BF7FD4" w:rsidR="00434890" w:rsidRDefault="00632968">
      <w:r>
        <w:pict w14:anchorId="624ED036">
          <v:shape id="_x0000_i1031" type="#_x0000_t75" style="width:468pt;height:374.5pt">
            <v:imagedata r:id="rId14" o:title="revenue_by_group_season"/>
          </v:shape>
        </w:pict>
      </w:r>
    </w:p>
    <w:p w14:paraId="4362235A" w14:textId="77777777" w:rsidR="00434890" w:rsidRDefault="00434890">
      <w:pPr>
        <w:spacing w:after="160" w:line="259" w:lineRule="auto"/>
      </w:pPr>
      <w:r>
        <w:br w:type="page"/>
      </w:r>
      <w:bookmarkStart w:id="3" w:name="_GoBack"/>
      <w:bookmarkEnd w:id="3"/>
    </w:p>
    <w:p w14:paraId="26F2FE40" w14:textId="77777777" w:rsidR="00434890" w:rsidRDefault="00434890" w:rsidP="00434890">
      <w:r>
        <w:lastRenderedPageBreak/>
        <w:t xml:space="preserve">Figure A.8 </w:t>
      </w:r>
      <w:r w:rsidRPr="00434890">
        <w:t>Seasonal mean</w:t>
      </w:r>
      <w:r>
        <w:t xml:space="preserve"> estimated costs (main text Equation 1)</w:t>
      </w:r>
      <w:r w:rsidRPr="00434890">
        <w:t xml:space="preserve"> (+/- 2SE) for vessels in each behav</w:t>
      </w:r>
      <w:r>
        <w:t>ioral group</w:t>
      </w:r>
      <w:r w:rsidRPr="00434890">
        <w:t>.</w:t>
      </w:r>
    </w:p>
    <w:p w14:paraId="5310ACD3" w14:textId="77777777" w:rsidR="0026669D" w:rsidRDefault="0026669D" w:rsidP="00434890"/>
    <w:p w14:paraId="41C2F0BF" w14:textId="512D48E6" w:rsidR="00434890" w:rsidRDefault="00632968">
      <w:r>
        <w:pict w14:anchorId="59533AA1">
          <v:shape id="_x0000_i1033" type="#_x0000_t75" style="width:468pt;height:374.5pt">
            <v:imagedata r:id="rId15" o:title="cost_by_group_season"/>
          </v:shape>
        </w:pict>
      </w:r>
    </w:p>
    <w:sectPr w:rsidR="00434890" w:rsidSect="00B85770">
      <w:foot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Liu" w:date="2022-02-08T15:59:00Z" w:initials="O">
    <w:p w14:paraId="35CFAE63" w14:textId="77777777" w:rsidR="00B85770" w:rsidRDefault="00B85770">
      <w:pPr>
        <w:pStyle w:val="CommentText"/>
      </w:pPr>
      <w:r>
        <w:rPr>
          <w:rStyle w:val="CommentReference"/>
        </w:rPr>
        <w:annotationRef/>
      </w:r>
      <w:r>
        <w:t>Revise all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FA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06052" w14:textId="77777777" w:rsidR="009452FD" w:rsidRDefault="009452FD">
      <w:pPr>
        <w:spacing w:line="240" w:lineRule="auto"/>
      </w:pPr>
      <w:r>
        <w:separator/>
      </w:r>
    </w:p>
  </w:endnote>
  <w:endnote w:type="continuationSeparator" w:id="0">
    <w:p w14:paraId="3C7453E1" w14:textId="77777777" w:rsidR="009452FD" w:rsidRDefault="00945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5E78" w14:textId="2952A5E6" w:rsidR="00B85770" w:rsidRDefault="00B85770">
    <w:pPr>
      <w:jc w:val="right"/>
    </w:pPr>
    <w:r>
      <w:fldChar w:fldCharType="begin"/>
    </w:r>
    <w:r>
      <w:instrText>PAGE</w:instrText>
    </w:r>
    <w:r>
      <w:fldChar w:fldCharType="separate"/>
    </w:r>
    <w:r w:rsidR="00632968">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C7FB8" w14:textId="77777777" w:rsidR="009452FD" w:rsidRDefault="009452FD">
      <w:pPr>
        <w:spacing w:line="240" w:lineRule="auto"/>
      </w:pPr>
      <w:r>
        <w:separator/>
      </w:r>
    </w:p>
  </w:footnote>
  <w:footnote w:type="continuationSeparator" w:id="0">
    <w:p w14:paraId="010340A2" w14:textId="77777777" w:rsidR="009452FD" w:rsidRDefault="009452F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Liu">
    <w15:presenceInfo w15:providerId="None" w15:userId="Owen.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7C"/>
    <w:rsid w:val="001A2E07"/>
    <w:rsid w:val="0026669D"/>
    <w:rsid w:val="002B012D"/>
    <w:rsid w:val="00434890"/>
    <w:rsid w:val="005302DA"/>
    <w:rsid w:val="005A2D7C"/>
    <w:rsid w:val="00632968"/>
    <w:rsid w:val="009110D6"/>
    <w:rsid w:val="009452FD"/>
    <w:rsid w:val="009B237C"/>
    <w:rsid w:val="009D7A9B"/>
    <w:rsid w:val="00A53ED1"/>
    <w:rsid w:val="00B85770"/>
    <w:rsid w:val="00BA178C"/>
    <w:rsid w:val="00CA047A"/>
    <w:rsid w:val="00D75BD5"/>
    <w:rsid w:val="00E1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85E1"/>
  <w15:chartTrackingRefBased/>
  <w15:docId w15:val="{272EED17-45C4-4448-BD8D-A2ECB8F7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2D7C"/>
    <w:pPr>
      <w:spacing w:after="0" w:line="276" w:lineRule="auto"/>
    </w:pPr>
    <w:rPr>
      <w:rFonts w:ascii="Arial" w:eastAsia="Arial" w:hAnsi="Arial" w:cs="Arial"/>
      <w:lang w:val="en"/>
    </w:rPr>
  </w:style>
  <w:style w:type="paragraph" w:styleId="Heading1">
    <w:name w:val="heading 1"/>
    <w:basedOn w:val="Normal"/>
    <w:next w:val="Normal"/>
    <w:link w:val="Heading1Char"/>
    <w:rsid w:val="005A2D7C"/>
    <w:pPr>
      <w:keepNext/>
      <w:keepLines/>
      <w:spacing w:before="400" w:after="120"/>
      <w:outlineLvl w:val="0"/>
    </w:pPr>
    <w:rPr>
      <w:sz w:val="40"/>
      <w:szCs w:val="40"/>
    </w:rPr>
  </w:style>
  <w:style w:type="paragraph" w:styleId="Heading2">
    <w:name w:val="heading 2"/>
    <w:basedOn w:val="Normal"/>
    <w:next w:val="Normal"/>
    <w:link w:val="Heading2Char"/>
    <w:rsid w:val="005A2D7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D7C"/>
    <w:rPr>
      <w:rFonts w:ascii="Arial" w:eastAsia="Arial" w:hAnsi="Arial" w:cs="Arial"/>
      <w:sz w:val="40"/>
      <w:szCs w:val="40"/>
      <w:lang w:val="en"/>
    </w:rPr>
  </w:style>
  <w:style w:type="character" w:customStyle="1" w:styleId="Heading2Char">
    <w:name w:val="Heading 2 Char"/>
    <w:basedOn w:val="DefaultParagraphFont"/>
    <w:link w:val="Heading2"/>
    <w:rsid w:val="005A2D7C"/>
    <w:rPr>
      <w:rFonts w:ascii="Arial" w:eastAsia="Arial" w:hAnsi="Arial" w:cs="Arial"/>
      <w:lang w:val="en"/>
    </w:rPr>
  </w:style>
  <w:style w:type="character" w:styleId="LineNumber">
    <w:name w:val="line number"/>
    <w:basedOn w:val="DefaultParagraphFont"/>
    <w:uiPriority w:val="99"/>
    <w:semiHidden/>
    <w:unhideWhenUsed/>
    <w:rsid w:val="005A2D7C"/>
  </w:style>
  <w:style w:type="character" w:styleId="CommentReference">
    <w:name w:val="annotation reference"/>
    <w:basedOn w:val="DefaultParagraphFont"/>
    <w:uiPriority w:val="99"/>
    <w:semiHidden/>
    <w:unhideWhenUsed/>
    <w:rsid w:val="00B85770"/>
    <w:rPr>
      <w:sz w:val="16"/>
      <w:szCs w:val="16"/>
    </w:rPr>
  </w:style>
  <w:style w:type="paragraph" w:styleId="CommentText">
    <w:name w:val="annotation text"/>
    <w:basedOn w:val="Normal"/>
    <w:link w:val="CommentTextChar"/>
    <w:uiPriority w:val="99"/>
    <w:semiHidden/>
    <w:unhideWhenUsed/>
    <w:rsid w:val="00B85770"/>
    <w:pPr>
      <w:spacing w:line="240" w:lineRule="auto"/>
    </w:pPr>
    <w:rPr>
      <w:sz w:val="20"/>
      <w:szCs w:val="20"/>
    </w:rPr>
  </w:style>
  <w:style w:type="character" w:customStyle="1" w:styleId="CommentTextChar">
    <w:name w:val="Comment Text Char"/>
    <w:basedOn w:val="DefaultParagraphFont"/>
    <w:link w:val="CommentText"/>
    <w:uiPriority w:val="99"/>
    <w:semiHidden/>
    <w:rsid w:val="00B8577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85770"/>
    <w:rPr>
      <w:b/>
      <w:bCs/>
    </w:rPr>
  </w:style>
  <w:style w:type="character" w:customStyle="1" w:styleId="CommentSubjectChar">
    <w:name w:val="Comment Subject Char"/>
    <w:basedOn w:val="CommentTextChar"/>
    <w:link w:val="CommentSubject"/>
    <w:uiPriority w:val="99"/>
    <w:semiHidden/>
    <w:rsid w:val="00B8577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B857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770"/>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5</cp:revision>
  <cp:lastPrinted>2021-08-31T21:08:00Z</cp:lastPrinted>
  <dcterms:created xsi:type="dcterms:W3CDTF">2022-02-08T23:57:00Z</dcterms:created>
  <dcterms:modified xsi:type="dcterms:W3CDTF">2022-02-10T05:50:00Z</dcterms:modified>
</cp:coreProperties>
</file>