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646E50B1">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5D5KwIAAFQEAAAOAAAAZHJzL2Uyb0RvYy54bWysVNuO0zAQfUfiHyy/0ySlTUvUdLXqUoS0 XMTCBzi2cwHHY2y3yfL1jJ22dIEnRB6sGY995syZcTY3Y6/IUVrXgS5pNkspkZqD6HRT0i+f9y/W lDjPtGAKtCzpo3T0Zvv82WYwhZxDC0pISxBEu2IwJW29N0WSON7KnrkZGKkxWIPtmUfXNomwbED0 XiXzNM2TAawwFrh0DnfvpiDdRvy6ltx/qGsnPVElRW4+rjauVViT7YYVjWWm7fiJBvsHFj3rNCa9 QN0xz8jBdn9A9R234KD2Mw59AnXdcRlrwGqy9LdqHlpmZKwFxXHmIpP7f7D8/fHBfLSBujP3wL85 omHXMt3IW2thaCUTmC4LQiWDccXlQnAcXiXV8A4EtpYdPEQNxtr2ARCrI2OU+vEitRw94biZrdb5 Yo0d4RjL05fzZexFworzbWOdfyOhJ8EoqYWDFp+wnzEFO947H/UWRLM+ZBdfKal7hd07MkWyPM9X kTQrTocR+4wZywXViX2nVHRsU+2UJXi1pPv4nS6762NKk6Gk8/VytYw0ngTdNUYav79hxELi2AVt X2sRbc86NdlIU+nAScbxxTrP0ge1w2C7wo/ViLvBrEA8YhMsTKONTxGNFuwPSgYc65K67wdmJSXq rcZGvsoWi/AOorNYrubo2OtIdR1hmiNUST0lk7nz09s5GNs1LWbKog4abrH5dXehOrE6jQyOLlpP 3sa1H0/9+hlsfwIAAP//AwBQSwMEFAAGAAgAAAAhAB7EOUjaAAAABAEAAA8AAABkcnMvZG93bnJl di54bWxMj8FOwzAQRO9I/QdrK3FB1E4QUEKcqlRC4koL4rqJt3HUeB3Fbhv+HsOFXlYazWjmbbma XC9ONIbOs4ZsoUAQN9503Gr42L3eLkGEiGyw90wavinAqppdlVgYf+Z3Om1jK1IJhwI12BiHQsrQ WHIYFn4gTt7ejw5jkmMrzYjnVO56mSv1IB12nBYsDrSx1By2R6dh32Q+f9zcvH3KiFn3pV52tbNa X8+n9TOISFP8D8MvfkKHKjHV/sgmiF5DeiT+3eTly+wORK3h6V6BrEp5CV/9AAAA//8DAFBLAQIt ABQABgAIAAAAIQC2gziS/gAAAOEBAAATAAAAAAAAAAAAAAAAAAAAAABbQ29udGVudF9UeXBlc10u eG1sUEsBAi0AFAAGAAgAAAAhADj9If/WAAAAlAEAAAsAAAAAAAAAAAAAAAAALwEAAF9yZWxzLy5y ZWxzUEsBAi0AFAAGAAgAAAAhAC8fkPkrAgAAVAQAAA4AAAAAAAAAAAAAAAAALgIAAGRycy9lMm9E b2MueG1sUEsBAi0AFAAGAAgAAAAhAB7EOUjaAAAABAEAAA8AAAAAAAAAAAAAAAAAhQQAAGRycy9k b3ducmV2LnhtbFBLBQYAAAAABAAEAPMAAACMBQAAAAA= "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4E89AC8E"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sidR="00E36AF3">
          <w:rPr>
            <w:webHidden/>
          </w:rPr>
          <w:t>5</w:t>
        </w:r>
        <w:r>
          <w:rPr>
            <w:webHidden/>
          </w:rPr>
          <w:fldChar w:fldCharType="end"/>
        </w:r>
      </w:hyperlink>
    </w:p>
    <w:p w14:paraId="0F18C013" w14:textId="1EFB5D9B"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sidR="00E36AF3">
          <w:rPr>
            <w:webHidden/>
          </w:rPr>
          <w:t>5</w:t>
        </w:r>
        <w:r>
          <w:rPr>
            <w:webHidden/>
          </w:rPr>
          <w:fldChar w:fldCharType="end"/>
        </w:r>
      </w:hyperlink>
    </w:p>
    <w:p w14:paraId="438D57C4" w14:textId="6F8154CE"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sidR="00E36AF3">
          <w:rPr>
            <w:webHidden/>
          </w:rPr>
          <w:t>5</w:t>
        </w:r>
        <w:r>
          <w:rPr>
            <w:webHidden/>
          </w:rPr>
          <w:fldChar w:fldCharType="end"/>
        </w:r>
      </w:hyperlink>
    </w:p>
    <w:p w14:paraId="206CE341" w14:textId="28CF239C"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sidR="00E36AF3">
          <w:rPr>
            <w:webHidden/>
          </w:rPr>
          <w:t>8</w:t>
        </w:r>
        <w:r>
          <w:rPr>
            <w:webHidden/>
          </w:rPr>
          <w:fldChar w:fldCharType="end"/>
        </w:r>
      </w:hyperlink>
    </w:p>
    <w:p w14:paraId="0C57016B" w14:textId="27980CEA"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sidR="00E36AF3">
          <w:rPr>
            <w:webHidden/>
          </w:rPr>
          <w:t>10</w:t>
        </w:r>
        <w:r>
          <w:rPr>
            <w:webHidden/>
          </w:rPr>
          <w:fldChar w:fldCharType="end"/>
        </w:r>
      </w:hyperlink>
    </w:p>
    <w:p w14:paraId="00DE2052" w14:textId="5879738D"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sidR="00E36AF3">
          <w:rPr>
            <w:webHidden/>
          </w:rPr>
          <w:t>18</w:t>
        </w:r>
        <w:r>
          <w:rPr>
            <w:webHidden/>
          </w:rPr>
          <w:fldChar w:fldCharType="end"/>
        </w:r>
      </w:hyperlink>
    </w:p>
    <w:p w14:paraId="648A90FA" w14:textId="31676F5A"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sidR="00E36AF3">
          <w:rPr>
            <w:webHidden/>
          </w:rPr>
          <w:t>44</w:t>
        </w:r>
        <w:r>
          <w:rPr>
            <w:webHidden/>
          </w:rPr>
          <w:fldChar w:fldCharType="end"/>
        </w:r>
      </w:hyperlink>
    </w:p>
    <w:p w14:paraId="32E8A096" w14:textId="17BBAC6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sidR="00E36AF3">
          <w:rPr>
            <w:webHidden/>
          </w:rPr>
          <w:t>46</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2C35AD0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2F96DBBD" w14:textId="0BC31A90"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14EA456F" w14:textId="25405202"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C35ADE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45AD3BC" w14:textId="5CA90522"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C35AE0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3063971B" w14:textId="4B1233D2"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2C35AE0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153C75B2" w14:textId="12C3066E"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B82E47C" w14:textId="5338AFD3"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C35AE0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2C35AE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lastRenderedPageBreak/>
        <w:t>SGTD: Secretaría de Gobierno y Transformación Digital de la PCM</w:t>
      </w:r>
    </w:p>
    <w:p w14:paraId="657CB8AD"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F3B42E8" w14:textId="4514BA5F"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2C35AE05" w14:textId="4514BA5F"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2C35AE06" w14:textId="4514BA5F"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19022123"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07C052BD"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0D9FD36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sus modificatorias aprobadas por Decreto Supremo N.° 075-2023-PCM y Decreto Supremo N.° 098-2025-PCM (31/07/2025).</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433D518E"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741A25AD" w14:textId="66A61B92"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40BF5E87" w14:textId="28E4149D"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CFF0631" w14:textId="5061B72D"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050-2019/SUNAT (06/03/2019), que aprueba los documentos del Sistema de Gestión de Seguridad de la Información de la SUNAT, entre ellos el Manual de Políticas del Sistema de Gestión de Seguridad de la Información (SGSI-MA-03).</w:t>
      </w:r>
    </w:p>
    <w:p w14:paraId="64BA9802" w14:textId="68AD2ED5"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4208E65D" w14:textId="23A3D6C9"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lastRenderedPageBreak/>
        <w:t>Resolución de Oficina N.° 000002-2023-SUNAT/1V0000 (22/12/2023), que aprueba la Metodología para la Gestión por Procesos (METGEP) Versión 5.0.</w:t>
      </w:r>
    </w:p>
    <w:p w14:paraId="050A6C68" w14:textId="3C66878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3D158E31" w14:textId="52E23D9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2B8C4D28"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1B4D1F52"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14F8B932" w14:textId="2D58FC35"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65F8804D"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w:t>
      </w:r>
      <w:r>
        <w:rPr>
          <w:b w:val="0"/>
          <w:bCs w:val="0"/>
          <w:color w:val="000000"/>
          <w:highlight w:val="yellow"/>
        </w:rPr>
        <w:lastRenderedPageBreak/>
        <w:t xml:space="preserve">genera sobre los derechos de los administrados, previo a su desarrollo, adquisición o implementación. </w:t>
      </w:r>
      <w:r>
        <w:rPr>
          <w:b w:val="0"/>
          <w:bCs w:val="0"/>
          <w:color w:val="000000"/>
          <w:highlight w:val="yellow"/>
          <w:lang w:val="en-US"/>
        </w:rPr>
        <w:t>[D.S. N.° 115-2025-PCM, Art. 30; NTP-ISO/IEC 42001:2025, Anexo A, A.5.2]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EA5FC0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6B37AA3"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71C33EFC" w14:textId="484ABFF8"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6A54410E" w14:textId="5E74AE7B"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lastRenderedPageBreak/>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3C60E648" w14:textId="5CCB40A5"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2EA5FC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6A44529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r>
      <w:r>
        <w:rPr>
          <w:rFonts w:ascii="Arial" w:hAnsi="Arial" w:cs="Arial"/>
          <w:color w:val="000000"/>
          <w:highlight w:val="lightGray"/>
        </w:rPr>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11EDF8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0AA671F2" w14:textId="77777777" w:rsidR="00E34945" w:rsidRDefault="00E34945" w:rsidP="00E34945">
      <w:pPr>
        <w:pStyle w:val="SubtituloDONI"/>
        <w:spacing w:line="276" w:lineRule="auto"/>
        <w:ind w:left="851"/>
      </w:pPr>
      <w:r>
        <w:t>5.3</w:t>
      </w:r>
      <w:r>
        <w:tab/>
        <w:t>De la Comisión de Gobierno de IA</w:t>
      </w:r>
    </w:p>
    <w:p w14:paraId="2E6E0212" w14:textId="1E275FD9"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r>
      <w:r>
        <w:rPr>
          <w:rFonts w:ascii="Arial" w:eastAsia="Arial" w:hAnsi="Arial" w:cs="Arial"/>
          <w:color w:val="000000"/>
          <w:highlight w:val="green"/>
        </w:rPr>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Las funciones de la Comisión de Gobierno de IA, en apoyo al CGTD, se definen en el numeral 5.4 y en las disposiciones específicas de la presente directiva.</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lastRenderedPageBreak/>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209C0DA"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850283"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05EDDB67"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03F7DD40" w14:textId="5DF11CE1"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Aprueba los casos de uso y el Plan de Acción de Inteligencia Artificial, conforme al numeral 7.11.</w:t>
            </w:r>
          </w:p>
          <w:p w14:paraId="7B4BEC41"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38AD5830"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555CCBE5" w14:textId="6707FE22"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 xml:space="preserve">Preparar la propuesta del Plan de Acción de Inteligencia Artificial y sus </w:t>
            </w:r>
            <w:r>
              <w:rPr>
                <w:b w:val="0"/>
                <w:bCs w:val="0"/>
              </w:rPr>
              <w:lastRenderedPageBreak/>
              <w:t>actualizaciones, conforme al numeral 7.11.</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05CF9C21"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 xml:space="preserve">Aprobar los hitos del ciclo de vida que le corresponden conforme al </w:t>
            </w:r>
            <w:r>
              <w:rPr>
                <w:b w:val="0"/>
                <w:bCs w:val="0"/>
                <w:highlight w:val="green"/>
              </w:rPr>
              <w:lastRenderedPageBreak/>
              <w:t>numeral 6.1.2 y el ciclo de vida simplificado de los SBIA de riesgo aceptable.</w:t>
            </w:r>
          </w:p>
          <w:p w14:paraId="05CF9C22"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3D4DEA">
            <w:pPr>
              <w:spacing w:after="0" w:line="276" w:lineRule="auto"/>
            </w:pPr>
            <w:r>
              <w:rPr>
                <w:rFonts w:ascii="Arial" w:eastAsia="Arial" w:hAnsi="Arial" w:cs="Arial"/>
                <w:b/>
                <w:bCs/>
                <w:color w:val="000000"/>
              </w:rPr>
              <w:t>Oficial de</w:t>
            </w:r>
          </w:p>
          <w:p w14:paraId="699EF18A"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3D4DEA">
            <w:pPr>
              <w:spacing w:after="0" w:line="276" w:lineRule="auto"/>
            </w:pPr>
            <w:r>
              <w:rPr>
                <w:rFonts w:ascii="Arial" w:eastAsia="Arial" w:hAnsi="Arial" w:cs="Arial"/>
                <w:b/>
                <w:bCs/>
                <w:color w:val="000000"/>
                <w:highlight w:val="yellow"/>
              </w:rPr>
              <w:lastRenderedPageBreak/>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36F0A719"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Comunica al Centro Nacional de Seguridad Digital (CNSD) los incidentes de seguridad digital que involucren un SBIA y los informa a la máxima autoridad administrativa de la entidad, conforme a la Directiva N.° 001-2023-PCM/SGTD. Informa al CGTD los que resulten críticos. Cuando un SBIA constituya un activo de información de un proceso comprendido en el alcance del SGSI, coordina la aplicación de los controles que correspondan.</w:t>
            </w:r>
          </w:p>
        </w:tc>
      </w:tr>
      <w:tr w:rsidR="00B34A74" w14:paraId="0B3F707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En materia de ética, integridad y prevención de sesgos: su opinión sobre la clasificación de riesgo consta de manera expresa en la </w:t>
            </w:r>
            <w:r>
              <w:rPr>
                <w:b w:val="0"/>
                <w:bCs w:val="0"/>
                <w:highlight w:val="yellow"/>
              </w:rPr>
              <w:lastRenderedPageBreak/>
              <w:t>propuesta, conforme al numeral 6.2.2;</w:t>
            </w:r>
          </w:p>
          <w:p w14:paraId="32D6651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76F1331"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04FBB6C1"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w:t>
            </w:r>
            <w:r>
              <w:rPr>
                <w:b w:val="0"/>
                <w:bCs w:val="0"/>
                <w:highlight w:val="green"/>
              </w:rPr>
              <w:lastRenderedPageBreak/>
              <w:t xml:space="preserve">conforme al literal b) del artículo 106 del ROF. </w:t>
            </w:r>
          </w:p>
          <w:p w14:paraId="481BC02B" w14:textId="5BBFF583"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37D9A84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9DFB0CF"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5094836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78D301"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0B8A380A" w14:textId="0CFAF43F"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5226AE7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71793657" w14:textId="5C353D32"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Contribuye a la evaluación del componente de IA con el conocimiento operativo de los procesos de dicho ámbito y de su impacto en los administrados. Su </w:t>
            </w:r>
            <w:r>
              <w:rPr>
                <w:b w:val="0"/>
                <w:bCs w:val="0"/>
                <w:highlight w:val="lightGray"/>
              </w:rPr>
              <w:lastRenderedPageBreak/>
              <w:t>participación es permanente y no sustituye la del propietario del caso de uso, a quien la Comisión convoca cuando se evalúa un caso de uso de su proceso.</w:t>
            </w:r>
          </w:p>
        </w:tc>
      </w:tr>
      <w:tr w:rsidR="003D4DEA" w14:paraId="5E0BF254"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7D591873" w14:textId="23549B12" w:rsidR="003D4DEA" w:rsidRPr="003D4DEA" w:rsidRDefault="003D4DEA" w:rsidP="003D4DEA">
            <w:pPr>
              <w:spacing w:before="20" w:after="20" w:line="276" w:lineRule="auto"/>
              <w:jc w:val="both"/>
              <w:rPr>
                <w:highlight w:val="yellow"/>
              </w:rPr>
            </w:pPr>
            <w:r>
              <w:rPr>
                <w:rFonts w:ascii="Arial" w:eastAsia="Arial" w:hAnsi="Arial" w:cs="Arial"/>
                <w:b/>
                <w:bCs/>
              </w:rPr>
              <w:lastRenderedPageBreak/>
              <w:t>Otras unidades de organización con responsabilidad en el gobierno de IA</w:t>
            </w:r>
          </w:p>
        </w:tc>
      </w:tr>
      <w:tr w:rsidR="00B34A74" w14:paraId="1CD4B12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56B2779C"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17A3763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Promueve la adopción de la inteligencia artificial en el ámbito de las personas, conforme al numeral 6.13.3.</w:t>
            </w:r>
          </w:p>
          <w:p w14:paraId="74F9D318"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FCDD395" w:rsidR="00863A18" w:rsidRPr="00923C59" w:rsidRDefault="003D4DEA" w:rsidP="00B23382">
      <w:pPr>
        <w:pStyle w:val="Ttulo1"/>
        <w:spacing w:line="276" w:lineRule="auto"/>
        <w:rPr>
          <w:rFonts w:cs="Arial"/>
          <w:szCs w:val="22"/>
        </w:rPr>
      </w:pPr>
      <w:bookmarkStart w:id="6" w:name="_Toc235003966"/>
      <w:r>
        <w:rPr>
          <w:rFonts w:cs="Arial"/>
          <w:bCs/>
          <w:color w:val="000000"/>
          <w:szCs w:val="22"/>
        </w:rPr>
        <w:br w:type="textWrapping" w:clear="all"/>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Pr>
          <w:rFonts w:ascii="Arial" w:eastAsia="Arial" w:hAnsi="Arial" w:cs="Arial"/>
          <w:color w:val="000000"/>
          <w:highlight w:val="green"/>
        </w:rPr>
        <w:t xml:space="preserve">Todo SBIA en la SUNAT sigue un ciclo de vida gestionado, con las etapas y los hitos propios del componente de IA que se detallan a continuación. Este ciclo </w:t>
      </w:r>
      <w:r>
        <w:rPr>
          <w:rFonts w:ascii="Arial" w:eastAsia="Arial" w:hAnsi="Arial" w:cs="Arial"/>
          <w:color w:val="000000"/>
          <w:highlight w:val="green"/>
        </w:rPr>
        <w:lastRenderedPageBreak/>
        <w:t>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5B315C61" w:rsidR="00E67A73" w:rsidRDefault="0045319E">
            <w:pPr>
              <w:spacing w:before="20" w:after="20" w:line="276" w:lineRule="auto"/>
              <w:rPr>
                <w:rFonts w:ascii="Arial" w:hAnsi="Arial" w:cs="Arial"/>
              </w:rPr>
            </w:pPr>
            <w:r>
              <w:rPr>
                <w:rFonts w:ascii="Arial" w:eastAsia="Arial" w:hAnsi="Arial" w:cs="Arial"/>
                <w:highlight w:val="green"/>
              </w:rPr>
              <w:t>Aprobación del diseño de la arquitectura de solución por la División de Arquitectura competente según la materia, conforme al numeral 6.5.4. Para SBIA de riesgo alto, aprobación de la EIA por el CGTD, previa al inicio del desarrollo, adquisición o implementación.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w:t>
            </w:r>
            <w:r>
              <w:rPr>
                <w:rFonts w:ascii="Arial" w:hAnsi="Arial" w:cs="Arial"/>
                <w:highlight w:val="green"/>
              </w:rPr>
              <w:lastRenderedPageBreak/>
              <w:t xml:space="preserve">numeral 6.10.3.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conforme a los numerales 6.2.5, 6.6.2 y 6.6.4. Asimismo, aprueba el plan de monitoreo del SBIA conforme al numeral 6.10.1. La aprobación requiere la conformidad de la División de Control de Calidad, de la Oficina de Seguridad </w:t>
            </w:r>
            <w:r>
              <w:rPr>
                <w:rFonts w:ascii="Arial" w:hAnsi="Arial" w:cs="Arial"/>
                <w:highlight w:val="green"/>
              </w:rPr>
              <w:lastRenderedPageBreak/>
              <w:t>Informática, del propietario del caso de uso y de la Comisión de Gobierno de IA. La titularidad de la aprobación se determina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r>
      <w:r>
        <w:rPr>
          <w:rFonts w:ascii="Arial" w:hAnsi="Arial" w:cs="Arial"/>
          <w:color w:val="000000"/>
          <w:highlight w:val="green"/>
        </w:rPr>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26FCB59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r>
      <w:r>
        <w:rPr>
          <w:rFonts w:ascii="Arial" w:eastAsia="Arial" w:hAnsi="Arial" w:cs="Arial"/>
          <w:color w:val="000000"/>
          <w:highlight w:val="green"/>
        </w:rPr>
        <w:t xml:space="preserve">Los SBIA SaaS (enfoque A) siguen un ciclo de vida abreviado, que comprende cuando menos: el registro en el Inventario Institucional de SBIA, la clasificación </w:t>
      </w:r>
      <w:r>
        <w:rPr>
          <w:rFonts w:ascii="Arial" w:eastAsia="Arial" w:hAnsi="Arial" w:cs="Arial"/>
          <w:color w:val="000000"/>
          <w:highlight w:val="green"/>
        </w:rPr>
        <w:lastRenderedPageBreak/>
        <w:t>de riesgo conforme al numeral 6.2 y las verificaciones previstas en el numeral 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5AADA185" w14:textId="018B1BF0"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r>
      <w:r>
        <w:rPr>
          <w:rFonts w:ascii="Arial" w:eastAsia="Arial" w:hAnsi="Arial" w:cs="Arial"/>
          <w:color w:val="000000"/>
          <w:highlight w:val="green"/>
        </w:rPr>
        <w:tab/>
        <w:t>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68622EF3" w14:textId="6B816EC8"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r>
      <w:r>
        <w:rPr>
          <w:rFonts w:ascii="Arial" w:hAnsi="Arial" w:cs="Arial"/>
          <w:color w:val="000000"/>
          <w:highlight w:val="lightGray"/>
        </w:rPr>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observan lo previsto en los numerales 6.4 y 6.5 de la METDONI.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1730EF88" w14:textId="29964B64" w:rsidR="00F4172E" w:rsidRDefault="00F4172E" w:rsidP="00D443F8">
      <w:pPr>
        <w:spacing w:after="60" w:line="276" w:lineRule="auto"/>
        <w:ind w:left="1276" w:hanging="720"/>
        <w:jc w:val="both"/>
        <w:rPr>
          <w:rFonts w:ascii="Arial" w:eastAsia="Arial" w:hAnsi="Arial" w:cs="Arial"/>
          <w:color w:val="000000"/>
        </w:rPr>
      </w:pPr>
      <w:proofErr w:type="gramStart"/>
      <w:r>
        <w:rPr>
          <w:rFonts w:ascii="Arial" w:eastAsia="Arial" w:hAnsi="Arial" w:cs="Arial"/>
          <w:color w:val="000000"/>
          <w:highlight w:val="green"/>
        </w:rPr>
        <w:t>6.1.6  Todo</w:t>
      </w:r>
      <w:proofErr w:type="gramEnd"/>
      <w:r>
        <w:rPr>
          <w:rFonts w:ascii="Arial" w:eastAsia="Arial" w:hAnsi="Arial" w:cs="Arial"/>
          <w:color w:val="000000"/>
          <w:highlight w:val="green"/>
        </w:rPr>
        <w:t xml:space="preserve"> SBIA cuenta con un equipo técnico multidisciplinario, conformado en función de la necesidad y la complejidad de la materia o del problema público que atiende, conforme al numeral 28.3 del artículo 28 del RLIA. El propietario </w:t>
      </w:r>
      <w:r>
        <w:rPr>
          <w:rFonts w:ascii="Arial" w:eastAsia="Arial" w:hAnsi="Arial" w:cs="Arial"/>
          <w:color w:val="000000"/>
          <w:highlight w:val="green"/>
        </w:rPr>
        <w:lastRenderedPageBreak/>
        <w:t>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6E565EC7"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r>
      <w:r>
        <w:rPr>
          <w:rFonts w:ascii="Arial" w:hAnsi="Arial" w:cs="Arial"/>
          <w:color w:val="000000"/>
          <w:highlight w:val="cyan"/>
        </w:rPr>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F68BDCC" w14:textId="3FFD2A8E"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r>
      <w:r>
        <w:rPr>
          <w:rFonts w:ascii="Arial" w:eastAsia="Arial" w:hAnsi="Arial" w:cs="Arial"/>
          <w:color w:val="000000"/>
          <w:highlight w:val="green"/>
        </w:rPr>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xml:space="preserve">,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w:t>
      </w:r>
      <w:r>
        <w:rPr>
          <w:rFonts w:ascii="Arial" w:eastAsia="Arial" w:hAnsi="Arial" w:cs="Arial"/>
          <w:color w:val="000000"/>
          <w:highlight w:val="yellow"/>
        </w:rPr>
        <w:lastRenderedPageBreak/>
        <w:t>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r>
      <w:r>
        <w:rPr>
          <w:rFonts w:ascii="Arial" w:eastAsia="Arial" w:hAnsi="Arial" w:cs="Arial"/>
          <w:color w:val="000000"/>
          <w:highlight w:val="green"/>
        </w:rPr>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337A84A1" w14:textId="017012A1"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r>
      <w:r>
        <w:rPr>
          <w:rFonts w:ascii="Arial" w:eastAsia="Arial" w:hAnsi="Arial" w:cs="Arial"/>
          <w:color w:val="000000"/>
          <w:highlight w:val="green"/>
        </w:rPr>
        <w:tab/>
        <w:t>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1D89B4A"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r>
      <w:r>
        <w:rPr>
          <w:rFonts w:ascii="Arial" w:eastAsia="Arial" w:hAnsi="Arial" w:cs="Arial"/>
          <w:color w:val="000000"/>
          <w:highlight w:val="green"/>
        </w:rPr>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14AA55D"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r>
      <w:r>
        <w:rPr>
          <w:rFonts w:ascii="Arial" w:hAnsi="Arial" w:cs="Arial"/>
          <w:color w:val="000000"/>
          <w:highlight w:val="green"/>
        </w:rPr>
        <w:tab/>
        <w:t xml:space="preserve">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w:t>
      </w:r>
      <w:r>
        <w:rPr>
          <w:rFonts w:ascii="Arial" w:hAnsi="Arial" w:cs="Arial"/>
          <w:color w:val="000000"/>
          <w:highlight w:val="green"/>
        </w:rPr>
        <w:lastRenderedPageBreak/>
        <w:t>Intendencia Nacional Jurídico Tributaria o a la Intendencia Nacional Jurídico Aduanera. Concluidas las revisiones, la Comisión de Gobierno de IA eleva la EIA al CGTD para su aprobación conforme al numeral 6.4.1.</w:t>
      </w:r>
    </w:p>
    <w:p w14:paraId="30D5631C"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r>
      <w:r>
        <w:rPr>
          <w:rFonts w:ascii="Arial" w:eastAsia="Arial" w:hAnsi="Arial" w:cs="Arial"/>
          <w:color w:val="000000"/>
          <w:highlight w:val="green"/>
        </w:rPr>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12A62F0C" w14:textId="5BB4595E"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r>
      <w:r>
        <w:rPr>
          <w:rFonts w:ascii="Arial" w:eastAsia="Arial" w:hAnsi="Arial" w:cs="Arial"/>
          <w:color w:val="000000"/>
          <w:highlight w:val="green"/>
        </w:rPr>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0D44F719"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r>
      <w:r>
        <w:rPr>
          <w:rFonts w:ascii="Arial" w:eastAsia="Arial" w:hAnsi="Arial" w:cs="Arial"/>
          <w:color w:val="000000"/>
          <w:highlight w:val="green"/>
        </w:rPr>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7407794D" w14:textId="7928FBA5"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r>
      <w:r>
        <w:rPr>
          <w:rFonts w:ascii="Arial" w:eastAsia="Arial" w:hAnsi="Arial" w:cs="Arial"/>
          <w:color w:val="000000"/>
          <w:highlight w:val="green"/>
        </w:rPr>
        <w:tab/>
        <w:t xml:space="preserve">El diseño de la arquitectura de los SBIA observa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proofErr w:type="spellStart"/>
      <w:r>
        <w:rPr>
          <w:rFonts w:ascii="Arial" w:eastAsia="Arial" w:hAnsi="Arial" w:cs="Arial"/>
          <w:color w:val="000000"/>
          <w:highlight w:val="green"/>
        </w:rPr>
        <w:t>agénticos</w:t>
      </w:r>
      <w:proofErr w:type="spellEnd"/>
      <w:r>
        <w:rPr>
          <w:rFonts w:ascii="Arial" w:eastAsia="Arial" w:hAnsi="Arial" w:cs="Arial"/>
          <w:color w:val="000000"/>
          <w:highlight w:val="green"/>
        </w:rPr>
        <w:t xml:space="preserve">, e infraestructura especializada), en el ámbito de su competencia y conforme a los literales a) y </w:t>
      </w:r>
      <w:r>
        <w:rPr>
          <w:rFonts w:ascii="Arial" w:eastAsia="Arial" w:hAnsi="Arial" w:cs="Arial"/>
          <w:color w:val="000000"/>
          <w:highlight w:val="green"/>
        </w:rPr>
        <w:lastRenderedPageBreak/>
        <w:t>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 xml:space="preserve">6.5.4   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7887CA88" w14:textId="2A83A4FB"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r>
      <w:r>
        <w:rPr>
          <w:rFonts w:ascii="Arial" w:eastAsia="Arial" w:hAnsi="Arial" w:cs="Arial"/>
          <w:color w:val="000000"/>
          <w:highlight w:val="green"/>
        </w:rPr>
        <w:tab/>
        <w:t>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observa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E8CBF01"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r>
      <w:r>
        <w:rPr>
          <w:rFonts w:ascii="Arial" w:eastAsia="Arial" w:hAnsi="Arial" w:cs="Arial"/>
          <w:color w:val="000000"/>
          <w:highlight w:val="green"/>
        </w:rPr>
        <w:tab/>
        <w:t xml:space="preserve">La publicación del código fuente de los SBIA financiados con fondos públicos, con licencia libre o abierta en la Plataforma Nacional de Software Público Peruano (PNSSP), se sujeta a la determinación previa de su publicabilidad. Esta obligación está prevista en el numeral 28.8 del artículo 28 del RLIA. Dicha </w:t>
      </w:r>
      <w:r>
        <w:rPr>
          <w:rFonts w:ascii="Arial" w:eastAsia="Arial" w:hAnsi="Arial" w:cs="Arial"/>
          <w:color w:val="000000"/>
          <w:highlight w:val="green"/>
        </w:rPr>
        <w:lastRenderedPageBreak/>
        <w:t>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7E8CBF0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r>
      <w:r>
        <w:rPr>
          <w:rFonts w:ascii="Arial" w:eastAsia="Arial" w:hAnsi="Arial" w:cs="Arial"/>
          <w:color w:val="000000"/>
          <w:highlight w:val="green"/>
        </w:rPr>
        <w:tab/>
        <w:t>La GA conduce la determinación de publicabilidad prevista en el numeral 6.5.7. La efectúa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determinado procedente, conforme a los mecanismos que establezca la Plataforma Nacional de Software Público Peruano.</w:t>
      </w:r>
    </w:p>
    <w:p w14:paraId="1268A681" w14:textId="0F8856AB"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6.5.9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r>
      <w:r>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r>
      <w:r>
        <w:rPr>
          <w:rFonts w:ascii="Arial" w:eastAsia="Arial" w:hAnsi="Arial" w:cs="Arial"/>
          <w:color w:val="000000"/>
          <w:highlight w:val="green"/>
        </w:rPr>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 xml:space="preserve">Human-on-the-loop (obligatorio para los SBIA de riesgo aceptable que interactúan directamente con el administrado o cuyo resultado influye en la atención que este recibe): Un supervisor humano monitorea las </w:t>
      </w:r>
      <w:r>
        <w:rPr>
          <w:b w:val="0"/>
          <w:bCs w:val="0"/>
          <w:color w:val="000000"/>
          <w:highlight w:val="green"/>
        </w:rPr>
        <w:lastRenderedPageBreak/>
        <w:t>operaciones del SBIA y puede intervenir ante anomalías, sin validar cada resultado individual. Aplica, entre otros, a chatbots de atención, asistentes de orientación y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237AE0C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3C0F269D"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76603A3D" w14:textId="0BFD730A"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w:t>
      </w:r>
      <w:r>
        <w:rPr>
          <w:rFonts w:ascii="Arial" w:eastAsia="Arial" w:hAnsi="Arial" w:cs="Arial"/>
          <w:color w:val="000000"/>
          <w:highlight w:val="green"/>
        </w:rPr>
        <w:t>La Comisión de Gobierno de IA verifica la implementación de estas medidas en la etapa 5 del numeral 6.1.1, con anterioridad al despliegue.</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r>
      <w:r>
        <w:rPr>
          <w:rFonts w:ascii="Arial" w:eastAsia="Arial" w:hAnsi="Arial" w:cs="Arial"/>
          <w:color w:val="000000"/>
          <w:highlight w:val="green"/>
        </w:rPr>
        <w:tab/>
        <w:t xml:space="preserve">Los SBIA cumplen la Política de Seguridad de la Información (SGSI-PO-01) y el Manual de Políticas del Sistema de Gestión de Seguridad de la Información </w:t>
      </w:r>
      <w:r>
        <w:rPr>
          <w:rFonts w:ascii="Arial" w:eastAsia="Arial" w:hAnsi="Arial" w:cs="Arial"/>
          <w:color w:val="000000"/>
          <w:highlight w:val="green"/>
        </w:rPr>
        <w:lastRenderedPageBreak/>
        <w:t xml:space="preserve">(SGSI-MA-03) de la SUNAT, en sus versiones vigentes. El Manual de Políticas </w:t>
      </w:r>
      <w:proofErr w:type="gramStart"/>
      <w:r>
        <w:rPr>
          <w:rFonts w:ascii="Arial" w:eastAsia="Arial" w:hAnsi="Arial" w:cs="Arial"/>
          <w:color w:val="000000"/>
          <w:highlight w:val="green"/>
        </w:rPr>
        <w:t>es de aplicación</w:t>
      </w:r>
      <w:proofErr w:type="gramEnd"/>
      <w:r>
        <w:rPr>
          <w:rFonts w:ascii="Arial" w:eastAsia="Arial" w:hAnsi="Arial" w:cs="Arial"/>
          <w:color w:val="000000"/>
          <w:highlight w:val="green"/>
        </w:rPr>
        <w:t xml:space="preserve">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7E8CBEA9" w14:textId="106B89D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r>
      <w:r>
        <w:rPr>
          <w:rFonts w:ascii="Arial" w:eastAsia="Arial" w:hAnsi="Arial" w:cs="Arial"/>
          <w:color w:val="000000"/>
          <w:highlight w:val="green"/>
        </w:rPr>
        <w:tab/>
        <w:t>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7E8CB041"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7E8CB042"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7E8CB043"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Registro inmutable de auditoría (logs) de todas las interacciones.</w:t>
      </w:r>
    </w:p>
    <w:p w14:paraId="7E8CB04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Evaluación de vulnerabilidades conforme al OWASP Top 10 para aplicaciones LLM, en la versión que determine el documento normativo del numeral 6.7.7.</w:t>
      </w:r>
    </w:p>
    <w:p w14:paraId="7E8CB04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7E8CB046"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7E8CB047"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2EFB00D1" w14:textId="5ED01BF8"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lastRenderedPageBreak/>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98BB3C3"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r>
      <w:r>
        <w:rPr>
          <w:rFonts w:ascii="Arial" w:eastAsia="Arial" w:hAnsi="Arial" w:cs="Arial"/>
          <w:color w:val="000000"/>
          <w:highlight w:val="green"/>
        </w:rPr>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6E9624DC" w14:textId="77777777" w:rsidR="00AF13D8" w:rsidRDefault="003173B4" w:rsidP="00AF13D8">
      <w:pPr>
        <w:spacing w:after="60" w:line="276" w:lineRule="auto"/>
        <w:ind w:left="1276" w:hanging="720"/>
        <w:jc w:val="both"/>
        <w:rPr>
          <w:rFonts w:ascii="Arial" w:eastAsia="Arial" w:hAnsi="Arial" w:cs="Arial"/>
          <w:color w:val="000000"/>
        </w:rPr>
      </w:pPr>
      <w:proofErr w:type="gramStart"/>
      <w:r>
        <w:rPr>
          <w:rFonts w:ascii="Arial" w:eastAsia="Arial" w:hAnsi="Arial" w:cs="Arial"/>
          <w:color w:val="000000"/>
          <w:highlight w:val="green"/>
        </w:rPr>
        <w:lastRenderedPageBreak/>
        <w:t>6.7.8  El</w:t>
      </w:r>
      <w:proofErr w:type="gramEnd"/>
      <w:r>
        <w:rPr>
          <w:rFonts w:ascii="Arial" w:eastAsia="Arial" w:hAnsi="Arial" w:cs="Arial"/>
          <w:color w:val="000000"/>
          <w:highlight w:val="green"/>
        </w:rPr>
        <w:t xml:space="preserve">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La conservación, el acceso y el uso de dicha información observan la 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36612602" w14:textId="22353745" w:rsidR="00931E16" w:rsidRDefault="00931E16" w:rsidP="00AF13D8">
      <w:pPr>
        <w:pStyle w:val="SubtituloDONI"/>
        <w:spacing w:line="276" w:lineRule="auto"/>
        <w:ind w:left="851"/>
      </w:pPr>
      <w:r>
        <w:t>6.8</w:t>
      </w:r>
      <w: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35456B5D" w14:textId="381E8B3C"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r>
      <w:r>
        <w:rPr>
          <w:rFonts w:ascii="Arial" w:eastAsia="Arial" w:hAnsi="Arial" w:cs="Arial"/>
          <w:color w:val="000000"/>
          <w:highlight w:val="green"/>
        </w:rPr>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FB2EA4" w14:textId="149956E8"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6.8.5   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6FEA09F8" w14:textId="58C73FD8"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31AFF679"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lastRenderedPageBreak/>
        <w:t>6.9.2</w:t>
      </w:r>
      <w:r>
        <w:rPr>
          <w:rFonts w:ascii="Arial" w:eastAsia="Arial" w:hAnsi="Arial" w:cs="Arial"/>
          <w:color w:val="000000"/>
          <w:highlight w:val="cyan"/>
        </w:rPr>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71D174A5" w14:textId="028570D3" w:rsidR="00836DA1" w:rsidRPr="00E151B6" w:rsidRDefault="00000000" w:rsidP="005060AB">
      <w:pPr>
        <w:spacing w:after="60" w:line="276" w:lineRule="auto"/>
        <w:ind w:left="1276" w:hanging="709"/>
        <w:jc w:val="both"/>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sobre confidencialidad de la información aduanera.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6.9.5    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C9C3B6B" w14:textId="4657A750"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6.9.6</w:t>
      </w:r>
      <w:r>
        <w:rPr>
          <w:rFonts w:ascii="Arial" w:eastAsia="Arial" w:hAnsi="Arial" w:cs="Arial"/>
          <w:color w:val="000000"/>
          <w:highlight w:val="green"/>
        </w:rPr>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41D4B896" w14:textId="6637DD12"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r>
      <w:r>
        <w:rPr>
          <w:rFonts w:ascii="Arial" w:eastAsia="Arial" w:hAnsi="Arial" w:cs="Arial"/>
          <w:color w:val="000000"/>
          <w:highlight w:val="green"/>
        </w:rPr>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Cuando el plan de monitoreo prevea vigilancia automatizada, esta </w:t>
      </w:r>
      <w:proofErr w:type="spellStart"/>
      <w:r>
        <w:rPr>
          <w:rFonts w:ascii="Arial" w:eastAsia="Arial" w:hAnsi="Arial" w:cs="Arial"/>
          <w:color w:val="000000"/>
          <w:highlight w:val="green"/>
        </w:rPr>
        <w:t>opera</w:t>
      </w:r>
      <w:proofErr w:type="spellEnd"/>
      <w:r>
        <w:rPr>
          <w:rFonts w:ascii="Arial" w:eastAsia="Arial" w:hAnsi="Arial" w:cs="Arial"/>
          <w:color w:val="000000"/>
          <w:highlight w:val="green"/>
        </w:rPr>
        <w:t xml:space="preserve">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50494295"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r>
      <w:r>
        <w:rPr>
          <w:rFonts w:ascii="Arial" w:eastAsia="Arial" w:hAnsi="Arial" w:cs="Arial"/>
          <w:color w:val="000000"/>
          <w:highlight w:val="green"/>
        </w:rPr>
        <w:tab/>
        <w:t xml:space="preserve">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correspondientes se definen con anterioridad a la puesta en producción del SBIA, conforme a la metodología prevista en el numeral 6.1.5. En tanto no se </w:t>
      </w:r>
      <w:r>
        <w:rPr>
          <w:rFonts w:ascii="Arial" w:eastAsia="Arial" w:hAnsi="Arial" w:cs="Arial"/>
          <w:color w:val="000000"/>
          <w:highlight w:val="green"/>
        </w:rPr>
        <w:lastRenderedPageBreak/>
        <w:t>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conforme al numeral 6.10.5 y lo comunica a la Comisión de Gobierno de IA. La Comisión valida dicha calificación.</w:t>
      </w:r>
    </w:p>
    <w:p w14:paraId="0FD1A58F" w14:textId="702BE45E"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 xml:space="preserve">5 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 xml:space="preserve">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w:t>
      </w:r>
      <w:r>
        <w:rPr>
          <w:rFonts w:ascii="Arial" w:hAnsi="Arial" w:cs="Arial"/>
          <w:highlight w:val="lightGray"/>
        </w:rPr>
        <w:lastRenderedPageBreak/>
        <w:t>seguimiento reforzado durante el periodo que corresponda a su nivel de riesgo, conforme a la metodología prevista en el numeral 6.1.5.</w:t>
      </w:r>
    </w:p>
    <w:p w14:paraId="3CCCA354" w14:textId="673502CA" w:rsidR="00975D3B" w:rsidRDefault="00975D3B" w:rsidP="00532CB5">
      <w:pPr>
        <w:spacing w:after="0" w:line="276" w:lineRule="auto"/>
        <w:ind w:left="1276" w:hanging="709"/>
        <w:jc w:val="both"/>
        <w:rPr>
          <w:rFonts w:ascii="Arial" w:hAnsi="Arial" w:cs="Arial"/>
        </w:rPr>
      </w:pPr>
      <w:r>
        <w:rPr>
          <w:rFonts w:ascii="Arial" w:hAnsi="Arial" w:cs="Arial"/>
          <w:highlight w:val="green"/>
        </w:rPr>
        <w:t>6.10.6 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0EEEF7F1" w14:textId="77777777" w:rsidR="00D02E5D" w:rsidRDefault="00D02E5D"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r>
      <w:r>
        <w:rPr>
          <w:rFonts w:ascii="Arial" w:eastAsia="Arial" w:hAnsi="Arial" w:cs="Arial"/>
          <w:color w:val="000000"/>
          <w:highlight w:val="green"/>
        </w:rPr>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3C290EE9"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6.11.3</w:t>
      </w:r>
      <w:r>
        <w:rPr>
          <w:rFonts w:ascii="Arial" w:eastAsia="Arial" w:hAnsi="Arial" w:cs="Arial"/>
          <w:color w:val="000000"/>
          <w:highlight w:val="green"/>
        </w:rPr>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106A4EF" w14:textId="0149CC0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r>
      <w:r>
        <w:rPr>
          <w:rFonts w:ascii="Arial" w:eastAsia="Arial" w:hAnsi="Arial" w:cs="Arial"/>
          <w:color w:val="000000"/>
          <w:highlight w:val="green"/>
        </w:rPr>
        <w:tab/>
        <w:t>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26F26301" w14:textId="57532198"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 xml:space="preserve">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w:t>
      </w:r>
      <w:r>
        <w:rPr>
          <w:rFonts w:ascii="Arial" w:eastAsia="Arial" w:hAnsi="Arial" w:cs="Arial"/>
          <w:color w:val="000000"/>
          <w:highlight w:val="green"/>
        </w:rPr>
        <w:lastRenderedPageBreak/>
        <w:t>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6E4BF19C"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r>
      <w:r>
        <w:rPr>
          <w:rFonts w:ascii="Arial" w:eastAsia="Arial" w:hAnsi="Arial" w:cs="Arial"/>
          <w:color w:val="000000"/>
          <w:highlight w:val="green"/>
        </w:rPr>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49A67712" w14:textId="01D590D3"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r>
      <w:r>
        <w:rPr>
          <w:rFonts w:ascii="Arial" w:eastAsia="Arial" w:hAnsi="Arial" w:cs="Arial"/>
          <w:color w:val="000000"/>
          <w:highlight w:val="green"/>
        </w:rPr>
        <w:tab/>
        <w:t>La unidad de organización que formula los términos de referencia o las especificaciones técnicas incorpora en ellos las cláusulas que el contrato debe 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0C47E374" w14:textId="3352CADB"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r>
      <w:r>
        <w:rPr>
          <w:rFonts w:ascii="Arial" w:eastAsia="Arial" w:hAnsi="Arial" w:cs="Arial"/>
          <w:color w:val="000000"/>
          <w:highlight w:val="green"/>
        </w:rPr>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3CED9203" w14:textId="1D2ED1E6"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r>
      <w:r>
        <w:rPr>
          <w:rFonts w:ascii="Arial" w:eastAsia="Arial" w:hAnsi="Arial" w:cs="Arial"/>
          <w:color w:val="000000"/>
          <w:highlight w:val="green"/>
        </w:rPr>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010751C3" w14:textId="6D6A6F40"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r>
      <w:r>
        <w:rPr>
          <w:rFonts w:ascii="Arial" w:eastAsia="Arial" w:hAnsi="Arial" w:cs="Arial"/>
          <w:color w:val="000000"/>
          <w:highlight w:val="green"/>
        </w:rPr>
        <w:tab/>
        <w:t xml:space="preserve">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w:t>
      </w:r>
      <w:r>
        <w:rPr>
          <w:rFonts w:ascii="Arial" w:eastAsia="Arial" w:hAnsi="Arial" w:cs="Arial"/>
          <w:color w:val="000000"/>
          <w:highlight w:val="green"/>
        </w:rPr>
        <w:lastRenderedPageBreak/>
        <w:t>documentación exigible al evaluar el componente de IA del caso de uso. No se admiten soluciones de caja negra no auditables.</w:t>
      </w:r>
    </w:p>
    <w:p w14:paraId="10D8630F" w14:textId="5E280ED4" w:rsidR="00863A18" w:rsidRPr="00641EAF" w:rsidRDefault="00863A18" w:rsidP="00B23382">
      <w:pPr>
        <w:pStyle w:val="SubtituloDONI"/>
        <w:spacing w:line="276" w:lineRule="auto"/>
        <w:ind w:left="851"/>
        <w:rPr>
          <w:highlight w:val="green"/>
        </w:rPr>
      </w:pPr>
      <w:r>
        <w:rPr>
          <w:highlight w:val="green"/>
        </w:rPr>
        <w:t>6.13</w:t>
      </w:r>
      <w:r>
        <w:rPr>
          <w:highlight w:val="green"/>
        </w:rPr>
        <w:tab/>
        <w:t>De la sensibilización, la capacitación y la gestión del cambio</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 Sensibilización</w:t>
      </w:r>
    </w:p>
    <w:p w14:paraId="493B9300" w14:textId="0F4E7D1E"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3767110" w14:textId="2168B6DA"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31E5E6A5" w14:textId="4444DFFE"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finalidad y los principios institucionales aplicables a los SBIA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24701C8F" w14:textId="2639B34D"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7C045AC2" w14:textId="6A9D42B1"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 Capacitación y fortalecimiento de capacidades</w:t>
      </w:r>
    </w:p>
    <w:p w14:paraId="56A6AAD2" w14:textId="212748F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 La Intendencia Nacional de Recursos Humanos las incorpora en dicho instrumento a propuesta de la Comisión de Gobierno de IA. En tanto no se incorporen, las acciones formativas en materia de IA se ejecutan conforme al presente numeral.</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4DC2972A" w14:textId="18A76C3B"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lastRenderedPageBreak/>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6B9B86CB" w14:textId="1D765222"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r>
      <w:r>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67606C62"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3A774E9A"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observa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60F5B515" w14:textId="4A2084F4"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2"/>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w:t>
      </w:r>
      <w:r>
        <w:rPr>
          <w:rFonts w:ascii="Arial" w:eastAsia="Arial" w:hAnsi="Arial" w:cs="Arial"/>
          <w:color w:val="000000"/>
          <w:highlight w:val="yellow"/>
        </w:rPr>
        <w:lastRenderedPageBreak/>
        <w:t>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 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771DA7B9" w14:textId="3C9387F3"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6.15.2 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 xml:space="preserve">6.15.3 En la gestión de la demanda informática, cuando un requerimiento implique el desarrollo, la adquisición o el uso de un SBIA o de una herramienta de IA, se recaba la opinión de la Comisión antes de su atención, con los formatos </w:t>
      </w:r>
      <w:r>
        <w:rPr>
          <w:rFonts w:ascii="Arial" w:hAnsi="Arial" w:cs="Arial"/>
          <w:highlight w:val="lightGray"/>
        </w:rPr>
        <w:lastRenderedPageBreak/>
        <w:t>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6.15.4 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6.15.5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6F88953C" w:rsidR="00670027" w:rsidRDefault="00326739" w:rsidP="00EF2B54">
      <w:pPr>
        <w:spacing w:after="60" w:line="276" w:lineRule="auto"/>
        <w:ind w:left="1276" w:hanging="709"/>
        <w:jc w:val="both"/>
        <w:rPr>
          <w:rFonts w:ascii="Arial" w:hAnsi="Arial" w:cs="Arial"/>
        </w:rPr>
      </w:pPr>
      <w:r>
        <w:rPr>
          <w:rFonts w:ascii="Arial" w:hAnsi="Arial" w:cs="Arial"/>
          <w:highlight w:val="green"/>
        </w:rPr>
        <w:t>6.15.6 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6.15.7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lastRenderedPageBreak/>
        <w:tab/>
      </w:r>
      <w:r>
        <w:rPr>
          <w:rFonts w:ascii="Arial" w:hAnsi="Arial" w:cs="Arial"/>
          <w:highlight w:val="green"/>
        </w:rPr>
        <w:t>6.15.8 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6.15.9 Cuando se requiera sustentar la opinión de la Comisión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6.15.10 La unidad de organización competente del MGPP incorpora en dicho instrumento el momento y la instancia ante la que se recaba la opinión, conforme al numeral 7.6.</w:t>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3CF688B6"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482CBA45" w14:textId="0E4C9FB1" w:rsidR="00CB040E" w:rsidRPr="0094125C" w:rsidRDefault="00CB040E" w:rsidP="00180A95">
      <w:pPr>
        <w:pStyle w:val="SubtituloDONI"/>
        <w:spacing w:line="276" w:lineRule="auto"/>
        <w:ind w:left="851"/>
        <w:rPr>
          <w:b w:val="0"/>
          <w:bCs w:val="0"/>
          <w:highlight w:val="green"/>
        </w:rPr>
      </w:pPr>
      <w:r>
        <w:rPr>
          <w:b w:val="0"/>
          <w:bCs w:val="0"/>
          <w:highlight w:val="green"/>
        </w:rPr>
        <w:t>7.4</w:t>
      </w:r>
      <w:r>
        <w:rPr>
          <w:b w:val="0"/>
          <w:bCs w:val="0"/>
          <w:highlight w:val="green"/>
        </w:rPr>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38F22730" w:rsidR="00836DA1" w:rsidRDefault="00000000">
      <w:pPr>
        <w:pStyle w:val="SubtituloDONI"/>
        <w:spacing w:line="276" w:lineRule="auto"/>
        <w:ind w:left="851"/>
        <w:rPr>
          <w:b w:val="0"/>
          <w:bCs w:val="0"/>
        </w:rPr>
      </w:pPr>
      <w:r>
        <w:rPr>
          <w:b w:val="0"/>
          <w:bCs w:val="0"/>
          <w:color w:val="000000"/>
          <w:highlight w:val="green"/>
        </w:rPr>
        <w:t>7.6</w:t>
      </w:r>
      <w:r>
        <w:rPr>
          <w:color w:val="000000"/>
          <w:highlight w:val="green"/>
        </w:rPr>
        <w:tab/>
      </w:r>
      <w:r>
        <w:rPr>
          <w:b w:val="0"/>
          <w:bCs w:val="0"/>
          <w:color w:val="000000"/>
          <w:highlight w:val="green"/>
        </w:rPr>
        <w:t xml:space="preserve">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w:t>
      </w:r>
      <w:r>
        <w:rPr>
          <w:b w:val="0"/>
          <w:bCs w:val="0"/>
          <w:color w:val="000000"/>
          <w:highlight w:val="green"/>
        </w:rPr>
        <w:lastRenderedPageBreak/>
        <w:t>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48BCADDA" w:rsidR="0018147B" w:rsidRDefault="00000000">
      <w:pPr>
        <w:pStyle w:val="SubtituloDONI"/>
        <w:spacing w:line="276" w:lineRule="auto"/>
        <w:ind w:left="851"/>
        <w:rPr>
          <w:b w:val="0"/>
          <w:bCs w:val="0"/>
        </w:rPr>
      </w:pPr>
      <w:r>
        <w:rPr>
          <w:b w:val="0"/>
          <w:bCs w:val="0"/>
        </w:rPr>
        <w:t>7.8</w:t>
      </w:r>
      <w:r>
        <w:rPr>
          <w:b w:val="0"/>
          <w:bCs w:val="0"/>
        </w:rPr>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5617D77E" w14:textId="668AAD48" w:rsidR="0018147B" w:rsidRDefault="00000000" w:rsidP="00174519">
      <w:pPr>
        <w:pStyle w:val="SubtituloDONI"/>
        <w:spacing w:line="276" w:lineRule="auto"/>
        <w:ind w:left="851"/>
        <w:rPr>
          <w:b w:val="0"/>
          <w:bCs w:val="0"/>
        </w:rPr>
      </w:pPr>
      <w:r>
        <w:rPr>
          <w:b w:val="0"/>
          <w:bCs w:val="0"/>
          <w:highlight w:val="green"/>
        </w:rPr>
        <w:t>7.9</w:t>
      </w:r>
      <w:r>
        <w:rPr>
          <w:b w:val="0"/>
          <w:bCs w:val="0"/>
          <w:highlight w:val="green"/>
        </w:rPr>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6BB2EF90" w14:textId="0AE33180"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Pr>
          <w:b w:val="0"/>
          <w:bCs w:val="0"/>
          <w:highlight w:val="green"/>
        </w:rPr>
        <w:t>En tanto no se emitan dichos lineamientos y no se designe al OIA, el Coordinador designado conforme al numeral 7.3 ejerce las funciones de coordinación técnica en materia de IA. Designado el OIA, la coordinación de la Comisión de Gobierno de IA recae en él, salvo que los lineamientos de la SGTD dispongan una articulación distinta. La Comisión de Gobierno de IA evalúa su articulación conforme a dichos lineamientos y propone al CGTD los ajustes que correspondan.</w:t>
      </w:r>
    </w:p>
    <w:p w14:paraId="4A9D4BA4" w14:textId="519B53C3" w:rsidR="000153F0" w:rsidRDefault="00000000">
      <w:pPr>
        <w:pStyle w:val="SubtituloDONI"/>
        <w:spacing w:line="276" w:lineRule="auto"/>
        <w:ind w:left="851"/>
        <w:rPr>
          <w:b w:val="0"/>
          <w:bCs w:val="0"/>
        </w:rPr>
      </w:pPr>
      <w:r>
        <w:rPr>
          <w:b w:val="0"/>
          <w:bCs w:val="0"/>
          <w:highlight w:val="yellow"/>
        </w:rPr>
        <w:lastRenderedPageBreak/>
        <w:t>7.11</w:t>
      </w:r>
      <w:r>
        <w:rPr>
          <w:b w:val="0"/>
          <w:bCs w:val="0"/>
          <w:highlight w:val="yellow"/>
        </w:rPr>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7EBB5326" w14:textId="3A404617" w:rsidR="002555BF" w:rsidRPr="002555BF" w:rsidRDefault="002555BF" w:rsidP="002555BF">
      <w:pPr>
        <w:pStyle w:val="SubtituloDONI"/>
        <w:spacing w:line="276" w:lineRule="auto"/>
        <w:ind w:left="851" w:hanging="709"/>
        <w:rPr>
          <w:b w:val="0"/>
          <w:bCs w:val="0"/>
          <w:highlight w:val="green"/>
        </w:rPr>
      </w:pPr>
      <w:r>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5A18DFFE" w14:textId="5103729B" w:rsidR="00863A18" w:rsidRPr="00923C59" w:rsidRDefault="004F49BB" w:rsidP="0029383A">
      <w:pPr>
        <w:spacing w:line="276" w:lineRule="auto"/>
        <w:rPr>
          <w:rFonts w:ascii="Arial" w:hAnsi="Arial" w:cs="Arial"/>
        </w:rPr>
      </w:pPr>
      <w:r>
        <w:rPr>
          <w:rFonts w:ascii="Arial" w:eastAsia="Arial" w:hAnsi="Arial" w:cs="Arial"/>
          <w:b/>
          <w:bCs/>
          <w:color w:val="000000"/>
        </w:rPr>
        <w:br w:type="page"/>
      </w:r>
      <w:r>
        <w:rPr>
          <w:rFonts w:ascii="Arial" w:eastAsia="Arial" w:hAnsi="Arial" w:cs="Arial"/>
          <w:b/>
          <w:bCs/>
          <w:color w:val="000000"/>
        </w:rPr>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E36AF3"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 xml:space="preserve">Human-in-the-loop,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lastRenderedPageBreak/>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23D13D4B"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9744CC" w14:textId="20BAB29E"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372857" w14:textId="17F26029"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3708B" w14:textId="2EC9491A"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6EA856A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0C8B53" w14:textId="0F0DF14F"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C5FF" w14:textId="273A751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D8F1E" w14:textId="77C4A33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3D4C741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7B" w14:textId="73D4C0D2"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14" w14:textId="51C3B168"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4C" w14:textId="6A9151AF"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3D4C74B2" w14:textId="777777B3"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B4" w14:textId="73D4C0B5"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B6" w14:textId="51C3B1B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B8" w14:textId="6A9151B9"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3D4C74C1" w14:textId="777777C2"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C3" w14:textId="73D4C0C4"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C5" w14:textId="51C3B1C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C7" w14:textId="6A9151C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3D4C74C9" w14:textId="777777CA"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CB" w14:textId="73D4C0CC"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lastRenderedPageBreak/>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CD" w14:textId="51C3B1CE"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CF" w14:textId="6A9151D0"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3D4C74D1" w14:textId="777777D2"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D3" w14:textId="73D4C0D4"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D5" w14:textId="51C3B1D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D7" w14:textId="6A9151D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3D4C74D9" w14:textId="777777DA"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DB" w14:textId="73D4C0DC"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DD" w14:textId="51C3B1DE"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DF" w14:textId="6A9151E0"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3C834C6F"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AE976C9" w14:textId="076B5AB3"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A1"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65466B3F"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015A194B"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443EB5A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771AACE6" w14:textId="177813A3"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5567F002"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2ABECD53"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17E05AAF" w14:textId="016F6D3F"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77DBA450" w14:textId="31B8CBF9"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t>Sección 4 — Datos:</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lastRenderedPageBreak/>
        <w:t>Datos requeridos: fuentes, tipos y presencia de datos personales, de datos sensibles, de datos biométricos o de información sujeta 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7ABB4F11"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576F94A7" w14:textId="572C4FB4"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4B1C8D62" w14:textId="21CE2D88"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4CFE0" w14:textId="77777777" w:rsidR="002E160F" w:rsidRDefault="002E160F">
      <w:pPr>
        <w:spacing w:after="0" w:line="240" w:lineRule="auto"/>
      </w:pPr>
      <w:r>
        <w:separator/>
      </w:r>
    </w:p>
  </w:endnote>
  <w:endnote w:type="continuationSeparator" w:id="0">
    <w:p w14:paraId="3EF1E784" w14:textId="77777777" w:rsidR="002E160F" w:rsidRDefault="002E1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BEBEE" w14:textId="77777777" w:rsidR="002E160F" w:rsidRDefault="002E160F">
      <w:pPr>
        <w:spacing w:after="0" w:line="240" w:lineRule="auto"/>
      </w:pPr>
      <w:r>
        <w:separator/>
      </w:r>
    </w:p>
  </w:footnote>
  <w:footnote w:type="continuationSeparator" w:id="0">
    <w:p w14:paraId="7FFDA65C" w14:textId="77777777" w:rsidR="002E160F" w:rsidRDefault="002E160F">
      <w:pPr>
        <w:spacing w:after="0" w:line="240" w:lineRule="auto"/>
      </w:pPr>
      <w:r>
        <w:continuationSeparator/>
      </w:r>
    </w:p>
  </w:footnote>
  <w:footnote w:id="1">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2E160F"/>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36AF3"/>
    <w:rsid w:val="00E4189E"/>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3.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07781DB-EED9-4359-8AD9-68137B52B7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10572</TotalTime>
  <Pages>53</Pages>
  <Words>18357</Words>
  <Characters>100967</Characters>
  <Application>Microsoft Office Word</Application>
  <DocSecurity>0</DocSecurity>
  <Lines>841</Lines>
  <Paragraphs>238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247</cp:revision>
  <dcterms:created xsi:type="dcterms:W3CDTF">2026-03-23T21:09:00Z</dcterms:created>
  <dcterms:modified xsi:type="dcterms:W3CDTF">2026-08-28T23:49:00Z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