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la clasificación de riesgo de todos los SBIA conforme al numeral 6.2.2: de manera individual en los de riesgo alto y en los estratégicos para la entidad, y de manera agregada en los de riesgo 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w:t>
            </w:r>
            <w:r w:rsidRPr="002840F0">
              <w:rPr>
                <w:b w:val="0"/>
                <w:bCs w:val="0"/>
                <w:highlight w:val="green"/>
              </w:rPr>
              <w:lastRenderedPageBreak/>
              <w:t>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w:t>
            </w:r>
            <w:r w:rsidRPr="00236A5F">
              <w:rPr>
                <w:rFonts w:ascii="Arial" w:eastAsia="Arial" w:hAnsi="Arial" w:cs="Arial"/>
                <w:highlight w:val="green"/>
              </w:rPr>
              <w:lastRenderedPageBreak/>
              <w:t>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w:t>
            </w:r>
            <w:r w:rsidRPr="00FA4DEA">
              <w:rPr>
                <w:rFonts w:ascii="Arial" w:hAnsi="Arial" w:cs="Arial"/>
                <w:highlight w:val="green"/>
              </w:rPr>
              <w:lastRenderedPageBreak/>
              <w:t>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C7FE5D3"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lastRenderedPageBreak/>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lastRenderedPageBreak/>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BEBC95D" w:rsidR="00863A18" w:rsidRPr="00923C59" w:rsidRDefault="00863A18" w:rsidP="00B23382">
      <w:pPr>
        <w:spacing w:after="60" w:line="276" w:lineRule="auto"/>
        <w:ind w:left="1276" w:hanging="720"/>
        <w:jc w:val="both"/>
        <w:rPr>
          <w:rFonts w:ascii="Arial" w:eastAsia="Arial" w:hAnsi="Arial" w:cs="Arial"/>
          <w:color w:val="000000"/>
        </w:rPr>
      </w:pPr>
      <w:r w:rsidRPr="00275B9B">
        <w:rPr>
          <w:rFonts w:ascii="Arial" w:hAnsi="Arial" w:cs="Arial"/>
          <w:color w:val="000000"/>
          <w:highlight w:val="green"/>
        </w:rPr>
        <w:t>6.4.2</w:t>
      </w:r>
      <w:r w:rsidRPr="00275B9B">
        <w:rPr>
          <w:rFonts w:ascii="Arial" w:hAnsi="Arial" w:cs="Arial"/>
          <w:color w:val="000000"/>
          <w:highlight w:val="green"/>
        </w:rPr>
        <w:tab/>
      </w:r>
      <w:r w:rsidR="00275B9B" w:rsidRPr="00275B9B">
        <w:rPr>
          <w:rFonts w:ascii="Arial" w:hAnsi="Arial" w:cs="Arial"/>
          <w:color w:val="000000"/>
          <w:highlight w:val="green"/>
        </w:rPr>
        <w:t>El propietario del caso de uso elabora la EIA con la participación del equipo técnico multidisciplinario del SBIA, que se conforma en función de la necesidad y la complejidad de la materia y comprende, cuando menos, a las gerencias de la INSI involucradas en su desarrollo o adquisición. La EIA incorpora los aspectos de negocio (en particular el impacto en el administrado) y los aspectos técnicos. La Comisión de Gobierno de IA, la OII, el Oficial de Datos Personales y la INALI la revisan en el ámbito de las competencias que les asigna el numeral 5.4.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lastRenderedPageBreak/>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68189DC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w:t>
      </w:r>
      <w:r w:rsidRPr="005C3A70">
        <w:rPr>
          <w:rFonts w:ascii="Arial" w:eastAsia="Arial" w:hAnsi="Arial" w:cs="Arial"/>
          <w:color w:val="000000"/>
          <w:highlight w:val="lightGray"/>
        </w:rPr>
        <w:lastRenderedPageBreak/>
        <w:t xml:space="preserve">reglas de detección de riesgo cuya divulgación comprometa la función de control. La GA, con opinión de la INALI y de la Oficina de Seguridad Informática, determina la publicabilidad antes de cada liberación mayor; la GDS ejecuta la publicación cuando corresponda. </w:t>
      </w:r>
      <w:r w:rsidR="000F31A1" w:rsidRPr="000F31A1">
        <w:rPr>
          <w:rFonts w:ascii="Arial" w:eastAsia="Arial" w:hAnsi="Arial" w:cs="Arial"/>
          <w:color w:val="000000"/>
          <w:highlight w:val="green"/>
        </w:rPr>
        <w:t>Cuando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xml:space="preserve">; y anonimización o </w:t>
      </w:r>
      <w:r>
        <w:rPr>
          <w:rFonts w:ascii="Arial" w:eastAsia="Arial" w:hAnsi="Arial" w:cs="Arial"/>
          <w:color w:val="000000"/>
          <w:highlight w:val="yellow"/>
        </w:rPr>
        <w:lastRenderedPageBreak/>
        <w:t>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3FA42270"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numeral 6.7.2 y la periodicidad de las pruebas de </w:t>
      </w:r>
      <w:r w:rsidR="00AF13D8" w:rsidRPr="00AF13D8">
        <w:rPr>
          <w:rFonts w:ascii="Arial" w:eastAsia="Arial" w:hAnsi="Arial" w:cs="Arial"/>
          <w:color w:val="000000"/>
          <w:highlight w:val="green"/>
        </w:rPr>
        <w:lastRenderedPageBreak/>
        <w:t>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Pr="00AF13D8">
        <w:rPr>
          <w:rFonts w:ascii="Arial" w:eastAsia="Arial" w:hAnsi="Arial" w:cs="Arial"/>
          <w:color w:val="000000"/>
          <w:highlight w:val="green"/>
        </w:rPr>
        <w:t>.</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Reglamento. La </w:t>
      </w:r>
      <w:r w:rsidR="00E207DD" w:rsidRPr="00E207DD">
        <w:rPr>
          <w:rFonts w:ascii="Arial" w:eastAsia="Arial" w:hAnsi="Arial" w:cs="Arial"/>
          <w:color w:val="000000"/>
          <w:highlight w:val="green"/>
        </w:rPr>
        <w:lastRenderedPageBreak/>
        <w:t>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lastRenderedPageBreak/>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w:t>
      </w:r>
      <w:r w:rsidR="00975D3B" w:rsidRPr="00975D3B">
        <w:rPr>
          <w:rFonts w:ascii="Arial" w:eastAsia="Arial" w:hAnsi="Arial" w:cs="Arial"/>
          <w:color w:val="000000"/>
          <w:highlight w:val="green"/>
        </w:rPr>
        <w:lastRenderedPageBreak/>
        <w:t>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xml:space="preserve">, que comprende los indicadores de sesgo del </w:t>
      </w:r>
      <w:r w:rsidRPr="00D950D6">
        <w:rPr>
          <w:rFonts w:ascii="Arial" w:eastAsia="Arial" w:hAnsi="Arial" w:cs="Arial"/>
          <w:color w:val="000000"/>
          <w:highlight w:val="green"/>
        </w:rPr>
        <w:lastRenderedPageBreak/>
        <w:t>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w:t>
      </w:r>
      <w:r w:rsidR="00D12015" w:rsidRPr="00D12015">
        <w:rPr>
          <w:rFonts w:ascii="Arial" w:eastAsia="Arial" w:hAnsi="Arial" w:cs="Arial"/>
          <w:color w:val="000000"/>
          <w:highlight w:val="green"/>
        </w:rPr>
        <w:lastRenderedPageBreak/>
        <w:t>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6F1EEB3" w:rsidR="0018147B" w:rsidRDefault="00000000" w:rsidP="009A1F1B">
      <w:pPr>
        <w:spacing w:after="60" w:line="276" w:lineRule="auto"/>
        <w:ind w:left="1276" w:hanging="720"/>
        <w:jc w:val="both"/>
        <w:rPr>
          <w:rFonts w:ascii="Arial" w:eastAsia="Arial" w:hAnsi="Arial" w:cs="Arial"/>
          <w:color w:val="000000"/>
        </w:rPr>
      </w:pPr>
      <w:r w:rsidRPr="009A1F1B">
        <w:rPr>
          <w:rFonts w:ascii="Arial" w:eastAsia="Arial" w:hAnsi="Arial" w:cs="Arial"/>
          <w:color w:val="000000"/>
          <w:highlight w:val="green"/>
        </w:rPr>
        <w:t>6.12.5</w:t>
      </w:r>
      <w:r w:rsidRPr="009A1F1B">
        <w:rPr>
          <w:rFonts w:ascii="Arial" w:eastAsia="Arial" w:hAnsi="Arial" w:cs="Arial"/>
          <w:color w:val="000000"/>
          <w:highlight w:val="green"/>
        </w:rPr>
        <w:tab/>
      </w:r>
      <w:r w:rsidR="009A1F1B" w:rsidRPr="009A1F1B">
        <w:rPr>
          <w:rFonts w:ascii="Arial" w:eastAsia="Arial" w:hAnsi="Arial" w:cs="Arial"/>
          <w:color w:val="000000"/>
          <w:highlight w:val="green"/>
        </w:rPr>
        <w:t>Para los SBIA de riesgo alto, los contratos obligan al proveedor a entregar la documentación</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técnica que permita comprender la lógica general del modelo y los factores que influyen en sus</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resultados, en la medida necesaria para el cumplimiento de las obligaciones de transparencia y</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sistemas basados en IA es sensibilizado respecto del uso seguro, responsable y ético de dichos sistemas, así como de los riesgos </w:t>
      </w:r>
      <w:r w:rsidRPr="00833CDE">
        <w:rPr>
          <w:rFonts w:ascii="Arial" w:eastAsia="Arial" w:hAnsi="Arial" w:cs="Arial"/>
          <w:color w:val="000000"/>
          <w:highlight w:val="lightGray"/>
        </w:rPr>
        <w:lastRenderedPageBreak/>
        <w:t>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34D948A3"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4"/>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 xml:space="preserve">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w:t>
      </w:r>
      <w:r w:rsidR="006D44AB" w:rsidRPr="006D44AB">
        <w:rPr>
          <w:rFonts w:ascii="Arial" w:hAnsi="Arial" w:cs="Arial"/>
          <w:highlight w:val="green"/>
        </w:rPr>
        <w:lastRenderedPageBreak/>
        <w:t>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lastRenderedPageBreak/>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w:t>
      </w:r>
      <w:r>
        <w:rPr>
          <w:b w:val="0"/>
          <w:bCs w:val="0"/>
          <w:highlight w:val="yellow"/>
        </w:rPr>
        <w:lastRenderedPageBreak/>
        <w:t xml:space="preserve">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1DBB1" w14:textId="77777777" w:rsidR="003F40A0" w:rsidRDefault="003F40A0">
      <w:pPr>
        <w:spacing w:after="0" w:line="240" w:lineRule="auto"/>
      </w:pPr>
      <w:r>
        <w:separator/>
      </w:r>
    </w:p>
  </w:endnote>
  <w:endnote w:type="continuationSeparator" w:id="0">
    <w:p w14:paraId="4DD1767F" w14:textId="77777777" w:rsidR="003F40A0" w:rsidRDefault="003F4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25CFE" w14:textId="77777777" w:rsidR="003F40A0" w:rsidRDefault="003F40A0">
      <w:pPr>
        <w:spacing w:after="0" w:line="240" w:lineRule="auto"/>
      </w:pPr>
      <w:r>
        <w:separator/>
      </w:r>
    </w:p>
  </w:footnote>
  <w:footnote w:type="continuationSeparator" w:id="0">
    <w:p w14:paraId="4A92D41B" w14:textId="77777777" w:rsidR="003F40A0" w:rsidRDefault="003F40A0">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5B9B"/>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40A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B30EE"/>
    <w:rsid w:val="005C3A70"/>
    <w:rsid w:val="005C4042"/>
    <w:rsid w:val="005C67EA"/>
    <w:rsid w:val="005D5880"/>
    <w:rsid w:val="005D754C"/>
    <w:rsid w:val="005F24C2"/>
    <w:rsid w:val="005F3265"/>
    <w:rsid w:val="0060099A"/>
    <w:rsid w:val="00603B7D"/>
    <w:rsid w:val="00617198"/>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E151B6"/>
    <w:rsid w:val="00E160DD"/>
    <w:rsid w:val="00E207DD"/>
    <w:rsid w:val="00E22438"/>
    <w:rsid w:val="00E22CB4"/>
    <w:rsid w:val="00E22E28"/>
    <w:rsid w:val="00E3106C"/>
    <w:rsid w:val="00E34945"/>
    <w:rsid w:val="00E4189E"/>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80506"/>
    <w:rsid w:val="00F9075F"/>
    <w:rsid w:val="00F91DE2"/>
    <w:rsid w:val="00F931FB"/>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8424</TotalTime>
  <Pages>45</Pages>
  <Words>15246</Words>
  <Characters>83859</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211</cp:revision>
  <dcterms:created xsi:type="dcterms:W3CDTF">2026-03-23T21:09:00Z</dcterms:created>
  <dcterms:modified xsi:type="dcterms:W3CDTF">2026-08-27T03:08:00Z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