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32246A1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sidR="006248C0">
          <w:rPr>
            <w:webHidden/>
          </w:rPr>
          <w:t>5</w:t>
        </w:r>
        <w:r>
          <w:rPr>
            <w:webHidden/>
          </w:rPr>
          <w:fldChar w:fldCharType="end"/>
        </w:r>
      </w:hyperlink>
    </w:p>
    <w:p w14:paraId="3500C9E2" w14:textId="7B7A40C4"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sidR="006248C0">
          <w:rPr>
            <w:webHidden/>
          </w:rPr>
          <w:t>5</w:t>
        </w:r>
        <w:r>
          <w:rPr>
            <w:webHidden/>
          </w:rPr>
          <w:fldChar w:fldCharType="end"/>
        </w:r>
      </w:hyperlink>
    </w:p>
    <w:p w14:paraId="7A4DB512" w14:textId="45B03804"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sidR="006248C0">
          <w:rPr>
            <w:webHidden/>
          </w:rPr>
          <w:t>5</w:t>
        </w:r>
        <w:r>
          <w:rPr>
            <w:webHidden/>
          </w:rPr>
          <w:fldChar w:fldCharType="end"/>
        </w:r>
      </w:hyperlink>
    </w:p>
    <w:p w14:paraId="122868CE" w14:textId="249C0325"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sidR="006248C0">
          <w:rPr>
            <w:webHidden/>
          </w:rPr>
          <w:t>8</w:t>
        </w:r>
        <w:r>
          <w:rPr>
            <w:webHidden/>
          </w:rPr>
          <w:fldChar w:fldCharType="end"/>
        </w:r>
      </w:hyperlink>
    </w:p>
    <w:p w14:paraId="334964A7" w14:textId="758046F0"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sidR="006248C0">
          <w:rPr>
            <w:webHidden/>
          </w:rPr>
          <w:t>10</w:t>
        </w:r>
        <w:r>
          <w:rPr>
            <w:webHidden/>
          </w:rPr>
          <w:fldChar w:fldCharType="end"/>
        </w:r>
      </w:hyperlink>
    </w:p>
    <w:p w14:paraId="21A72EE4" w14:textId="4B568645"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sidR="006248C0">
          <w:rPr>
            <w:webHidden/>
          </w:rPr>
          <w:t>20</w:t>
        </w:r>
        <w:r>
          <w:rPr>
            <w:webHidden/>
          </w:rPr>
          <w:fldChar w:fldCharType="end"/>
        </w:r>
      </w:hyperlink>
    </w:p>
    <w:p w14:paraId="25BE9A9A" w14:textId="1C15B35A"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sidR="006248C0">
          <w:rPr>
            <w:webHidden/>
          </w:rPr>
          <w:t>46</w:t>
        </w:r>
        <w:r>
          <w:rPr>
            <w:webHidden/>
          </w:rPr>
          <w:fldChar w:fldCharType="end"/>
        </w:r>
      </w:hyperlink>
    </w:p>
    <w:p w14:paraId="1C3DBB26" w14:textId="3210B04A"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sidR="006248C0">
          <w:rPr>
            <w:webHidden/>
          </w:rPr>
          <w:t>48</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spacing w:after="60" w:line="276" w:lineRule="auto"/>
        <w:ind w:left="1276" w:hanging="720"/>
      </w:pPr>
      <w:r>
        <w:rPr>
          <w:color w:val="000000"/>
          <w:highlight w:val="cyan"/>
        </w:rPr>
        <w:t>5.1.4</w:t>
      </w:r>
      <w:r>
        <w:rPr>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 xml:space="preserve">5.3.3</w:t>
      </w:r>
      <w:r>
        <w:rPr>
          <w:rFonts w:ascii="Arial" w:eastAsia="Arial" w:hAnsi="Arial" w:cs="Arial"/>
          <w:color w:val="000000"/>
        </w:rPr>
        <w:tab/>
        <w:t xml:space="preserve">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conforme al numeral 6.10.6, y la Intendencia Nacional de Asesoría Legal Interna ejerce con independencia la asesoría y la revisión en materia de cumplimiento normativo.</w:t>
      </w:r>
    </w:p>
    <w:p w14:paraId="3796E514" w14:textId="77777777" w:rsidR="005D662A" w:rsidRDefault="005D662A" w:rsidP="008E63B0">
      <w:pPr>
        <w:spacing w:after="60" w:line="276" w:lineRule="auto"/>
        <w:ind w:left="1276" w:hanging="720"/>
        <w:jc w:val="both"/>
        <w:rPr>
          <w:rFonts w:ascii="Arial" w:eastAsia="Arial" w:hAnsi="Arial" w:cs="Arial"/>
          <w:color w:val="000000"/>
        </w:rPr>
      </w:pPr>
    </w:p>
    <w:p w14:paraId="319EFEF7" w14:textId="77777777" w:rsidR="005D662A" w:rsidRDefault="005D662A" w:rsidP="008E63B0">
      <w:pPr>
        <w:spacing w:after="60" w:line="276" w:lineRule="auto"/>
        <w:ind w:left="1276" w:hanging="720"/>
        <w:jc w:val="both"/>
        <w:rPr>
          <w:rFonts w:ascii="Arial" w:eastAsia="Arial" w:hAnsi="Arial" w:cs="Arial"/>
          <w:color w:val="000000"/>
        </w:rPr>
      </w:pPr>
    </w:p>
    <w:p w14:paraId="39DFC6F0" w14:textId="77777777" w:rsidR="005D662A" w:rsidRDefault="005D662A" w:rsidP="008E63B0">
      <w:pPr>
        <w:spacing w:after="60" w:line="276" w:lineRule="auto"/>
        <w:ind w:left="1276" w:hanging="720"/>
        <w:jc w:val="both"/>
        <w:rPr>
          <w:rFonts w:ascii="Arial" w:eastAsia="Arial" w:hAnsi="Arial" w:cs="Arial"/>
          <w:color w:val="000000"/>
        </w:rPr>
      </w:pPr>
    </w:p>
    <w:p w14:paraId="6F7395F0" w14:textId="77777777" w:rsidR="00863A18" w:rsidRPr="00923C59" w:rsidRDefault="00863A18" w:rsidP="00B23382">
      <w:pPr>
        <w:pStyle w:val="SubtituloDONI"/>
        <w:spacing w:line="276" w:lineRule="auto"/>
        <w:ind w:left="851"/>
      </w:pPr>
      <w:r>
        <w:lastRenderedPageBreak/>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sidRPr="00F775C3">
              <w:rPr>
                <w:b w:val="0"/>
                <w:bCs w:val="0"/>
                <w:highlight w:val="green"/>
              </w:rPr>
              <w:t>Aprueba los casos de uso. Valida el Plan de Acción de Inteligencia Artificial, conforme al numeral 5.3 del artículo 5 de la Resolución 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 xml:space="preserve">Verifica la causal y resuelve sobre el componente de IA cuando la Comisión de Gobierno de IA emite </w:t>
            </w:r>
            <w:r>
              <w:rPr>
                <w:b w:val="0"/>
                <w:bCs w:val="0"/>
                <w:highlight w:val="green"/>
              </w:rPr>
              <w:lastRenderedPageBreak/>
              <w:t>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lastRenderedPageBreak/>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w:t>
            </w:r>
            <w:r>
              <w:rPr>
                <w:b w:val="0"/>
                <w:bCs w:val="0"/>
              </w:rPr>
              <w:lastRenderedPageBreak/>
              <w:t>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lastRenderedPageBreak/>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w:t>
            </w:r>
            <w:r>
              <w:rPr>
                <w:b w:val="0"/>
                <w:bCs w:val="0"/>
                <w:color w:val="000000"/>
                <w:highlight w:val="green"/>
              </w:rPr>
              <w:lastRenderedPageBreak/>
              <w:t>Centro Nacional de Seguridad 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w:t>
            </w:r>
            <w:r>
              <w:rPr>
                <w:b w:val="0"/>
                <w:bCs w:val="0"/>
                <w:highlight w:val="green"/>
              </w:rPr>
              <w:lastRenderedPageBreak/>
              <w:t>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 xml:space="preserve">Asegura que los SBIA se incorporen al Plan de Sistemas de la INSI, que elabora la División de Gestión de </w:t>
            </w:r>
            <w:r>
              <w:rPr>
                <w:b w:val="0"/>
                <w:bCs w:val="0"/>
                <w:highlight w:val="green"/>
              </w:rPr>
              <w:lastRenderedPageBreak/>
              <w:t>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lastRenderedPageBreak/>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sidRPr="005D662A">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lastRenderedPageBreak/>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 xml:space="preserve">Emite opinión legal vinculante y absuelve las consultas que le </w:t>
            </w:r>
            <w:r>
              <w:rPr>
                <w:b w:val="0"/>
                <w:bCs w:val="0"/>
              </w:rPr>
              <w:lastRenderedPageBreak/>
              <w:t>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5D662A">
      <w:pPr>
        <w:pStyle w:val="Ttulo1"/>
        <w:numPr>
          <w:ilvl w:val="0"/>
          <w:numId w:val="0"/>
        </w:numPr>
        <w:spacing w:after="0" w:line="276" w:lineRule="auto"/>
        <w:ind w:left="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 xml:space="preserve">El propietario del caso de uso formula el caso de uso: identifica la necesidad institucional, define el problema a resolver y el resultado esperado, y lo presenta a la Comisión de Gobierno de IA </w:t>
            </w:r>
            <w:r>
              <w:rPr>
                <w:rFonts w:ascii="Arial" w:hAnsi="Arial" w:cs="Arial"/>
                <w:color w:val="000000"/>
                <w:highlight w:val="cyan"/>
              </w:rPr>
              <w:lastRenderedPageBreak/>
              <w:t>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lastRenderedPageBreak/>
              <w:t xml:space="preserve">La etapa concluye con la presentación a la Comisión de Gobierno de IA de la Ficha de Evaluación de Caso de Uso. La Ficha se presenta suscrita por </w:t>
            </w:r>
            <w:r>
              <w:rPr>
                <w:rFonts w:ascii="Arial" w:eastAsia="Arial" w:hAnsi="Arial" w:cs="Arial"/>
                <w:highlight w:val="green"/>
              </w:rPr>
              <w:lastRenderedPageBreak/>
              <w:t>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t xml:space="preserve">Aprobación del diseño de la arquitectura de solución por la División de Arquitectura competente según la materia, conforme al numeral 6.5.4. Para SBIA de riesgo alto, aprobación de la EIA por el CGTD, previa al inicio del desarrollo, </w:t>
            </w:r>
            <w:r>
              <w:rPr>
                <w:rFonts w:ascii="Arial" w:eastAsia="Arial" w:hAnsi="Arial" w:cs="Arial"/>
                <w:highlight w:val="green"/>
              </w:rPr>
              <w:lastRenderedPageBreak/>
              <w:t>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w:t>
            </w:r>
            <w:r>
              <w:rPr>
                <w:rFonts w:ascii="Arial" w:hAnsi="Arial" w:cs="Arial"/>
                <w:highlight w:val="green"/>
              </w:rPr>
              <w:lastRenderedPageBreak/>
              <w:t>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6.1.4</w:t>
      </w:r>
      <w:r>
        <w:rPr>
          <w:rFonts w:ascii="Arial" w:eastAsia="Arial" w:hAnsi="Arial" w:cs="Arial"/>
          <w:color w:val="000000"/>
          <w:highlight w:val="green"/>
        </w:rPr>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r>
      <w:r>
        <w:rPr>
          <w:rFonts w:ascii="Arial" w:eastAsia="Arial" w:hAnsi="Arial" w:cs="Arial"/>
          <w:color w:val="000000"/>
          <w:highlight w:val="green"/>
        </w:rPr>
        <w:tab/>
        <w:t>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w:t>
      </w:r>
      <w:r>
        <w:rPr>
          <w:rFonts w:ascii="Arial" w:hAnsi="Arial" w:cs="Arial"/>
          <w:color w:val="000000"/>
          <w:highlight w:val="cyan"/>
        </w:rPr>
        <w:lastRenderedPageBreak/>
        <w:t xml:space="preserve">(artículo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 xml:space="preserve">Ante la duda sobre si un SBIA constituye uso </w:t>
      </w:r>
      <w:r>
        <w:rPr>
          <w:rFonts w:ascii="Arial" w:eastAsia="Arial" w:hAnsi="Arial" w:cs="Arial"/>
          <w:color w:val="000000"/>
          <w:highlight w:val="cyan"/>
        </w:rPr>
        <w:lastRenderedPageBreak/>
        <w:t>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proofErr w:type="spellStart"/>
      <w:r>
        <w:rPr>
          <w:rFonts w:ascii="Arial" w:eastAsia="Arial" w:hAnsi="Arial" w:cs="Arial"/>
          <w:color w:val="000000"/>
          <w:highlight w:val="green"/>
        </w:rPr>
        <w:t>agénticos</w:t>
      </w:r>
      <w:proofErr w:type="spellEnd"/>
      <w:r>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r>
      <w:r>
        <w:rPr>
          <w:rFonts w:ascii="Arial" w:eastAsia="Arial" w:hAnsi="Arial" w:cs="Arial"/>
          <w:color w:val="000000"/>
          <w:highlight w:val="green"/>
        </w:rPr>
        <w:tab/>
        <w:t xml:space="preserve">Todo SBIA cuenta con la aprobación del diseño de su arquitectura de solución, previa al inicio del desarrollo, la adquisición o el entrenamiento, conforme a la etapa 3 del numeral 6.1.1. Dicha aprobación corresponde a la División de </w:t>
      </w:r>
      <w:r>
        <w:rPr>
          <w:rFonts w:ascii="Arial" w:eastAsia="Arial" w:hAnsi="Arial" w:cs="Arial"/>
          <w:color w:val="000000"/>
          <w:highlight w:val="green"/>
        </w:rPr>
        <w:lastRenderedPageBreak/>
        <w:t xml:space="preserve">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r>
      <w:r>
        <w:rPr>
          <w:rFonts w:ascii="Arial" w:eastAsia="Arial" w:hAnsi="Arial" w:cs="Arial"/>
          <w:color w:val="000000"/>
          <w:highlight w:val="lightGray"/>
        </w:rPr>
        <w:tab/>
        <w:t>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 xml:space="preserve">La GA conduce la determinación de publicabilidad prevista en el numeral 6.5.7. La efectúa antes de cada liberación mayor y, en todo caso, con ocasión de la </w:t>
      </w:r>
      <w:r>
        <w:rPr>
          <w:rFonts w:ascii="Arial" w:eastAsia="Arial" w:hAnsi="Arial" w:cs="Arial"/>
          <w:color w:val="000000"/>
          <w:highlight w:val="green"/>
        </w:rPr>
        <w:lastRenderedPageBreak/>
        <w:t>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r>
      <w:r>
        <w:rPr>
          <w:rFonts w:ascii="Arial" w:eastAsia="Arial" w:hAnsi="Arial" w:cs="Arial"/>
          <w:color w:val="000000"/>
          <w:highlight w:val="green"/>
        </w:rPr>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 xml:space="preserve">Human-in-command (obligatorio para todos los SBIA): Un responsable designado por el propietario del caso de uso mantiene la capacidad de desactivar, suspender o modificar el comportamiento del SBIA en cualquier </w:t>
      </w:r>
      <w:r>
        <w:rPr>
          <w:b w:val="0"/>
          <w:bCs w:val="0"/>
          <w:color w:val="000000"/>
          <w:highlight w:val="yellow"/>
        </w:rPr>
        <w:lastRenderedPageBreak/>
        <w:t>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w:t>
      </w:r>
      <w:r>
        <w:rPr>
          <w:rFonts w:ascii="Arial" w:eastAsia="Arial" w:hAnsi="Arial" w:cs="Arial"/>
          <w:color w:val="000000"/>
          <w:highlight w:val="green"/>
        </w:rPr>
        <w:lastRenderedPageBreak/>
        <w:t xml:space="preserve">(SGSI-MA-03)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6.7.8</w:t>
      </w:r>
      <w:r>
        <w:rPr>
          <w:rFonts w:ascii="Arial" w:eastAsia="Arial" w:hAnsi="Arial" w:cs="Arial"/>
          <w:color w:val="000000"/>
          <w:highlight w:val="green"/>
        </w:rPr>
        <w:tab/>
        <w:t>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r>
      <w:r>
        <w:rPr>
          <w:rFonts w:ascii="Arial" w:eastAsia="Arial" w:hAnsi="Arial" w:cs="Arial"/>
          <w:color w:val="000000"/>
          <w:highlight w:val="green"/>
        </w:rPr>
        <w:tab/>
        <w:t>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r>
      <w:r>
        <w:rPr>
          <w:rFonts w:ascii="Arial" w:eastAsia="Arial" w:hAnsi="Arial" w:cs="Arial"/>
          <w:color w:val="000000"/>
          <w:highlight w:val="green"/>
        </w:rPr>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lastRenderedPageBreak/>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w:t>
      </w:r>
      <w:r>
        <w:rPr>
          <w:rFonts w:ascii="Arial" w:eastAsia="Arial" w:hAnsi="Arial" w:cs="Arial"/>
          <w:color w:val="000000"/>
          <w:highlight w:val="green"/>
        </w:rPr>
        <w:tab/>
        <w:t xml:space="preserve">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w:t>
      </w:r>
      <w:r>
        <w:rPr>
          <w:rFonts w:ascii="Arial" w:eastAsia="Arial" w:hAnsi="Arial" w:cs="Arial"/>
          <w:color w:val="000000"/>
          <w:highlight w:val="green"/>
        </w:rPr>
        <w:lastRenderedPageBreak/>
        <w:t>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 xml:space="preserve">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w:t>
      </w:r>
      <w:r>
        <w:rPr>
          <w:rFonts w:ascii="Arial" w:eastAsia="Arial" w:hAnsi="Arial" w:cs="Arial"/>
          <w:color w:val="000000"/>
          <w:highlight w:val="green"/>
        </w:rPr>
        <w:lastRenderedPageBreak/>
        <w:t xml:space="preserve">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r>
      <w:r>
        <w:rPr>
          <w:rFonts w:ascii="Arial" w:hAnsi="Arial" w:cs="Arial"/>
          <w:highlight w:val="lightGray"/>
        </w:rPr>
        <w:tab/>
        <w:t>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r>
      <w:r>
        <w:rPr>
          <w:rFonts w:ascii="Arial" w:hAnsi="Arial" w:cs="Arial"/>
          <w:highlight w:val="green"/>
        </w:rPr>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w:t>
      </w:r>
      <w:r>
        <w:rPr>
          <w:rFonts w:ascii="Arial" w:hAnsi="Arial" w:cs="Arial"/>
          <w:highlight w:val="lightGray"/>
        </w:rPr>
        <w:lastRenderedPageBreak/>
        <w:t>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r>
      <w:r>
        <w:rPr>
          <w:rFonts w:ascii="Arial" w:hAnsi="Arial" w:cs="Arial"/>
          <w:highlight w:val="green"/>
        </w:rPr>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w:t>
      </w:r>
      <w:r>
        <w:rPr>
          <w:rFonts w:ascii="Arial" w:eastAsia="Arial" w:hAnsi="Arial" w:cs="Arial"/>
          <w:color w:val="000000"/>
          <w:highlight w:val="green"/>
        </w:rPr>
        <w:lastRenderedPageBreak/>
        <w:t>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 xml:space="preserve">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w:t>
      </w:r>
      <w:r>
        <w:rPr>
          <w:rFonts w:ascii="Arial" w:eastAsia="Arial" w:hAnsi="Arial" w:cs="Arial"/>
          <w:color w:val="000000"/>
          <w:highlight w:val="green"/>
        </w:rPr>
        <w:lastRenderedPageBreak/>
        <w:t>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r>
      <w:r>
        <w:rPr>
          <w:rFonts w:ascii="Arial" w:eastAsia="Arial" w:hAnsi="Arial" w:cs="Arial"/>
          <w:color w:val="000000"/>
          <w:highlight w:val="lightGray"/>
        </w:rPr>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r>
      <w:r>
        <w:rPr>
          <w:rFonts w:ascii="Arial" w:eastAsia="Arial" w:hAnsi="Arial" w:cs="Arial"/>
          <w:color w:val="000000"/>
          <w:highlight w:val="lightGray"/>
        </w:rPr>
        <w:tab/>
        <w:t>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lastRenderedPageBreak/>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r>
      <w:r>
        <w:rPr>
          <w:rFonts w:ascii="Arial" w:eastAsia="Arial" w:hAnsi="Arial" w:cs="Arial"/>
          <w:color w:val="000000"/>
          <w:highlight w:val="lightGray"/>
        </w:rPr>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w:t>
      </w:r>
      <w:r>
        <w:rPr>
          <w:rFonts w:ascii="Arial" w:eastAsia="Arial" w:hAnsi="Arial" w:cs="Arial"/>
          <w:color w:val="000000"/>
          <w:highlight w:val="yellow"/>
        </w:rPr>
        <w:lastRenderedPageBreak/>
        <w:t>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r>
      <w:r>
        <w:rPr>
          <w:highlight w:val="lightGray"/>
        </w:rPr>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r>
      <w:r>
        <w:rPr>
          <w:rFonts w:ascii="Arial" w:hAnsi="Arial" w:cs="Arial"/>
          <w:highlight w:val="green"/>
        </w:rPr>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r>
      <w:r>
        <w:rPr>
          <w:rFonts w:ascii="Arial" w:hAnsi="Arial" w:cs="Arial"/>
          <w:highlight w:val="green"/>
        </w:rPr>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r>
      <w:r>
        <w:rPr>
          <w:rFonts w:ascii="Arial" w:hAnsi="Arial" w:cs="Arial"/>
          <w:highlight w:val="lightGray"/>
        </w:rPr>
        <w:tab/>
        <w:t xml:space="preserve">En la gestión de la demanda informática, cuando un requerimiento implique el desarrollo, la adquisición o el uso de un SBIA o de una herramienta de IA, se recaba la opinión de la Comisión antes de su atención, con los formatos </w:t>
      </w:r>
      <w:r>
        <w:rPr>
          <w:rFonts w:ascii="Arial" w:hAnsi="Arial" w:cs="Arial"/>
          <w:highlight w:val="lightGray"/>
        </w:rPr>
        <w:lastRenderedPageBreak/>
        <w:t>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r>
      <w:r>
        <w:rPr>
          <w:rFonts w:ascii="Arial" w:hAnsi="Arial" w:cs="Arial"/>
          <w:highlight w:val="green"/>
        </w:rPr>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r>
      <w:r>
        <w:rPr>
          <w:rFonts w:ascii="Arial" w:hAnsi="Arial" w:cs="Arial"/>
          <w:highlight w:val="lightGray"/>
        </w:rPr>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w:t>
      </w:r>
      <w:r>
        <w:rPr>
          <w:rFonts w:ascii="Arial" w:hAnsi="Arial" w:cs="Arial"/>
          <w:highlight w:val="green"/>
        </w:rPr>
        <w:tab/>
        <w:t>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r>
      <w:r>
        <w:rPr>
          <w:rFonts w:ascii="Arial" w:hAnsi="Arial" w:cs="Arial"/>
          <w:highlight w:val="lightGray"/>
        </w:rPr>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r>
      <w:r>
        <w:rPr>
          <w:rFonts w:ascii="Arial" w:hAnsi="Arial" w:cs="Arial"/>
          <w:highlight w:val="green"/>
        </w:rPr>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r>
      <w:r>
        <w:rPr>
          <w:rFonts w:ascii="Arial" w:hAnsi="Arial" w:cs="Arial"/>
          <w:highlight w:val="green"/>
        </w:rPr>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r>
      <w:r>
        <w:rPr>
          <w:rFonts w:ascii="Arial" w:hAnsi="Arial" w:cs="Arial"/>
          <w:highlight w:val="green"/>
        </w:rPr>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sidR="0012096A" w:rsidRPr="0012096A">
        <w:rPr>
          <w:b w:val="0"/>
          <w:bCs w:val="0"/>
          <w:highlight w:val="green"/>
        </w:rPr>
        <w:t>En tanto no se designe al OIA, el Coordinador designado conforme al numeral 7.3 ejerce las funciones de coordinación técnica en materia de IA.</w:t>
      </w:r>
      <w:r w:rsidR="0012096A">
        <w:rPr>
          <w:b w:val="0"/>
          <w:bCs w:val="0"/>
        </w:rPr>
        <w:t xml:space="preserve"> </w:t>
      </w:r>
      <w:r>
        <w:rPr>
          <w:b w:val="0"/>
          <w:bCs w:val="0"/>
          <w:highlight w:val="green"/>
        </w:rPr>
        <w:t xml:space="preserve">Designado el OIA, la coordinación de la Comisión de Gobierno de IA recae en él, salvo que los lineamientos de la SGTD </w:t>
      </w:r>
      <w:r>
        <w:rPr>
          <w:b w:val="0"/>
          <w:bCs w:val="0"/>
          <w:highlight w:val="green"/>
        </w:rPr>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r>
      <w:r>
        <w:rPr>
          <w:b w:val="0"/>
          <w:bCs w:val="0"/>
          <w:highlight w:val="green"/>
        </w:rPr>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r>
      <w:r w:rsidR="00E41A15" w:rsidRPr="00E41A15">
        <w:rPr>
          <w:b w:val="0"/>
          <w:bCs w:val="0"/>
        </w:rPr>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D662A"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1B3E2" w14:textId="77777777" w:rsidR="00872F54" w:rsidRDefault="00872F54">
      <w:pPr>
        <w:spacing w:after="0" w:line="240" w:lineRule="auto"/>
      </w:pPr>
      <w:r>
        <w:separator/>
      </w:r>
    </w:p>
  </w:endnote>
  <w:endnote w:type="continuationSeparator" w:id="0">
    <w:p w14:paraId="34327E13" w14:textId="77777777" w:rsidR="00872F54" w:rsidRDefault="00872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FA7C8" w14:textId="77777777" w:rsidR="00872F54" w:rsidRDefault="00872F54">
      <w:pPr>
        <w:spacing w:after="0" w:line="240" w:lineRule="auto"/>
      </w:pPr>
      <w:r>
        <w:separator/>
      </w:r>
    </w:p>
  </w:footnote>
  <w:footnote w:type="continuationSeparator" w:id="0">
    <w:p w14:paraId="4FC3D835" w14:textId="77777777" w:rsidR="00872F54" w:rsidRDefault="00872F54">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10693</TotalTime>
  <Pages>55</Pages>
  <Words>18929</Words>
  <Characters>104110</Characters>
  <Application>Microsoft Office Word</Application>
  <DocSecurity>0</DocSecurity>
  <Lines>867</Lines>
  <Paragraphs>245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253</cp:revision>
  <dcterms:created xsi:type="dcterms:W3CDTF">2026-03-23T21:09:00Z</dcterms:created>
  <dcterms:modified xsi:type="dcterms:W3CDTF">2026-09-02T14:38:00Z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