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1EE981FB"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commentRangeStart w:id="3"/>
      <w:r>
        <w:rPr>
          <w:rFonts w:ascii="Arial" w:hAnsi="Arial" w:cs="Arial"/>
          <w:color w:val="000000"/>
          <w:highlight w:val="cyan"/>
        </w:rPr>
        <w:t>Se exceptúa de su alcance al Órgano de Control Institucional, que ejerce sus funciones con autonomía funcional e independencia técnica y depende funcional y administrativamente de la Contraloría General de la República, conforme a la Ley N.° 27785.</w:t>
      </w:r>
      <w:commentRangeEnd w:id="3"/>
      <w:r w:rsidR="00F378B6" w:rsidRPr="00D16977">
        <w:rPr>
          <w:rStyle w:val="Refdecomentario"/>
          <w:rFonts w:ascii="Arial" w:eastAsia="Arial" w:hAnsi="Arial" w:cs="Arial"/>
          <w:color w:val="EE0000"/>
          <w:sz w:val="22"/>
          <w:szCs w:val="22"/>
        </w:rPr>
        <w:commentReference w:id="3"/>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4" w:name="_Toc235003963"/>
      <w:r>
        <w:rPr>
          <w:rFonts w:cs="Arial"/>
          <w:bCs/>
          <w:color w:val="000000"/>
          <w:szCs w:val="22"/>
        </w:rPr>
        <w:t>BASE NORMATIVA</w:t>
      </w:r>
      <w:bookmarkEnd w:id="4"/>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2C8E28A9" w14:textId="77777777" w:rsidR="0080359D" w:rsidRPr="004F49BB" w:rsidRDefault="0080359D">
      <w:pPr>
        <w:pStyle w:val="Prrafodelista"/>
        <w:numPr>
          <w:ilvl w:val="1"/>
          <w:numId w:val="20"/>
        </w:numPr>
        <w:spacing w:line="276" w:lineRule="auto"/>
        <w:ind w:left="709" w:hanging="567"/>
        <w:rPr>
          <w:b w:val="0"/>
          <w:bCs w:val="0"/>
          <w:color w:val="000000"/>
        </w:rPr>
      </w:pPr>
      <w:r>
        <w:rPr>
          <w:b w:val="0"/>
          <w:bCs w:val="0"/>
          <w:color w:val="000000"/>
        </w:rPr>
        <w:t xml:space="preserve">Resolución de Superintendencia </w:t>
      </w:r>
      <w:r>
        <w:rPr>
          <w:b w:val="0"/>
          <w:bCs w:val="0"/>
          <w:color w:val="EE0000"/>
        </w:rPr>
        <w:t>N.° [XXX]-</w:t>
      </w:r>
      <w:r>
        <w:rPr>
          <w:b w:val="0"/>
          <w:bCs w:val="0"/>
          <w:color w:val="000000"/>
        </w:rPr>
        <w:t xml:space="preserve">2026/SUNAT, que aprueba la </w:t>
      </w:r>
      <w:r>
        <w:rPr>
          <w:b w:val="0"/>
          <w:bCs w:val="0"/>
          <w:highlight w:val="yellow"/>
        </w:rPr>
        <w:t>Política de Uso Seguro, Responsable y Ético de los SBIA</w:t>
      </w:r>
      <w:r>
        <w:rPr>
          <w:b w:val="0"/>
          <w:bCs w:val="0"/>
          <w:color w:val="000000"/>
        </w:rPr>
        <w:t xml:space="preserve"> en la SUNAT.</w:t>
      </w:r>
    </w:p>
    <w:p w14:paraId="64BA9802"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Oficina N.° 001-2024-SUNAT/1V0000, que aprueba la Metodología para la formulación, aprobación y control de los Documentos Normativos Institucionales (METDONI) Versión 1.4.</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5" w:name="_Toc235003964"/>
      <w:r>
        <w:rPr>
          <w:rFonts w:cs="Arial"/>
          <w:bCs/>
          <w:color w:val="000000"/>
          <w:szCs w:val="22"/>
        </w:rPr>
        <w:lastRenderedPageBreak/>
        <w:t>GLOSARIO DE TÉRMINOS</w:t>
      </w:r>
      <w:bookmarkEnd w:id="5"/>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Controles de contención (Guardrails):</w:t>
      </w:r>
      <w:r>
        <w:rPr>
          <w:b w:val="0"/>
          <w:bCs w:val="0"/>
          <w:color w:val="000000"/>
        </w:rPr>
        <w:t xml:space="preserve"> Conjunto de controles, reglas y mecanismos técnicos para limitar, filtrar o validar las entradas y salidas de un SBIA, previniendo comportamientos no deseados. [NIST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Human-in-the-loop:</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w:t>
      </w:r>
      <w:r>
        <w:rPr>
          <w:b w:val="0"/>
          <w:bCs w:val="0"/>
          <w:color w:val="000000"/>
        </w:rPr>
        <w:lastRenderedPageBreak/>
        <w:t>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77777777" w:rsidR="0033689D" w:rsidRPr="00923C59" w:rsidRDefault="0033689D">
      <w:pPr>
        <w:pStyle w:val="Prrafodelista"/>
        <w:numPr>
          <w:ilvl w:val="1"/>
          <w:numId w:val="8"/>
        </w:numPr>
        <w:spacing w:after="0" w:line="276" w:lineRule="auto"/>
        <w:ind w:left="709" w:hanging="709"/>
        <w:rPr>
          <w:b w:val="0"/>
          <w:bCs w:val="0"/>
          <w:color w:val="000000"/>
        </w:rPr>
      </w:pPr>
      <w:commentRangeStart w:id="6"/>
      <w:r>
        <w:rPr>
          <w:color w:val="000000"/>
          <w:highlight w:val="cyan"/>
        </w:rPr>
        <w:t xml:space="preserve">Propietario de caso de uso: </w:t>
      </w:r>
      <w:r>
        <w:rPr>
          <w:b w:val="0"/>
          <w:bCs w:val="0"/>
          <w:color w:val="000000"/>
          <w:highlight w:val="cyan"/>
        </w:rPr>
        <w:t>Responsable de la unidad de organización que identifica la necesidad de negocio (el caso de uso) susceptible de ser atendida mediante un SBIA, y que asume la responsabilidad funcional sobre sus resultados a lo largo de todo el ciclo de vida. Es el mismo responsable funcional del SBIA que materializa el caso de uso, y se distingue del custodio técnico a cargo de su arquitectura y operación. [NTP-ISO/IEC 42001:2025, cláusula 5.3]</w:t>
      </w:r>
      <w:commentRangeEnd w:id="6"/>
      <w:r w:rsidR="00F378B6" w:rsidRPr="00923C59">
        <w:rPr>
          <w:rStyle w:val="Refdecomentario"/>
          <w:b w:val="0"/>
          <w:bCs w:val="0"/>
          <w:color w:val="000000"/>
          <w:sz w:val="22"/>
          <w:szCs w:val="22"/>
        </w:rPr>
        <w:commentReference w:id="6"/>
      </w:r>
    </w:p>
    <w:p w14:paraId="5DB96D0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Red Teaming:</w:t>
      </w:r>
      <w:r>
        <w:rPr>
          <w:b w:val="0"/>
          <w:bCs w:val="0"/>
          <w:color w:val="000000"/>
        </w:rPr>
        <w:t xml:space="preserve"> Práctica de seguridad ofensiva que simula ataques adversarios contra un SBIA para identificar vulnerabilidades previo a su despliegue. [NIST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7" w:name="_Toc235003965"/>
      <w:r>
        <w:rPr>
          <w:rFonts w:cs="Arial"/>
          <w:bCs/>
          <w:color w:val="000000"/>
          <w:szCs w:val="22"/>
        </w:rPr>
        <w:lastRenderedPageBreak/>
        <w:t>DISPOSICIONES GENERALES</w:t>
      </w:r>
      <w:bookmarkEnd w:id="7"/>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76C8DEAF"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hAnsi="Arial" w:cs="Arial"/>
          <w:color w:val="000000"/>
          <w:highlight w:val="cyan"/>
        </w:rPr>
        <w:t>5.1.2</w:t>
      </w:r>
      <w:r>
        <w:rPr>
          <w:rFonts w:ascii="Arial" w:hAnsi="Arial" w:cs="Arial"/>
          <w:color w:val="000000"/>
          <w:highlight w:val="cyan"/>
        </w:rPr>
        <w:tab/>
        <w:t xml:space="preserve">Los derechos fundamentales de las personas son inviolables. Ante cualquier conflicto </w:t>
      </w:r>
      <w:commentRangeStart w:id="8"/>
      <w:r>
        <w:rPr>
          <w:rFonts w:ascii="Arial" w:hAnsi="Arial" w:cs="Arial"/>
          <w:color w:val="000000"/>
          <w:highlight w:val="cyan"/>
        </w:rPr>
        <w:t xml:space="preserve">entre un objetivo institucional </w:t>
      </w:r>
      <w:commentRangeEnd w:id="8"/>
      <w:r w:rsidR="00F378B6">
        <w:rPr>
          <w:rStyle w:val="Refdecomentario"/>
          <w:rFonts w:ascii="Arial" w:hAnsi="Arial" w:cs="Arial"/>
          <w:color w:val="000000"/>
          <w:sz w:val="22"/>
          <w:szCs w:val="22"/>
          <w:highlight w:val="cyan"/>
        </w:rPr>
        <w:commentReference w:id="8"/>
      </w:r>
      <w:r>
        <w:rPr>
          <w:rFonts w:ascii="Arial" w:hAnsi="Arial" w:cs="Arial"/>
          <w:color w:val="000000"/>
          <w:highlight w:val="cyan"/>
        </w:rPr>
        <w:t>y la protección de los derechos de los administrados, prevalece siempre la última.</w:t>
      </w:r>
    </w:p>
    <w:p w14:paraId="1313E70C"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4D52260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Son funciones de la Comisión de Gobierno de IA, en apoyo al CGTD:</w:t>
      </w:r>
    </w:p>
    <w:p w14:paraId="638900C7"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Preparar la propuesta de estrategia institucional de IA y sus actualizaciones, para aprobación del CGTD.</w:t>
      </w:r>
    </w:p>
    <w:p w14:paraId="19EFBB4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Evaluar los casos de uso de SBIA propuestos por los órganos de línea (generación de valor, viabilidad técnica, legal, ética y operativa, y estimación de inversión y costos recurrentes) y elevar al CGTD la recomendación fundamentada de aprobación o no procedencia.</w:t>
      </w:r>
    </w:p>
    <w:p w14:paraId="1CF00BE7"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lastRenderedPageBreak/>
        <w:t>Proponer al CGTD la clasificación de riesgo de cada SBIA, previo al inicio del desarrollo o adquisición.</w:t>
      </w:r>
    </w:p>
    <w:p w14:paraId="40055B7C" w14:textId="77777777" w:rsidR="0018222F" w:rsidRPr="00E34945" w:rsidRDefault="002102ED" w:rsidP="003204D8">
      <w:pPr>
        <w:pStyle w:val="Prrafodelista"/>
        <w:numPr>
          <w:ilvl w:val="0"/>
          <w:numId w:val="9"/>
        </w:numPr>
        <w:spacing w:before="0" w:after="60" w:line="276" w:lineRule="auto"/>
        <w:ind w:left="1701" w:hanging="425"/>
        <w:rPr>
          <w:b w:val="0"/>
          <w:bCs w:val="0"/>
          <w:color w:val="EE0000"/>
        </w:rPr>
      </w:pPr>
      <w:r>
        <w:rPr>
          <w:b w:val="0"/>
          <w:bCs w:val="0"/>
          <w:color w:val="000000"/>
          <w:highlight w:val="cyan"/>
        </w:rPr>
        <w:t>Asegurar el cumplimiento del Gobierno de IA en la SUNAT.</w:t>
      </w:r>
    </w:p>
    <w:p w14:paraId="2893713A"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Coordinar la elaboración de las evaluaciones de impacto algorítmico y elevar sus conclusiones al CGTD.</w:t>
      </w:r>
    </w:p>
    <w:p w14:paraId="3B6B74FE"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Administrar el Inventario Institucional de SBIA.</w:t>
      </w:r>
    </w:p>
    <w:p w14:paraId="24741396"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Supervisar el cumplimiento de los hitos de aprobación del ciclo de vida de los SBIA y consolidar los informes de monitoreo, auditoría e incidentes para conocimiento del CGTD.</w:t>
      </w:r>
    </w:p>
    <w:p w14:paraId="142016C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Proponer lineamientos técnicos complementarios en materia de gobierno de IA y coordinar la articulación con la SGTD-PCM.</w:t>
      </w:r>
    </w:p>
    <w:p w14:paraId="2E163CAA" w14:textId="77777777" w:rsidR="0018147B" w:rsidRDefault="00000000" w:rsidP="003204D8">
      <w:pPr>
        <w:pStyle w:val="Prrafodelista"/>
        <w:numPr>
          <w:ilvl w:val="0"/>
          <w:numId w:val="9"/>
        </w:numPr>
        <w:spacing w:before="0" w:after="60" w:line="276" w:lineRule="auto"/>
        <w:ind w:left="1701" w:hanging="425"/>
        <w:rPr>
          <w:b w:val="0"/>
          <w:bCs w:val="0"/>
          <w:color w:val="000000"/>
        </w:rPr>
      </w:pPr>
      <w:r>
        <w:rPr>
          <w:b w:val="0"/>
          <w:bCs w:val="0"/>
          <w:color w:val="000000"/>
          <w:highlight w:val="yellow"/>
        </w:rPr>
        <w:t>Administrar y centralizar la evaluación de los riesgos de los SBIA.</w:t>
      </w:r>
    </w:p>
    <w:p w14:paraId="262208F8" w14:textId="77777777" w:rsidR="00836DA1" w:rsidRDefault="00000000" w:rsidP="00E34945">
      <w:pPr>
        <w:pStyle w:val="Prrafodelista"/>
        <w:numPr>
          <w:ilvl w:val="0"/>
          <w:numId w:val="9"/>
        </w:numPr>
        <w:spacing w:before="0" w:after="60" w:line="276" w:lineRule="auto"/>
        <w:ind w:left="1701" w:hanging="425"/>
        <w:rPr>
          <w:b w:val="0"/>
          <w:bCs w:val="0"/>
          <w:highlight w:val="cyan"/>
        </w:rPr>
      </w:pPr>
      <w:r>
        <w:rPr>
          <w:b w:val="0"/>
          <w:bCs w:val="0"/>
          <w:highlight w:val="cyan"/>
        </w:rPr>
        <w:t>Convocar a otras unidades de organización y a especialistas adicionales según la materia y la complejidad del caso de uso.</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t xml:space="preserve">Aprueba la clasificación de riesgo de los SBIA de riesgo alto y de los estratégicos para la entidad, así </w:t>
            </w:r>
            <w:r>
              <w:rPr>
                <w:b w:val="0"/>
                <w:bCs w:val="0"/>
                <w:highlight w:val="yellow"/>
              </w:rPr>
              <w:lastRenderedPageBreak/>
              <w:t xml:space="preserve">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58552442"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Decide sobre la no procedencia de casos de uso. </w:t>
            </w:r>
          </w:p>
          <w:p w14:paraId="555CCBE5" w14:textId="77777777" w:rsidR="0081311B" w:rsidRPr="00923C59" w:rsidRDefault="0081311B" w:rsidP="0047575A">
            <w:pPr>
              <w:pStyle w:val="Prrafodelista"/>
              <w:numPr>
                <w:ilvl w:val="0"/>
                <w:numId w:val="13"/>
              </w:numPr>
              <w:spacing w:before="20" w:after="20" w:line="276" w:lineRule="auto"/>
              <w:ind w:left="299" w:hanging="283"/>
              <w:jc w:val="left"/>
            </w:pPr>
            <w:r>
              <w:rPr>
                <w:b w:val="0"/>
                <w:bCs w:val="0"/>
              </w:rPr>
              <w:t>Revisa los informes trimestrales de la Comisión de Gobierno de IA.</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Actúa como enlace con la Autoridad Nacional de Protección de Datos </w:t>
            </w:r>
            <w:r>
              <w:rPr>
                <w:b w:val="0"/>
                <w:bCs w:val="0"/>
                <w:color w:val="000000"/>
                <w:highlight w:val="yellow"/>
              </w:rPr>
              <w:lastRenderedPageBreak/>
              <w:t>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77777777" w:rsidR="00B34A74" w:rsidRPr="00923C59" w:rsidRDefault="00B34A74" w:rsidP="00904C72">
            <w:pPr>
              <w:spacing w:before="20" w:after="20" w:line="276" w:lineRule="auto"/>
              <w:rPr>
                <w:rFonts w:ascii="Arial" w:hAnsi="Arial" w:cs="Arial"/>
              </w:rPr>
            </w:pPr>
            <w:r>
              <w:rPr>
                <w:rFonts w:ascii="Arial" w:eastAsia="Arial" w:hAnsi="Arial" w:cs="Arial"/>
              </w:rPr>
              <w:t>Ger. Seg. Información / Of. 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F73E3F" w14:textId="77777777" w:rsidR="00B34A74" w:rsidRDefault="00B34A74" w:rsidP="00904C72">
            <w:pPr>
              <w:pStyle w:val="Prrafodelista"/>
              <w:numPr>
                <w:ilvl w:val="0"/>
                <w:numId w:val="16"/>
              </w:numPr>
              <w:spacing w:before="20" w:after="20" w:line="276" w:lineRule="auto"/>
              <w:ind w:left="299" w:hanging="283"/>
              <w:jc w:val="left"/>
              <w:rPr>
                <w:b w:val="0"/>
                <w:bCs w:val="0"/>
              </w:rPr>
            </w:pPr>
            <w:commentRangeStart w:id="9"/>
            <w:r>
              <w:rPr>
                <w:b w:val="0"/>
                <w:bCs w:val="0"/>
                <w:highlight w:val="yellow"/>
              </w:rPr>
              <w:t>Audita los procesos del Sistema de Gestión de Seguridad de la Información que soportan a los SBIA (GSI).</w:t>
            </w:r>
            <w:commentRangeEnd w:id="9"/>
            <w:r w:rsidR="00DE41F6">
              <w:rPr>
                <w:rStyle w:val="Refdecomentario"/>
                <w:b w:val="0"/>
                <w:bCs w:val="0"/>
                <w:sz w:val="22"/>
                <w:szCs w:val="22"/>
              </w:rPr>
              <w:commentReference w:id="9"/>
            </w:r>
          </w:p>
          <w:p w14:paraId="481BC02B"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Efectúa el análisis de riesgo y las pruebas de vulnerabilidad de los SBIA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77777777" w:rsidR="00B34A74" w:rsidRPr="00923C59" w:rsidRDefault="00B34A74" w:rsidP="00904C72">
            <w:pPr>
              <w:spacing w:before="20" w:after="20" w:line="276" w:lineRule="auto"/>
              <w:rPr>
                <w:rFonts w:ascii="Arial" w:hAnsi="Arial" w:cs="Arial"/>
              </w:rPr>
            </w:pPr>
            <w:commentRangeStart w:id="10"/>
            <w:r>
              <w:rPr>
                <w:rFonts w:ascii="Arial" w:eastAsia="Arial" w:hAnsi="Arial" w:cs="Arial"/>
                <w:b/>
                <w:bCs/>
              </w:rPr>
              <w:t>Representante de Negocio</w:t>
            </w:r>
            <w:commentRangeEnd w:id="10"/>
            <w:r w:rsidR="00DE41F6" w:rsidRPr="00923C59">
              <w:rPr>
                <w:rStyle w:val="Refdecomentario"/>
                <w:rFonts w:ascii="Arial" w:hAnsi="Arial" w:cs="Arial"/>
                <w:sz w:val="22"/>
                <w:szCs w:val="22"/>
              </w:rPr>
              <w:commentReference w:id="10"/>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77777777" w:rsidR="00B34A74" w:rsidRPr="00923C59" w:rsidRDefault="00B34A74" w:rsidP="00904C72">
            <w:pPr>
              <w:spacing w:before="20" w:after="20" w:line="276" w:lineRule="auto"/>
              <w:rPr>
                <w:rFonts w:ascii="Arial" w:hAnsi="Arial" w:cs="Arial"/>
              </w:rPr>
            </w:pPr>
            <w:r>
              <w:rPr>
                <w:rFonts w:ascii="Arial" w:eastAsia="Arial" w:hAnsi="Arial" w:cs="Arial"/>
              </w:rPr>
              <w:t>Superintendencias Nacionales Adjuntas</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218E6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Aporta la visión de negocio a la Comisión de Gobierno de IA.</w:t>
            </w:r>
          </w:p>
          <w:p w14:paraId="14613D4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Identifica y prioriza las iniciativas de negocio susceptibles de generar valor mediante SBIA.</w:t>
            </w:r>
          </w:p>
          <w:p w14:paraId="71793657"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Participa en la evaluación de los casos de uso desde la perspectiva de negocio.</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11" w:name="_Toc235003966"/>
      <w:r>
        <w:rPr>
          <w:rFonts w:cs="Arial"/>
          <w:bCs/>
          <w:color w:val="000000"/>
          <w:szCs w:val="22"/>
        </w:rPr>
        <w:t>DISPOSICIONES ESPECÍFICAS</w:t>
      </w:r>
      <w:bookmarkEnd w:id="11"/>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77777777" w:rsidR="00863A18" w:rsidRPr="00923C59" w:rsidRDefault="00E950CF"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t>Todo SBIA en la SUNAT sigue un ciclo de vida gestionado con las siguientes etapas:</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50"/>
        <w:gridCol w:w="2427"/>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77777777" w:rsidR="00E67A73" w:rsidRDefault="00000000">
            <w:pPr>
              <w:spacing w:before="20" w:after="20" w:line="276" w:lineRule="auto"/>
              <w:rPr>
                <w:rFonts w:ascii="Arial" w:hAnsi="Arial" w:cs="Arial"/>
              </w:rPr>
            </w:pPr>
            <w:r>
              <w:rPr>
                <w:rFonts w:ascii="Arial" w:eastAsia="Arial" w:hAnsi="Arial" w:cs="Arial"/>
                <w:highlight w:val="yellow"/>
              </w:rPr>
              <w:t xml:space="preserve">La Comisión de Gobierno de IA coordina la evaluación técnica, legal, ética y operativa de la iniciativa y propone la clasificación </w:t>
            </w:r>
            <w:r>
              <w:rPr>
                <w:rFonts w:ascii="Arial" w:eastAsia="Arial" w:hAnsi="Arial" w:cs="Arial"/>
                <w:highlight w:val="yellow"/>
              </w:rPr>
              <w:lastRenderedPageBreak/>
              <w:t>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77777777" w:rsidR="00E67A73" w:rsidRDefault="00000000">
            <w:pPr>
              <w:spacing w:before="20" w:after="20" w:line="276" w:lineRule="auto"/>
              <w:rPr>
                <w:rFonts w:ascii="Arial" w:hAnsi="Arial" w:cs="Arial"/>
              </w:rPr>
            </w:pPr>
            <w:r>
              <w:rPr>
                <w:rFonts w:ascii="Arial" w:eastAsia="Arial" w:hAnsi="Arial" w:cs="Arial"/>
                <w:highlight w:val="yellow"/>
              </w:rPr>
              <w:lastRenderedPageBreak/>
              <w:t xml:space="preserve">Aprobación de la clasificación de riesgo y de la viabilidad de la </w:t>
            </w:r>
            <w:r>
              <w:rPr>
                <w:rFonts w:ascii="Arial" w:eastAsia="Arial" w:hAnsi="Arial" w:cs="Arial"/>
                <w:highlight w:val="yellow"/>
              </w:rPr>
              <w:lastRenderedPageBreak/>
              <w:t>iniciativa, conforme al numeral 6.1.2.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77777777" w:rsidR="00E67A73" w:rsidRDefault="00000000">
            <w:pPr>
              <w:spacing w:before="20" w:after="20" w:line="276" w:lineRule="auto"/>
              <w:rPr>
                <w:rFonts w:ascii="Arial" w:hAnsi="Arial" w:cs="Arial"/>
              </w:rPr>
            </w:pPr>
            <w:r>
              <w:rPr>
                <w:rFonts w:ascii="Arial" w:eastAsia="Arial" w:hAnsi="Arial" w:cs="Arial"/>
                <w:highlight w:val="yellow"/>
              </w:rPr>
              <w:t>Las gerencias competentes de la INSI ejecutan el desarrollo del SBIA o gestionan su adquisición. La Oficina de Seguridad Informática evalúa y propone los requisitos de seguridad del SBIA, los cuales se incorporan como requisitos no funcionales.</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77777777" w:rsidR="00E67A73" w:rsidRDefault="00000000">
            <w:pPr>
              <w:spacing w:before="20" w:after="20" w:line="276" w:lineRule="auto"/>
              <w:rPr>
                <w:rFonts w:ascii="Arial" w:hAnsi="Arial" w:cs="Arial"/>
              </w:rPr>
            </w:pPr>
            <w:r>
              <w:rPr>
                <w:rFonts w:ascii="Arial" w:eastAsia="Arial" w:hAnsi="Arial" w:cs="Arial"/>
                <w:highlight w:val="yellow"/>
              </w:rPr>
              <w:t>La Gerencia de Calidad de Sistemas conduce las pruebas de verificación y validación de calidad, y la Oficina de Seguridad Informática efectúa el análisis de riesgo y las pruebas de vulnerabilidad, incluido el red teaming para riesgo alto. Con la conformidad de ambas y de la unidad de organización propietaria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77777777" w:rsidR="00E67A73"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6.1.2</w:t>
      </w:r>
      <w:r>
        <w:rPr>
          <w:rFonts w:ascii="Arial" w:hAnsi="Arial" w:cs="Arial"/>
          <w:color w:val="000000"/>
          <w:highlight w:val="cyan"/>
        </w:rPr>
        <w:tab/>
        <w:t>Los hitos de aprobación del ciclo de vida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28B8A15A"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6.1.4</w:t>
      </w:r>
      <w:r>
        <w:rPr>
          <w:rFonts w:ascii="Arial" w:eastAsia="Arial" w:hAnsi="Arial" w:cs="Arial"/>
          <w:color w:val="000000"/>
          <w:highlight w:val="yellow"/>
        </w:rPr>
        <w:tab/>
        <w:t>La Comisión de Gobierno de IA distingue dos situaciones respecto de un caso de uso de SBIA:</w:t>
      </w:r>
    </w:p>
    <w:p w14:paraId="4E12C55F" w14:textId="77777777" w:rsidR="0018147B" w:rsidRPr="00344C8A" w:rsidRDefault="00000000" w:rsidP="00344C8A">
      <w:pPr>
        <w:pStyle w:val="Prrafodelista"/>
        <w:numPr>
          <w:ilvl w:val="1"/>
          <w:numId w:val="22"/>
        </w:numPr>
        <w:spacing w:before="0" w:after="60" w:line="276" w:lineRule="auto"/>
        <w:ind w:left="1701"/>
        <w:rPr>
          <w:b w:val="0"/>
          <w:bCs w:val="0"/>
        </w:rPr>
      </w:pPr>
      <w:r>
        <w:rPr>
          <w:b w:val="0"/>
          <w:bCs w:val="0"/>
          <w:color w:val="000000"/>
          <w:highlight w:val="yellow"/>
        </w:rPr>
        <w:t>Observaciones subsanables (acompañamiento). Cuando la iniciativa presenta debilidades en el análisis de generación de valor, no cuenta con presupuesto identificado o la Ficha de Evaluación de Caso de Uso (Anexo N.° 4) está incompleta, la Comisión de Gobierno de IA brinda acompañamiento al propietario del caso de uso para fortalecer la propuesta antes de elevarla nuevamente. Ninguna iniciativa se descarta por estas causas.</w:t>
      </w:r>
    </w:p>
    <w:p w14:paraId="412AB8E2" w14:textId="77777777" w:rsidR="0018147B" w:rsidRPr="00344C8A" w:rsidRDefault="00000000" w:rsidP="00344C8A">
      <w:pPr>
        <w:pStyle w:val="Prrafodelista"/>
        <w:numPr>
          <w:ilvl w:val="1"/>
          <w:numId w:val="22"/>
        </w:numPr>
        <w:spacing w:after="60" w:line="276" w:lineRule="auto"/>
        <w:ind w:left="1701"/>
        <w:rPr>
          <w:b w:val="0"/>
          <w:bCs w:val="0"/>
          <w:color w:val="000000"/>
        </w:rPr>
      </w:pPr>
      <w:r>
        <w:rPr>
          <w:b w:val="0"/>
          <w:bCs w:val="0"/>
          <w:color w:val="000000"/>
          <w:highlight w:val="yellow"/>
        </w:rPr>
        <w:t xml:space="preserve">No procedencia. Cuando el SBIA es clasificado como de </w:t>
      </w:r>
      <w:r>
        <w:rPr>
          <w:b w:val="0"/>
          <w:bCs w:val="0"/>
          <w:color w:val="000000"/>
          <w:highlight w:val="cyan"/>
        </w:rPr>
        <w:t>uso indebido</w:t>
      </w:r>
      <w:r>
        <w:rPr>
          <w:b w:val="0"/>
          <w:bCs w:val="0"/>
          <w:color w:val="000000"/>
          <w:highlight w:val="yellow"/>
        </w:rPr>
        <w:t xml:space="preserve"> conforme al artículo 23 del RLIA, contraviene la Política de Uso Seguro, Responsable y Ético de los SBIA o la normativa vigente, o no cuenta con pronunciamiento favorable de la Comisión de Gobierno de IA sobre su viabilidad técnica, la Comisión fundamenta por escrito la no procedencia y la eleva al CGTD para su decisión definitiva en acta.</w:t>
      </w:r>
    </w:p>
    <w:p w14:paraId="1F039B1B" w14:textId="77777777" w:rsidR="00E67A73" w:rsidRDefault="00000000">
      <w:pPr>
        <w:spacing w:after="60" w:line="276" w:lineRule="auto"/>
        <w:ind w:left="1276"/>
        <w:jc w:val="both"/>
        <w:rPr>
          <w:rFonts w:ascii="Arial" w:eastAsia="Arial" w:hAnsi="Arial" w:cs="Arial"/>
          <w:color w:val="000000"/>
        </w:rPr>
      </w:pPr>
      <w:r>
        <w:rPr>
          <w:rFonts w:ascii="Arial" w:eastAsia="Arial" w:hAnsi="Arial" w:cs="Arial"/>
          <w:color w:val="000000"/>
          <w:highlight w:val="yellow"/>
        </w:rPr>
        <w:t>En la evaluación de la generación de valor, el beneficio puede sustentarse a nivel de un conjunto o programa de SBIA cuando la iniciativa forme parte de un portafolio, e incluir beneficios cualitativos y de control de procesos además de los cuantitativos.</w:t>
      </w:r>
    </w:p>
    <w:p w14:paraId="68622EF3" w14:textId="77777777" w:rsidR="00E67A73" w:rsidRDefault="00000000">
      <w:pPr>
        <w:spacing w:after="60" w:line="276" w:lineRule="auto"/>
        <w:ind w:left="1276" w:hanging="720"/>
        <w:jc w:val="both"/>
        <w:rPr>
          <w:rFonts w:ascii="Arial" w:eastAsia="Arial" w:hAnsi="Arial" w:cs="Arial"/>
          <w:color w:val="000000"/>
        </w:rPr>
      </w:pPr>
      <w:commentRangeStart w:id="12"/>
      <w:r>
        <w:rPr>
          <w:rFonts w:ascii="Arial" w:hAnsi="Arial" w:cs="Arial"/>
          <w:color w:val="000000"/>
          <w:highlight w:val="cyan"/>
        </w:rPr>
        <w:t>6.1.5</w:t>
      </w:r>
      <w:r>
        <w:rPr>
          <w:rFonts w:ascii="Arial" w:hAnsi="Arial" w:cs="Arial"/>
          <w:color w:val="000000"/>
          <w:highlight w:val="cyan"/>
        </w:rPr>
        <w:tab/>
        <w:t xml:space="preserve">La INSI aprueba, con opinión favorable del CGTD, la metodología del ciclo de vida del SBIA previsto en el numeral 6.1.1, conforme a sus competencias y a la METDONI. La metodología comprende, como mínimo: el desarrollo y la </w:t>
      </w:r>
      <w:r>
        <w:rPr>
          <w:rFonts w:ascii="Arial" w:hAnsi="Arial" w:cs="Arial"/>
          <w:color w:val="000000"/>
          <w:highlight w:val="cyan"/>
        </w:rPr>
        <w:lastRenderedPageBreak/>
        <w:t>aplicación de la clasificación de riesgo (Anexo N.° 2) y de la evaluación de impacto algorítmico (Anexo N.° 3), los criterios técnicos de diseño de la arquitectura de los SBIA, el contenido de los entregables de cada etapa, los tipos y las técnicas de prueba aplicables según el nivel de riesgo, los controles de contención, las prácticas de monitoreo y las condiciones de retiro. En tanto no se apruebe, los SBIA siguen el ciclo de vida del numeral 6.1.1 y la normativa de desarrollo de sistemas vigente en la SUNAT.</w:t>
      </w:r>
      <w:commentRangeEnd w:id="12"/>
      <w:r w:rsidR="00C66B57">
        <w:rPr>
          <w:rStyle w:val="Refdecomentario"/>
          <w:rFonts w:ascii="Arial" w:eastAsia="Arial" w:hAnsi="Arial" w:cs="Arial"/>
          <w:color w:val="000000"/>
          <w:sz w:val="22"/>
          <w:szCs w:val="22"/>
        </w:rPr>
        <w:commentReference w:id="12"/>
      </w:r>
    </w:p>
    <w:p w14:paraId="19B01FCF" w14:textId="77777777" w:rsidR="00F91DE2" w:rsidRDefault="00000000">
      <w:pPr>
        <w:spacing w:after="60" w:line="276" w:lineRule="auto"/>
        <w:ind w:left="1276" w:hanging="720"/>
        <w:jc w:val="both"/>
        <w:rPr>
          <w:rFonts w:ascii="Arial" w:hAnsi="Arial" w:cs="Arial"/>
          <w:color w:val="000000"/>
        </w:rPr>
      </w:pPr>
      <w:r>
        <w:rPr>
          <w:rFonts w:ascii="Arial" w:eastAsia="Arial" w:hAnsi="Arial" w:cs="Arial"/>
          <w:color w:val="000000"/>
          <w:highlight w:val="cyan"/>
        </w:rPr>
        <w:t>6.1.6</w:t>
      </w:r>
      <w:r>
        <w:rPr>
          <w:rFonts w:ascii="Arial" w:eastAsia="Arial" w:hAnsi="Arial" w:cs="Arial"/>
          <w:color w:val="000000"/>
          <w:highlight w:val="cyan"/>
        </w:rPr>
        <w:tab/>
      </w:r>
      <w:commentRangeStart w:id="13"/>
      <w:r>
        <w:rPr>
          <w:rFonts w:ascii="Arial" w:eastAsia="Arial" w:hAnsi="Arial" w:cs="Arial"/>
          <w:color w:val="000000"/>
          <w:highlight w:val="cyan"/>
        </w:rPr>
        <w:t>Cuando en la formulación del Caso de Negocio de un programa o proyecto institucional, conforme al Modelo de Gobernabilidad de Programas y Proyectos (MGPP), se identifiquen componentes basados en IA, el propietario del caso de uso presenta la Ficha de Evaluación de Caso de Uso (Anexo N.° 4) a la Comisión de Gobierno de IA antes de continuar, para la evaluación del o de los componentes de IA.</w:t>
      </w:r>
      <w:commentRangeEnd w:id="13"/>
      <w:r w:rsidR="00D44574">
        <w:rPr>
          <w:rStyle w:val="Refdecomentario"/>
          <w:rFonts w:ascii="Arial" w:hAnsi="Arial" w:cs="Arial"/>
          <w:color w:val="000000"/>
          <w:sz w:val="22"/>
          <w:szCs w:val="22"/>
        </w:rPr>
        <w:commentReference w:id="13"/>
      </w:r>
    </w:p>
    <w:p w14:paraId="14C10186" w14:textId="77777777" w:rsidR="00F91DE2" w:rsidRDefault="00000000">
      <w:pPr>
        <w:spacing w:after="60" w:line="276" w:lineRule="auto"/>
        <w:ind w:left="1276" w:hanging="720"/>
        <w:jc w:val="both"/>
        <w:rPr>
          <w:rFonts w:ascii="Arial" w:hAnsi="Arial" w:cs="Arial"/>
          <w:color w:val="000000"/>
        </w:rPr>
      </w:pPr>
      <w:r>
        <w:rPr>
          <w:rFonts w:ascii="Arial" w:eastAsia="Arial" w:hAnsi="Arial" w:cs="Arial"/>
          <w:color w:val="000000"/>
          <w:highlight w:val="cyan"/>
        </w:rPr>
        <w:t>6.1.7</w:t>
      </w:r>
      <w:r>
        <w:rPr>
          <w:rFonts w:ascii="Arial" w:eastAsia="Arial" w:hAnsi="Arial" w:cs="Arial"/>
          <w:color w:val="000000"/>
          <w:highlight w:val="cyan"/>
        </w:rPr>
        <w:tab/>
        <w:t xml:space="preserve">Cuando una necesidad canalizada a través de la gestión de la demanda informática, conforme al Lineamiento Temporal para la Gestión de la Demanda Informática vigente, comprenda componentes basados en IA, el propietario del caso de uso presenta la </w:t>
      </w:r>
      <w:commentRangeStart w:id="14"/>
      <w:r>
        <w:rPr>
          <w:rFonts w:ascii="Arial" w:eastAsia="Arial" w:hAnsi="Arial" w:cs="Arial"/>
          <w:color w:val="000000"/>
          <w:highlight w:val="cyan"/>
        </w:rPr>
        <w:t xml:space="preserve">Ficha de Evaluación de Caso de Uso (Anexo N.° 4) </w:t>
      </w:r>
      <w:commentRangeEnd w:id="14"/>
      <w:r w:rsidR="00C5632E">
        <w:rPr>
          <w:rStyle w:val="Refdecomentario"/>
          <w:rFonts w:ascii="Arial" w:eastAsia="Arial" w:hAnsi="Arial" w:cs="Arial"/>
          <w:color w:val="000000"/>
          <w:sz w:val="22"/>
          <w:szCs w:val="22"/>
          <w:highlight w:val="cyan"/>
        </w:rPr>
        <w:commentReference w:id="14"/>
      </w:r>
      <w:r>
        <w:rPr>
          <w:rFonts w:ascii="Arial" w:eastAsia="Arial" w:hAnsi="Arial" w:cs="Arial"/>
          <w:color w:val="000000"/>
          <w:highlight w:val="cyan"/>
        </w:rPr>
        <w:t>a la Comisión de Gobierno de IA antes de continuar con su atención, para la evaluación del o de los componentes de IA.</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77777777" w:rsidR="00F91DE2"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cyan"/>
        </w:rPr>
        <w:t>La prohibición del uso indebido se asegura mediante la clasificación de riesgo previa y obligatoria, el filtro de no procedencia y el registro obligatorio en el Inventario Institucional de SBIA. Ante la duda sobre si un SBIA constituye uso indebido, la SUNAT puede formular a la SGTD la consulta prevista en el artículo 23 del RLIA.</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lastRenderedPageBreak/>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53AB1498" w14:textId="77777777" w:rsidR="00863A18" w:rsidRPr="00923C59"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lastRenderedPageBreak/>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923C59"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7190B843" w14:textId="77777777" w:rsidR="00863A18"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La Comisión de Gobierno de IA verifica la existencia de estas medidas como parte de la evaluación de viabilidad.</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6.7.1</w:t>
      </w:r>
      <w:r>
        <w:rPr>
          <w:rFonts w:ascii="Arial" w:eastAsia="Arial" w:hAnsi="Arial" w:cs="Arial"/>
          <w:color w:val="000000"/>
          <w:highlight w:val="cyan"/>
        </w:rPr>
        <w:tab/>
        <w:t>Los SBIA cumplen la Política de Seguridad de la Información (SGSI-PO-01) y el Manual de Políticas del Sistema de Gestión de Seguridad de la Información (SGSI-MA-03) de la SUNAT, así como los demás documentos normativos y lineamientos de dicho Sistema de Gestión, en sus versiones vigentes</w:t>
      </w:r>
      <w:r>
        <w:rPr>
          <w:rFonts w:ascii="Arial" w:eastAsia="Arial" w:hAnsi="Arial" w:cs="Arial"/>
          <w:color w:val="000000"/>
        </w:rPr>
        <w:t>.</w:t>
      </w:r>
    </w:p>
    <w:p w14:paraId="7E8CBEA9" w14:textId="75904C6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 red teaming previo al despliegue de SBIA de riesgo alto;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87B4A9C"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t>Todo SBIA que procese reserva tributaria opera exclusivamente en infraestructura bajo control de la SUNAT.</w:t>
      </w:r>
    </w:p>
    <w:p w14:paraId="2CEA2E3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 xml:space="preserve">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w:t>
      </w:r>
      <w:r>
        <w:rPr>
          <w:rFonts w:ascii="Arial" w:eastAsia="Arial" w:hAnsi="Arial" w:cs="Arial"/>
          <w:color w:val="000000"/>
          <w:highlight w:val="yellow"/>
        </w:rPr>
        <w:lastRenderedPageBreak/>
        <w:t>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36612602" w14:textId="77777777" w:rsidR="00931E16" w:rsidRDefault="00931E16" w:rsidP="00931E16">
      <w:pPr>
        <w:pStyle w:val="SubtituloDONI"/>
        <w:spacing w:line="276" w:lineRule="auto"/>
        <w:ind w:left="851"/>
      </w:pPr>
      <w:commentRangeStart w:id="15"/>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commentRangeEnd w:id="15"/>
      <w:r w:rsidR="004C17C6">
        <w:rPr>
          <w:rStyle w:val="Refdecomentario"/>
          <w:rFonts w:ascii="Arial" w:eastAsia="Arial" w:hAnsi="Arial" w:cs="Arial"/>
          <w:color w:val="000000"/>
          <w:sz w:val="22"/>
          <w:szCs w:val="22"/>
          <w:highlight w:val="yellow"/>
        </w:rPr>
        <w:commentReference w:id="15"/>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El CGTD presenta un informe anual a la SN sobre el estado del gobierno de IA institucional, en ejercicio de su responsabilidad de liderar, dirigir, evaluar y 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son de aplicación en la SUNAT desde su entrada en vigencia. La Comisión de </w:t>
      </w:r>
      <w:r>
        <w:rPr>
          <w:rFonts w:ascii="Arial" w:eastAsia="Arial" w:hAnsi="Arial" w:cs="Arial"/>
          <w:color w:val="000000"/>
          <w:highlight w:val="yellow"/>
        </w:rPr>
        <w:lastRenderedPageBreak/>
        <w:t>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alto: monitoreo continuo 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26BA52EA" w14:textId="77777777" w:rsidR="00467C46" w:rsidRPr="00923C59" w:rsidRDefault="00467C46" w:rsidP="00B23382">
      <w:pPr>
        <w:spacing w:after="0" w:line="276" w:lineRule="auto"/>
        <w:ind w:left="1276" w:hanging="720"/>
        <w:jc w:val="both"/>
        <w:rPr>
          <w:rFonts w:ascii="Arial" w:hAnsi="Arial" w:cs="Arial"/>
        </w:rPr>
      </w:pPr>
      <w:r>
        <w:rPr>
          <w:rFonts w:ascii="Arial" w:eastAsia="Arial" w:hAnsi="Arial" w:cs="Arial"/>
          <w:color w:val="000000"/>
        </w:rPr>
        <w:t>6.10.2</w:t>
      </w:r>
      <w:r>
        <w:rPr>
          <w:rFonts w:ascii="Arial" w:eastAsia="Arial" w:hAnsi="Arial" w:cs="Arial"/>
          <w:color w:val="000000"/>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965A5B3"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El análisis de riesgo y las pruebas de vulnerabilidad sobre cada SBIA corresponden a la Oficina de Seguridad Informática, conforme a la etapa de certificación y validación del numeral 6.1.1. Con la concurrencia de ambas actividades y del monitoreo previsto en el numeral 6.10, la SUNAT satisface la obligación de auditorías de seguridad digital del literal c) del artículo 29 del RLIA.</w:t>
      </w:r>
    </w:p>
    <w:p w14:paraId="0B9298C6"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Los resultados de las auditorías alimentan el informe trimestral de la Comisión de Gobierno de IA al CGTD.</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48924DD9" w14:textId="77777777" w:rsidR="0018147B" w:rsidRPr="00F9075F" w:rsidRDefault="00000000">
      <w:pPr>
        <w:pStyle w:val="Prrafodelista"/>
        <w:numPr>
          <w:ilvl w:val="0"/>
          <w:numId w:val="5"/>
        </w:numPr>
        <w:spacing w:before="0" w:after="40" w:line="276" w:lineRule="auto"/>
        <w:ind w:left="1701"/>
        <w:rPr>
          <w:b w:val="0"/>
          <w:bCs w:val="0"/>
        </w:rPr>
      </w:pPr>
      <w:r>
        <w:rPr>
          <w:b w:val="0"/>
          <w:bCs w:val="0"/>
          <w:color w:val="000000"/>
          <w:highlight w:val="cyan"/>
        </w:rPr>
        <w:t xml:space="preserve">No ingresar información sujeta a reserva tributaria ni datos personales de contribuyentes u operadores aduaneros en herramientas de IA que no estén autorizadas para ese tratamiento en el catálogo institucional. El catálogo indica, para cada herramienta, los tipos de información que puede </w:t>
      </w:r>
      <w:r>
        <w:rPr>
          <w:b w:val="0"/>
          <w:bCs w:val="0"/>
          <w:color w:val="000000"/>
          <w:highlight w:val="cyan"/>
        </w:rPr>
        <w:lastRenderedPageBreak/>
        <w:t>procesar. El tratamiento de información sujeta a reserva tributaria se rige por el numeral 6.7.3.</w:t>
      </w:r>
    </w:p>
    <w:p w14:paraId="2FC15DE4"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6.11.2</w:t>
      </w:r>
      <w:r>
        <w:rPr>
          <w:rFonts w:ascii="Arial" w:eastAsia="Arial" w:hAnsi="Arial" w:cs="Arial"/>
          <w:color w:val="000000"/>
          <w:highlight w:val="yellow"/>
        </w:rPr>
        <w:tab/>
        <w:t>El catálogo de herramientas de IA autorizadas para uso institucional registra las herramientas aprobadas conforme al numeral 6.11.5. El catálogo precisa, para cada herramienta, el ámbito de uso autorizado (uso administrativo general o uso restringido) y si su empleo con información sujeta a reserva tributaria está permitido, en concordancia con los numerales 6.11.1 y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Procedimiento para el Registro, Control y Retiro de Software de la SUNAT (A-03.3.2-PR-01).</w:t>
      </w:r>
    </w:p>
    <w:p w14:paraId="6CEA57C6" w14:textId="77777777" w:rsidR="005F24C2" w:rsidRDefault="005F24C2">
      <w:pPr>
        <w:spacing w:after="60" w:line="276" w:lineRule="auto"/>
        <w:ind w:left="1276" w:hanging="720"/>
        <w:jc w:val="both"/>
        <w:rPr>
          <w:rFonts w:ascii="Arial" w:eastAsia="Arial" w:hAnsi="Arial" w:cs="Arial"/>
          <w:color w:val="000000"/>
        </w:rPr>
      </w:pPr>
    </w:p>
    <w:p w14:paraId="3BCCF2B5" w14:textId="77777777" w:rsidR="00863A18" w:rsidRPr="00923C59" w:rsidRDefault="00863A18" w:rsidP="00B23382">
      <w:pPr>
        <w:pStyle w:val="SubtituloDONI"/>
        <w:spacing w:line="276" w:lineRule="auto"/>
        <w:ind w:left="851"/>
      </w:pPr>
      <w:r>
        <w:lastRenderedPageBreak/>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378F374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6.12.2</w:t>
      </w:r>
      <w:r>
        <w:rPr>
          <w:rFonts w:ascii="Arial" w:eastAsia="Arial" w:hAnsi="Arial" w:cs="Arial"/>
          <w:color w:val="000000"/>
          <w:highlight w:val="yellow"/>
        </w:rPr>
        <w:tab/>
        <w:t>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El plazo de notificación de vulnerabilidades se define en los TDR o EETT de cada contratación, según la criticidad del SBIA.</w:t>
      </w:r>
    </w:p>
    <w:p w14:paraId="0C47E374"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t>Los contratos prohíben al proveedor emplear la información de la SUNAT (en particular la sujeta a reserva tributaria y los datos personales) para entrenar, 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923C59" w:rsidRDefault="00863A18" w:rsidP="00B23382">
      <w:pPr>
        <w:pStyle w:val="SubtituloDONI"/>
        <w:spacing w:line="276" w:lineRule="auto"/>
        <w:ind w:left="851"/>
      </w:pPr>
      <w:r>
        <w:t>6.13</w:t>
      </w:r>
      <w:r>
        <w:tab/>
        <w:t>De la sensibilización, educación y capacitación</w:t>
      </w:r>
    </w:p>
    <w:p w14:paraId="02AA9A87" w14:textId="77777777" w:rsidR="00462A57" w:rsidRPr="00462A57" w:rsidRDefault="00462A57" w:rsidP="00462A57">
      <w:pPr>
        <w:spacing w:line="276" w:lineRule="auto"/>
        <w:ind w:left="851"/>
        <w:jc w:val="both"/>
        <w:rPr>
          <w:rFonts w:ascii="Arial" w:eastAsia="Arial" w:hAnsi="Arial" w:cs="Arial"/>
          <w:color w:val="000000"/>
          <w:highlight w:val="yellow"/>
        </w:rPr>
      </w:pPr>
      <w:r w:rsidRPr="00462A57">
        <w:rPr>
          <w:rFonts w:ascii="Arial" w:eastAsia="Arial" w:hAnsi="Arial" w:cs="Arial"/>
          <w:color w:val="000000"/>
          <w:highlight w:val="yellow"/>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462A57" w:rsidRDefault="00462A57" w:rsidP="00462A57">
      <w:pPr>
        <w:spacing w:line="276" w:lineRule="auto"/>
        <w:ind w:left="851" w:hanging="284"/>
        <w:jc w:val="both"/>
        <w:rPr>
          <w:rFonts w:ascii="Arial" w:eastAsia="Arial" w:hAnsi="Arial" w:cs="Arial"/>
          <w:color w:val="000000"/>
          <w:highlight w:val="yellow"/>
        </w:rPr>
      </w:pPr>
      <w:r w:rsidRPr="00462A57">
        <w:rPr>
          <w:rFonts w:ascii="Arial" w:eastAsia="Arial" w:hAnsi="Arial" w:cs="Arial"/>
          <w:color w:val="000000"/>
          <w:highlight w:val="yellow"/>
        </w:rPr>
        <w:t>6.</w:t>
      </w:r>
      <w:r>
        <w:rPr>
          <w:rFonts w:ascii="Arial" w:eastAsia="Arial" w:hAnsi="Arial" w:cs="Arial"/>
          <w:color w:val="000000"/>
          <w:highlight w:val="yellow"/>
        </w:rPr>
        <w:t>13</w:t>
      </w:r>
      <w:r w:rsidRPr="00462A57">
        <w:rPr>
          <w:rFonts w:ascii="Arial" w:eastAsia="Arial" w:hAnsi="Arial" w:cs="Arial"/>
          <w:color w:val="000000"/>
          <w:highlight w:val="yellow"/>
        </w:rPr>
        <w:t>.1 Sensibilización</w:t>
      </w:r>
    </w:p>
    <w:p w14:paraId="4C521181" w14:textId="77777777" w:rsidR="00462A57" w:rsidRPr="00462A57" w:rsidRDefault="00462A57" w:rsidP="00462A57">
      <w:pPr>
        <w:spacing w:line="276" w:lineRule="auto"/>
        <w:ind w:left="851"/>
        <w:jc w:val="both"/>
        <w:rPr>
          <w:rFonts w:ascii="Arial" w:eastAsia="Arial" w:hAnsi="Arial" w:cs="Arial"/>
          <w:color w:val="000000"/>
          <w:highlight w:val="yellow"/>
        </w:rPr>
      </w:pPr>
      <w:r w:rsidRPr="00462A57">
        <w:rPr>
          <w:rFonts w:ascii="Arial" w:eastAsia="Arial" w:hAnsi="Arial" w:cs="Arial"/>
          <w:color w:val="000000"/>
          <w:highlight w:val="yellow"/>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462A57" w:rsidRDefault="00462A57" w:rsidP="00462A57">
      <w:pPr>
        <w:spacing w:line="276" w:lineRule="auto"/>
        <w:ind w:left="851"/>
        <w:jc w:val="both"/>
        <w:rPr>
          <w:rFonts w:ascii="Arial" w:eastAsia="Arial" w:hAnsi="Arial" w:cs="Arial"/>
          <w:color w:val="000000"/>
          <w:highlight w:val="yellow"/>
        </w:rPr>
      </w:pPr>
      <w:r w:rsidRPr="00462A57">
        <w:rPr>
          <w:rFonts w:ascii="Arial" w:eastAsia="Arial" w:hAnsi="Arial" w:cs="Arial"/>
          <w:color w:val="000000"/>
          <w:highlight w:val="yellow"/>
        </w:rPr>
        <w:t>Las acciones de sensibilización consideran, como mínimo:</w:t>
      </w:r>
    </w:p>
    <w:p w14:paraId="31E5E6A5" w14:textId="77777777" w:rsidR="00462A57" w:rsidRDefault="00462A57" w:rsidP="00462A57">
      <w:pPr>
        <w:pStyle w:val="Prrafodelista"/>
        <w:numPr>
          <w:ilvl w:val="0"/>
          <w:numId w:val="26"/>
        </w:numPr>
        <w:spacing w:before="0" w:line="276" w:lineRule="auto"/>
        <w:ind w:left="1276"/>
        <w:rPr>
          <w:b w:val="0"/>
          <w:bCs w:val="0"/>
          <w:color w:val="000000"/>
          <w:highlight w:val="yellow"/>
        </w:rPr>
      </w:pPr>
      <w:r w:rsidRPr="00462A57">
        <w:rPr>
          <w:b w:val="0"/>
          <w:bCs w:val="0"/>
          <w:color w:val="000000"/>
          <w:highlight w:val="yellow"/>
        </w:rPr>
        <w:t>La finalidad y los principios institucionales aplicables a los sistemas basados en IA.</w:t>
      </w:r>
    </w:p>
    <w:p w14:paraId="4379805E" w14:textId="77777777" w:rsidR="00462A57" w:rsidRPr="00462A57" w:rsidRDefault="00462A57" w:rsidP="00462A57">
      <w:pPr>
        <w:pStyle w:val="Prrafodelista"/>
        <w:numPr>
          <w:ilvl w:val="0"/>
          <w:numId w:val="26"/>
        </w:numPr>
        <w:spacing w:before="0" w:line="276" w:lineRule="auto"/>
        <w:ind w:left="1276"/>
        <w:rPr>
          <w:b w:val="0"/>
          <w:bCs w:val="0"/>
          <w:color w:val="000000"/>
          <w:highlight w:val="yellow"/>
        </w:rPr>
      </w:pPr>
      <w:r w:rsidRPr="00462A57">
        <w:rPr>
          <w:b w:val="0"/>
          <w:bCs w:val="0"/>
          <w:color w:val="000000"/>
          <w:highlight w:val="yellow"/>
        </w:rPr>
        <w:t>Los riesgos derivados de su diseño, desarrollo, implementación y uso.</w:t>
      </w:r>
    </w:p>
    <w:p w14:paraId="4C43874D" w14:textId="77777777" w:rsidR="00462A57" w:rsidRPr="00462A57" w:rsidRDefault="00462A57" w:rsidP="00462A57">
      <w:pPr>
        <w:pStyle w:val="Prrafodelista"/>
        <w:numPr>
          <w:ilvl w:val="0"/>
          <w:numId w:val="26"/>
        </w:numPr>
        <w:spacing w:before="0" w:line="276" w:lineRule="auto"/>
        <w:ind w:left="1276"/>
        <w:rPr>
          <w:b w:val="0"/>
          <w:bCs w:val="0"/>
          <w:color w:val="000000"/>
          <w:highlight w:val="yellow"/>
        </w:rPr>
      </w:pPr>
      <w:r w:rsidRPr="00462A57">
        <w:rPr>
          <w:b w:val="0"/>
          <w:bCs w:val="0"/>
          <w:color w:val="000000"/>
          <w:highlight w:val="yellow"/>
        </w:rPr>
        <w:t>La protección de los derechos fundamentales de los administrados y la prevención de sesgos o resultados discriminatorios.</w:t>
      </w:r>
    </w:p>
    <w:p w14:paraId="3C9A30B7" w14:textId="77777777" w:rsidR="00462A57" w:rsidRPr="00462A57" w:rsidRDefault="00462A57" w:rsidP="00462A57">
      <w:pPr>
        <w:pStyle w:val="Prrafodelista"/>
        <w:numPr>
          <w:ilvl w:val="0"/>
          <w:numId w:val="26"/>
        </w:numPr>
        <w:spacing w:before="0" w:line="276" w:lineRule="auto"/>
        <w:ind w:left="1276"/>
        <w:rPr>
          <w:b w:val="0"/>
          <w:bCs w:val="0"/>
          <w:color w:val="000000"/>
          <w:highlight w:val="yellow"/>
        </w:rPr>
      </w:pPr>
      <w:r w:rsidRPr="00462A57">
        <w:rPr>
          <w:b w:val="0"/>
          <w:bCs w:val="0"/>
          <w:color w:val="000000"/>
          <w:highlight w:val="yellow"/>
        </w:rPr>
        <w:lastRenderedPageBreak/>
        <w:t>La protección de la reserva tributaria, secreto comercial y demás obligaciones de confidencialidad aplicables.</w:t>
      </w:r>
    </w:p>
    <w:p w14:paraId="24701C8F" w14:textId="251548E5" w:rsidR="00462A57" w:rsidRPr="00462A57" w:rsidRDefault="00462A57" w:rsidP="00462A57">
      <w:pPr>
        <w:pStyle w:val="Prrafodelista"/>
        <w:numPr>
          <w:ilvl w:val="0"/>
          <w:numId w:val="26"/>
        </w:numPr>
        <w:spacing w:before="0" w:line="276" w:lineRule="auto"/>
        <w:ind w:left="1276"/>
        <w:rPr>
          <w:b w:val="0"/>
          <w:bCs w:val="0"/>
          <w:color w:val="000000"/>
          <w:highlight w:val="yellow"/>
        </w:rPr>
      </w:pPr>
      <w:r w:rsidRPr="00462A57">
        <w:rPr>
          <w:b w:val="0"/>
          <w:bCs w:val="0"/>
          <w:color w:val="000000"/>
          <w:highlight w:val="yellow"/>
        </w:rPr>
        <w:t>El impacto social y ambiental de los sistemas basados en IA.</w:t>
      </w:r>
    </w:p>
    <w:p w14:paraId="7C045AC2" w14:textId="77777777" w:rsidR="00462A57" w:rsidRPr="00462A57" w:rsidRDefault="00462A57" w:rsidP="00462A57">
      <w:pPr>
        <w:spacing w:line="276" w:lineRule="auto"/>
        <w:ind w:left="851"/>
        <w:jc w:val="both"/>
        <w:rPr>
          <w:rFonts w:ascii="Arial" w:eastAsia="Arial" w:hAnsi="Arial" w:cs="Arial"/>
          <w:color w:val="000000"/>
          <w:highlight w:val="yellow"/>
        </w:rPr>
      </w:pPr>
      <w:r w:rsidRPr="00462A57">
        <w:rPr>
          <w:rFonts w:ascii="Arial" w:eastAsia="Arial" w:hAnsi="Arial" w:cs="Arial"/>
          <w:color w:val="000000"/>
          <w:highlight w:val="yellow"/>
        </w:rPr>
        <w:t>Esta disposición incorpora los requerimientos establecidos en el numeral 28.9 del artículo 28 del Reglamento y adopta medidas adicionales de sensibilización orientadas a promover el uso seguro, responsable y ético de los sistemas basados en IA, en concordancia con el numeral 7.3 de la NTP-ISO/IEC 42001:2025.</w:t>
      </w:r>
    </w:p>
    <w:p w14:paraId="74A770FE" w14:textId="1AFAF2C5" w:rsidR="00462A57" w:rsidRPr="00462A57" w:rsidRDefault="00462A57" w:rsidP="00462A57">
      <w:pPr>
        <w:spacing w:line="276" w:lineRule="auto"/>
        <w:ind w:left="851" w:hanging="284"/>
        <w:jc w:val="both"/>
        <w:rPr>
          <w:rFonts w:ascii="Arial" w:eastAsia="Arial" w:hAnsi="Arial" w:cs="Arial"/>
          <w:color w:val="000000"/>
          <w:highlight w:val="yellow"/>
        </w:rPr>
      </w:pPr>
      <w:r w:rsidRPr="00462A57">
        <w:rPr>
          <w:rFonts w:ascii="Arial" w:eastAsia="Arial" w:hAnsi="Arial" w:cs="Arial"/>
          <w:color w:val="000000"/>
          <w:highlight w:val="yellow"/>
        </w:rPr>
        <w:t>6.</w:t>
      </w:r>
      <w:r>
        <w:rPr>
          <w:rFonts w:ascii="Arial" w:eastAsia="Arial" w:hAnsi="Arial" w:cs="Arial"/>
          <w:color w:val="000000"/>
          <w:highlight w:val="yellow"/>
        </w:rPr>
        <w:t>13</w:t>
      </w:r>
      <w:r w:rsidRPr="00462A57">
        <w:rPr>
          <w:rFonts w:ascii="Arial" w:eastAsia="Arial" w:hAnsi="Arial" w:cs="Arial"/>
          <w:color w:val="000000"/>
          <w:highlight w:val="yellow"/>
        </w:rPr>
        <w:t>.2 Capacitación y fortalecimiento de capacidades</w:t>
      </w:r>
    </w:p>
    <w:p w14:paraId="56A6AAD2" w14:textId="77777777" w:rsidR="00462A57" w:rsidRPr="00462A57" w:rsidRDefault="00462A57" w:rsidP="00462A57">
      <w:pPr>
        <w:spacing w:line="276" w:lineRule="auto"/>
        <w:ind w:left="851"/>
        <w:jc w:val="both"/>
        <w:rPr>
          <w:rFonts w:ascii="Arial" w:eastAsia="Arial" w:hAnsi="Arial" w:cs="Arial"/>
          <w:color w:val="000000"/>
          <w:highlight w:val="yellow"/>
        </w:rPr>
      </w:pPr>
      <w:r w:rsidRPr="00462A57">
        <w:rPr>
          <w:rFonts w:ascii="Arial" w:eastAsia="Arial" w:hAnsi="Arial" w:cs="Arial"/>
          <w:color w:val="000000"/>
          <w:highlight w:val="yellow"/>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462A57" w:rsidRDefault="00462A57" w:rsidP="00462A57">
      <w:pPr>
        <w:spacing w:line="276" w:lineRule="auto"/>
        <w:ind w:left="851"/>
        <w:jc w:val="both"/>
        <w:rPr>
          <w:rFonts w:ascii="Arial" w:eastAsia="Arial" w:hAnsi="Arial" w:cs="Arial"/>
          <w:color w:val="000000"/>
          <w:highlight w:val="yellow"/>
        </w:rPr>
      </w:pPr>
      <w:r w:rsidRPr="00462A57">
        <w:rPr>
          <w:rFonts w:ascii="Arial" w:eastAsia="Arial" w:hAnsi="Arial" w:cs="Arial"/>
          <w:color w:val="000000"/>
          <w:highlight w:val="yellow"/>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462A57" w:rsidRDefault="00462A57" w:rsidP="00462A57">
      <w:pPr>
        <w:spacing w:line="276" w:lineRule="auto"/>
        <w:ind w:left="851"/>
        <w:jc w:val="both"/>
        <w:rPr>
          <w:rFonts w:ascii="Arial" w:eastAsia="Arial" w:hAnsi="Arial" w:cs="Arial"/>
          <w:color w:val="000000"/>
          <w:highlight w:val="yellow"/>
        </w:rPr>
      </w:pPr>
      <w:r w:rsidRPr="00462A57">
        <w:rPr>
          <w:rFonts w:ascii="Arial" w:eastAsia="Arial" w:hAnsi="Arial" w:cs="Arial"/>
          <w:color w:val="000000"/>
          <w:highlight w:val="yellow"/>
        </w:rPr>
        <w:t>Estas acciones consideran, como mínimo:</w:t>
      </w:r>
    </w:p>
    <w:p w14:paraId="4DC2972A" w14:textId="77777777" w:rsidR="00462A57" w:rsidRPr="00462A57" w:rsidRDefault="00462A57" w:rsidP="00462A57">
      <w:pPr>
        <w:pStyle w:val="Prrafodelista"/>
        <w:numPr>
          <w:ilvl w:val="0"/>
          <w:numId w:val="25"/>
        </w:numPr>
        <w:spacing w:before="0" w:line="276" w:lineRule="auto"/>
        <w:ind w:left="1276"/>
        <w:rPr>
          <w:b w:val="0"/>
          <w:bCs w:val="0"/>
          <w:color w:val="000000"/>
          <w:highlight w:val="yellow"/>
        </w:rPr>
      </w:pPr>
      <w:r w:rsidRPr="00462A57">
        <w:rPr>
          <w:b w:val="0"/>
          <w:bCs w:val="0"/>
          <w:color w:val="000000"/>
          <w:highlight w:val="yellow"/>
        </w:rPr>
        <w:t>Los fundamentos y el ciclo de vida de los sistemas basados en IA.</w:t>
      </w:r>
    </w:p>
    <w:p w14:paraId="3D2E0724" w14:textId="77777777" w:rsidR="00462A57" w:rsidRPr="00462A57" w:rsidRDefault="00462A57" w:rsidP="00462A57">
      <w:pPr>
        <w:pStyle w:val="Prrafodelista"/>
        <w:numPr>
          <w:ilvl w:val="0"/>
          <w:numId w:val="25"/>
        </w:numPr>
        <w:spacing w:before="0" w:line="276" w:lineRule="auto"/>
        <w:ind w:left="1276"/>
        <w:rPr>
          <w:b w:val="0"/>
          <w:bCs w:val="0"/>
          <w:color w:val="000000"/>
          <w:highlight w:val="yellow"/>
        </w:rPr>
      </w:pPr>
      <w:r w:rsidRPr="00462A57">
        <w:rPr>
          <w:b w:val="0"/>
          <w:bCs w:val="0"/>
          <w:color w:val="000000"/>
          <w:highlight w:val="yellow"/>
        </w:rPr>
        <w:t>La gestión de riesgos y la seguridad de la información aplicables.</w:t>
      </w:r>
    </w:p>
    <w:p w14:paraId="29D4C499" w14:textId="77777777" w:rsidR="00462A57" w:rsidRPr="00462A57" w:rsidRDefault="00462A57" w:rsidP="00462A57">
      <w:pPr>
        <w:pStyle w:val="Prrafodelista"/>
        <w:numPr>
          <w:ilvl w:val="0"/>
          <w:numId w:val="25"/>
        </w:numPr>
        <w:spacing w:before="0" w:line="276" w:lineRule="auto"/>
        <w:ind w:left="1276"/>
        <w:rPr>
          <w:b w:val="0"/>
          <w:bCs w:val="0"/>
          <w:color w:val="000000"/>
          <w:highlight w:val="yellow"/>
        </w:rPr>
      </w:pPr>
      <w:r w:rsidRPr="00462A57">
        <w:rPr>
          <w:b w:val="0"/>
          <w:bCs w:val="0"/>
          <w:color w:val="000000"/>
          <w:highlight w:val="yellow"/>
        </w:rPr>
        <w:t>La ética, integridad y responsabilidad en el uso de la IA.</w:t>
      </w:r>
    </w:p>
    <w:p w14:paraId="6286F739" w14:textId="77777777" w:rsidR="00462A57" w:rsidRPr="00462A57" w:rsidRDefault="00462A57" w:rsidP="00462A57">
      <w:pPr>
        <w:pStyle w:val="Prrafodelista"/>
        <w:numPr>
          <w:ilvl w:val="0"/>
          <w:numId w:val="25"/>
        </w:numPr>
        <w:spacing w:before="0" w:line="276" w:lineRule="auto"/>
        <w:ind w:left="1276"/>
        <w:rPr>
          <w:b w:val="0"/>
          <w:bCs w:val="0"/>
          <w:color w:val="000000"/>
          <w:highlight w:val="yellow"/>
        </w:rPr>
      </w:pPr>
      <w:r w:rsidRPr="00462A57">
        <w:rPr>
          <w:b w:val="0"/>
          <w:bCs w:val="0"/>
          <w:color w:val="000000"/>
          <w:highlight w:val="yellow"/>
        </w:rPr>
        <w:t>La protección de datos personales.</w:t>
      </w:r>
    </w:p>
    <w:p w14:paraId="6EC73725" w14:textId="77777777" w:rsidR="00462A57" w:rsidRPr="00462A57" w:rsidRDefault="00462A57" w:rsidP="00462A57">
      <w:pPr>
        <w:pStyle w:val="Prrafodelista"/>
        <w:numPr>
          <w:ilvl w:val="0"/>
          <w:numId w:val="25"/>
        </w:numPr>
        <w:spacing w:before="0" w:line="276" w:lineRule="auto"/>
        <w:ind w:left="1276"/>
        <w:rPr>
          <w:b w:val="0"/>
          <w:bCs w:val="0"/>
          <w:color w:val="000000"/>
          <w:highlight w:val="yellow"/>
        </w:rPr>
      </w:pPr>
      <w:r w:rsidRPr="00462A57">
        <w:rPr>
          <w:b w:val="0"/>
          <w:bCs w:val="0"/>
          <w:color w:val="000000"/>
          <w:highlight w:val="yellow"/>
        </w:rPr>
        <w:t>La protección de la reserva tributaria cuando los sistemas procesen información de los administrados.</w:t>
      </w:r>
    </w:p>
    <w:p w14:paraId="6B9B86CB" w14:textId="77777777" w:rsidR="00462A57" w:rsidRPr="00462A57" w:rsidRDefault="00462A57" w:rsidP="00462A57">
      <w:pPr>
        <w:spacing w:line="276" w:lineRule="auto"/>
        <w:ind w:left="851"/>
        <w:jc w:val="both"/>
        <w:rPr>
          <w:rFonts w:ascii="Arial" w:eastAsia="Arial" w:hAnsi="Arial" w:cs="Arial"/>
          <w:color w:val="000000"/>
          <w:highlight w:val="yellow"/>
        </w:rPr>
      </w:pPr>
      <w:r w:rsidRPr="00462A57">
        <w:rPr>
          <w:rFonts w:ascii="Arial" w:eastAsia="Arial" w:hAnsi="Arial" w:cs="Arial"/>
          <w:color w:val="000000"/>
          <w:highlight w:val="yellow"/>
        </w:rPr>
        <w:t>Esta disposición se implementa conforme al numeral 28.5 del artículo 28 del Reglamento y en concordancia con el numeral 7.2 y el Anexo A.4 de la NTP</w:t>
      </w:r>
      <w:r w:rsidRPr="00462A57">
        <w:rPr>
          <w:rFonts w:ascii="Arial" w:eastAsia="Arial" w:hAnsi="Arial" w:cs="Arial"/>
          <w:color w:val="000000"/>
          <w:highlight w:val="yellow"/>
        </w:rPr>
        <w:noBreakHyphen/>
        <w:t>ISO/IEC 42001:2025.</w:t>
      </w:r>
    </w:p>
    <w:p w14:paraId="488EF96E" w14:textId="7CCFC609" w:rsidR="00462A57" w:rsidRPr="00462A57" w:rsidRDefault="00462A57" w:rsidP="00462A57">
      <w:pPr>
        <w:spacing w:line="276" w:lineRule="auto"/>
        <w:ind w:left="851" w:hanging="284"/>
        <w:jc w:val="both"/>
        <w:rPr>
          <w:rFonts w:ascii="Arial" w:eastAsia="Arial" w:hAnsi="Arial" w:cs="Arial"/>
          <w:color w:val="000000"/>
          <w:highlight w:val="yellow"/>
        </w:rPr>
      </w:pPr>
      <w:r w:rsidRPr="00462A57">
        <w:rPr>
          <w:rFonts w:ascii="Arial" w:eastAsia="Arial" w:hAnsi="Arial" w:cs="Arial"/>
          <w:color w:val="000000"/>
          <w:highlight w:val="yellow"/>
        </w:rPr>
        <w:t>6.</w:t>
      </w:r>
      <w:r>
        <w:rPr>
          <w:rFonts w:ascii="Arial" w:eastAsia="Arial" w:hAnsi="Arial" w:cs="Arial"/>
          <w:color w:val="000000"/>
          <w:highlight w:val="yellow"/>
        </w:rPr>
        <w:t>13</w:t>
      </w:r>
      <w:r w:rsidRPr="00462A57">
        <w:rPr>
          <w:rFonts w:ascii="Arial" w:eastAsia="Arial" w:hAnsi="Arial" w:cs="Arial"/>
          <w:color w:val="000000"/>
          <w:highlight w:val="yellow"/>
        </w:rPr>
        <w:t>.3 Gestión del cambio</w:t>
      </w:r>
    </w:p>
    <w:p w14:paraId="3003C927" w14:textId="77777777" w:rsidR="00462A57" w:rsidRPr="00462A57" w:rsidRDefault="00462A57" w:rsidP="00462A57">
      <w:pPr>
        <w:spacing w:line="276" w:lineRule="auto"/>
        <w:ind w:left="851"/>
        <w:jc w:val="both"/>
        <w:rPr>
          <w:rFonts w:ascii="Arial" w:eastAsia="Arial" w:hAnsi="Arial" w:cs="Arial"/>
          <w:color w:val="000000"/>
          <w:highlight w:val="yellow"/>
        </w:rPr>
      </w:pPr>
      <w:r w:rsidRPr="00462A57">
        <w:rPr>
          <w:rFonts w:ascii="Arial" w:eastAsia="Arial" w:hAnsi="Arial" w:cs="Arial"/>
          <w:color w:val="000000"/>
          <w:highlight w:val="yellow"/>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462A57" w:rsidRDefault="00462A57" w:rsidP="00462A57">
      <w:pPr>
        <w:spacing w:line="276" w:lineRule="auto"/>
        <w:ind w:left="851"/>
        <w:jc w:val="both"/>
        <w:rPr>
          <w:rFonts w:ascii="Arial" w:eastAsia="Arial" w:hAnsi="Arial" w:cs="Arial"/>
          <w:color w:val="000000"/>
          <w:highlight w:val="yellow"/>
        </w:rPr>
      </w:pPr>
      <w:r w:rsidRPr="00462A57">
        <w:rPr>
          <w:rFonts w:ascii="Arial" w:eastAsia="Arial" w:hAnsi="Arial" w:cs="Arial"/>
          <w:color w:val="000000"/>
          <w:highlight w:val="yellow"/>
        </w:rPr>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2B6E073D" w14:textId="77777777" w:rsidR="00462A57" w:rsidRDefault="00462A57" w:rsidP="00462A57">
      <w:pPr>
        <w:jc w:val="both"/>
        <w:rPr>
          <w:color w:val="000000" w:themeColor="text1"/>
        </w:rPr>
      </w:pPr>
    </w:p>
    <w:p w14:paraId="413BDA4B" w14:textId="77777777" w:rsidR="00462A57" w:rsidRDefault="00462A57" w:rsidP="00462A57">
      <w:pPr>
        <w:jc w:val="both"/>
        <w:rPr>
          <w:color w:val="000000" w:themeColor="text1"/>
        </w:rPr>
      </w:pPr>
    </w:p>
    <w:p w14:paraId="13250E70" w14:textId="77777777" w:rsidR="00462A57" w:rsidRDefault="00462A57" w:rsidP="00462A57">
      <w:pPr>
        <w:jc w:val="both"/>
        <w:rPr>
          <w:color w:val="000000" w:themeColor="text1"/>
        </w:rPr>
      </w:pP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5"/>
      </w:r>
      <w:r>
        <w:rPr>
          <w:rFonts w:ascii="Arial" w:eastAsia="Arial" w:hAnsi="Arial" w:cs="Arial"/>
          <w:color w:val="000000"/>
          <w:highlight w:val="yellow"/>
        </w:rPr>
        <w:t>. La OII supervisa el cumplimiento de los principios éticos en los SBIA, evalúa los riesgos de sesgo y discriminación y administra el canal de consultas éticas en materia de IA. 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Pr="00326739" w:rsidRDefault="00326739" w:rsidP="00326739">
      <w:pPr>
        <w:pStyle w:val="SubtituloDONI"/>
        <w:spacing w:line="276" w:lineRule="auto"/>
        <w:ind w:left="851"/>
        <w:rPr>
          <w:color w:val="000000"/>
          <w:highlight w:val="lightGray"/>
        </w:rPr>
      </w:pPr>
      <w:r w:rsidRPr="00326739">
        <w:rPr>
          <w:highlight w:val="lightGray"/>
        </w:rPr>
        <w:t>6.15 De la articulación con la formulación de iniciativas, proyectos e inversiones</w:t>
      </w:r>
    </w:p>
    <w:p w14:paraId="0BD19C27" w14:textId="61BE8FE3"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6.15.1 Toda iniciativa, requerimiento o proyecto que incorpore o prevea un componente basado en IA requiere la opinión de viabilidad de la Comisión de Gobierno de IA sobre dicho componente. La opinión es insumo del análisis que sustenta la decisión que corresponda y es determinante respecto del componente de IA; no sustituye las aprobaciones que competen a la Alta Dirección ni las de los sistemas administrativos del Estado. Se emite sobre la Ficha de Evaluación de Caso de Uso (Anexo N.° 4), adecuada a la naturaleza y magnitud de la iniciativa, requerimiento o proyecto.</w:t>
      </w:r>
    </w:p>
    <w:p w14:paraId="036045F6" w14:textId="1232AD42"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1F688DEA" w14:textId="12F8070C"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6.15.3 En la formulación de proyectos institucionales conforme al MGPP, cuando se identifique un componente basado en IA se incorpora la opinión de la Comisión como parte del caso de negocio, con carácter previo a su aprobación.</w:t>
      </w:r>
    </w:p>
    <w:p w14:paraId="09190F8C" w14:textId="551338CC"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 xml:space="preserve">6.15.4 Cuando un proyecto de inversión pública sujeto al Sistema Nacional de Programación Multianual y Gestión de Inversiones incorpore un componente basado en IA, la Unidad Formuladora considera la opinión de la Comisión como insumo del análisis técnico que </w:t>
      </w:r>
      <w:r w:rsidRPr="00326739">
        <w:rPr>
          <w:highlight w:val="lightGray"/>
        </w:rPr>
        <w:lastRenderedPageBreak/>
        <w:t>sustenta la declaración de viabilidad, sin perjuicio de las disposiciones del referido Sistema. En la ejecución, el SBIA observa el ciclo de vida del numeral 6.1.</w:t>
      </w:r>
    </w:p>
    <w:p w14:paraId="4D30DF90" w14:textId="2FDDB7BC" w:rsidR="000153F0" w:rsidRDefault="00326739" w:rsidP="00326739">
      <w:pPr>
        <w:tabs>
          <w:tab w:val="left" w:pos="1276"/>
        </w:tabs>
        <w:spacing w:after="60" w:line="276" w:lineRule="auto"/>
        <w:ind w:left="1276" w:hanging="709"/>
        <w:jc w:val="both"/>
        <w:rPr>
          <w:rFonts w:ascii="Arial" w:eastAsia="Arial" w:hAnsi="Arial" w:cs="Arial"/>
          <w:color w:val="000000"/>
          <w:highlight w:val="yellow"/>
        </w:rPr>
      </w:pPr>
      <w:r w:rsidRPr="00326739">
        <w:rPr>
          <w:highlight w:val="lightGray"/>
        </w:rPr>
        <w:t>6.15.5 Las unidades competentes de cada instrumento incorporan en sus metodologías o procedimientos la verificación del componente de IA y la opinión de la Comisión, según sus competencias y sin afectar los sistemas administrativos del Estado, conforme al numeral 7.6</w:t>
      </w:r>
      <w:r>
        <w:br w:type="page"/>
      </w:r>
    </w:p>
    <w:p w14:paraId="66FD7798" w14:textId="77777777" w:rsidR="00863A18" w:rsidRPr="00923C59" w:rsidRDefault="00863A18" w:rsidP="00B23382">
      <w:pPr>
        <w:pStyle w:val="Ttulo1"/>
        <w:spacing w:line="276" w:lineRule="auto"/>
        <w:rPr>
          <w:rFonts w:cs="Arial"/>
          <w:szCs w:val="22"/>
        </w:rPr>
      </w:pPr>
      <w:bookmarkStart w:id="16" w:name="_Toc235003967"/>
      <w:r>
        <w:rPr>
          <w:rFonts w:cs="Arial"/>
          <w:bCs/>
          <w:color w:val="000000"/>
          <w:szCs w:val="22"/>
        </w:rPr>
        <w:lastRenderedPageBreak/>
        <w:t>DISPOSICIONES FINALES</w:t>
      </w:r>
      <w:bookmarkEnd w:id="16"/>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77777777" w:rsidR="00CB040E" w:rsidRPr="00CB040E" w:rsidRDefault="00CB040E" w:rsidP="00CB040E">
      <w:pPr>
        <w:pStyle w:val="SubtituloDONI"/>
        <w:spacing w:line="276" w:lineRule="auto"/>
        <w:ind w:left="851"/>
        <w:rPr>
          <w:b w:val="0"/>
          <w:bCs w:val="0"/>
          <w:highlight w:val="cyan"/>
        </w:rPr>
      </w:pPr>
      <w:r>
        <w:rPr>
          <w:b w:val="0"/>
          <w:bCs w:val="0"/>
          <w:highlight w:val="cyan"/>
        </w:rPr>
        <w:t>7.4</w:t>
      </w:r>
      <w:r>
        <w:rPr>
          <w:b w:val="0"/>
          <w:bCs w:val="0"/>
          <w:highlight w:val="cyan"/>
        </w:rPr>
        <w:tab/>
        <w:t>El Sistema de Gestión de Inteligencia Artificial (SGIA) de la SUNAT se rige por la NTP-ISO/IEC 42001:2025. La 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77777777"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Los encargos son los previstos en las disposiciones específicas de la presente directiva; su plazo se establece mediante acuerdo del Comité de Gobierno y Transformación Digital. 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77777777" w:rsidR="0018147B" w:rsidRDefault="00000000">
      <w:pPr>
        <w:pStyle w:val="SubtituloDONI"/>
        <w:spacing w:line="276" w:lineRule="auto"/>
        <w:ind w:left="851"/>
        <w:rPr>
          <w:b w:val="0"/>
          <w:bCs w:val="0"/>
        </w:rPr>
      </w:pPr>
      <w:r>
        <w:rPr>
          <w:b w:val="0"/>
          <w:bCs w:val="0"/>
          <w:highlight w:val="yellow"/>
        </w:rPr>
        <w:t>7.9</w:t>
      </w:r>
      <w:r>
        <w:rPr>
          <w:b w:val="0"/>
          <w:bCs w:val="0"/>
          <w:highlight w:val="yellow"/>
        </w:rPr>
        <w:tab/>
        <w:t>Los Anexos, los indicadores y las fichas de la presente directiva se actualizan mediante acto administrativo del CGTD, sin requerir la modificación de la directiva, conforme a los numerales 6.10.2, 7.5 y 7.7.</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lastRenderedPageBreak/>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0F6BB4D0" w14:textId="77777777" w:rsidR="00863A18" w:rsidRPr="00923C59" w:rsidRDefault="00863A18" w:rsidP="00B23382">
      <w:pPr>
        <w:pStyle w:val="Ttulo1"/>
        <w:spacing w:line="276" w:lineRule="auto"/>
        <w:rPr>
          <w:rFonts w:cs="Arial"/>
          <w:szCs w:val="22"/>
        </w:rPr>
      </w:pPr>
      <w:bookmarkStart w:id="17" w:name="_Toc235003968"/>
      <w:r>
        <w:rPr>
          <w:rFonts w:cs="Arial"/>
          <w:bCs/>
          <w:color w:val="000000"/>
          <w:szCs w:val="22"/>
        </w:rPr>
        <w:t>ANEXOS</w:t>
      </w:r>
      <w:bookmarkEnd w:id="17"/>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462A57"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923C59" w:rsidRDefault="00863A18" w:rsidP="00B23382">
            <w:pPr>
              <w:spacing w:before="20" w:after="20" w:line="276" w:lineRule="auto"/>
              <w:rPr>
                <w:rFonts w:ascii="Arial" w:hAnsi="Arial" w:cs="Arial"/>
              </w:rPr>
            </w:pPr>
            <w:r>
              <w:rPr>
                <w:rFonts w:ascii="Arial" w:eastAsia="Arial" w:hAnsi="Arial" w:cs="Arial"/>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Última auditoría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7777777" w:rsidR="00863A18" w:rsidRPr="00923C59" w:rsidRDefault="00863A18" w:rsidP="00B23382">
            <w:pPr>
              <w:spacing w:before="20" w:after="20" w:line="276" w:lineRule="auto"/>
              <w:rPr>
                <w:rFonts w:ascii="Arial" w:hAnsi="Arial" w:cs="Arial"/>
              </w:rPr>
            </w:pPr>
            <w:r>
              <w:rPr>
                <w:rFonts w:ascii="Arial" w:eastAsia="Arial" w:hAnsi="Arial" w:cs="Arial"/>
              </w:rPr>
              <w:t>Fecha de la última auditoría técnica.</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4: Ficha de Evaluación de Caso de Uso de SBIA</w:t>
      </w:r>
    </w:p>
    <w:p w14:paraId="0F6F71B1" w14:textId="77777777" w:rsidR="00863A18" w:rsidRPr="00923C59" w:rsidRDefault="00863A18" w:rsidP="00B23382">
      <w:pPr>
        <w:spacing w:after="40" w:line="276" w:lineRule="auto"/>
        <w:jc w:val="both"/>
        <w:rPr>
          <w:rFonts w:ascii="Arial" w:hAnsi="Arial" w:cs="Arial"/>
        </w:rPr>
      </w:pPr>
      <w:r>
        <w:rPr>
          <w:rFonts w:ascii="Arial" w:eastAsia="Arial" w:hAnsi="Arial" w:cs="Arial"/>
          <w:b/>
          <w:bCs/>
          <w:color w:val="000000"/>
        </w:rPr>
        <w:t>Sección 1 — Identificación:</w:t>
      </w:r>
    </w:p>
    <w:p w14:paraId="41695B88" w14:textId="77777777" w:rsidR="00863A18" w:rsidRPr="00923C59" w:rsidRDefault="00863A18">
      <w:pPr>
        <w:pStyle w:val="Prrafodelista"/>
        <w:numPr>
          <w:ilvl w:val="0"/>
          <w:numId w:val="7"/>
        </w:numPr>
        <w:spacing w:after="40" w:line="276" w:lineRule="auto"/>
        <w:rPr>
          <w:b w:val="0"/>
          <w:bCs w:val="0"/>
        </w:rPr>
      </w:pPr>
      <w:r>
        <w:rPr>
          <w:b w:val="0"/>
          <w:bCs w:val="0"/>
          <w:color w:val="000000"/>
        </w:rPr>
        <w:t>Denominación del caso de uso.</w:t>
      </w:r>
    </w:p>
    <w:p w14:paraId="01E94E25" w14:textId="77777777" w:rsidR="00863A18" w:rsidRPr="00923C59" w:rsidRDefault="00863A18">
      <w:pPr>
        <w:pStyle w:val="Prrafodelista"/>
        <w:numPr>
          <w:ilvl w:val="0"/>
          <w:numId w:val="7"/>
        </w:numPr>
        <w:spacing w:after="40" w:line="276" w:lineRule="auto"/>
        <w:rPr>
          <w:b w:val="0"/>
          <w:bCs w:val="0"/>
        </w:rPr>
      </w:pPr>
      <w:r>
        <w:rPr>
          <w:b w:val="0"/>
          <w:bCs w:val="0"/>
          <w:color w:val="000000"/>
        </w:rPr>
        <w:t>Unidad de organización solicitante (propietario del caso de uso).</w:t>
      </w:r>
    </w:p>
    <w:p w14:paraId="6E679DD5"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funcional (nombre, cargo, correo).</w:t>
      </w:r>
    </w:p>
    <w:p w14:paraId="181EDDA9" w14:textId="77777777" w:rsidR="00863A18" w:rsidRPr="00923C59" w:rsidRDefault="00863A18">
      <w:pPr>
        <w:pStyle w:val="Prrafodelista"/>
        <w:numPr>
          <w:ilvl w:val="0"/>
          <w:numId w:val="7"/>
        </w:numPr>
        <w:spacing w:after="40" w:line="276" w:lineRule="auto"/>
        <w:rPr>
          <w:b w:val="0"/>
          <w:bCs w:val="0"/>
        </w:rPr>
      </w:pPr>
      <w:r>
        <w:rPr>
          <w:b w:val="0"/>
          <w:bCs w:val="0"/>
          <w:color w:val="000000"/>
        </w:rPr>
        <w:t>Fecha de presentación.</w:t>
      </w:r>
    </w:p>
    <w:p w14:paraId="732A4860" w14:textId="77777777" w:rsidR="00863A18" w:rsidRPr="00923C59" w:rsidRDefault="00863A18" w:rsidP="00B23382">
      <w:pPr>
        <w:spacing w:before="120" w:after="40" w:line="276" w:lineRule="auto"/>
        <w:jc w:val="both"/>
        <w:rPr>
          <w:rFonts w:ascii="Arial" w:hAnsi="Arial" w:cs="Arial"/>
        </w:rPr>
      </w:pPr>
      <w:r>
        <w:rPr>
          <w:rFonts w:ascii="Arial" w:eastAsia="Arial" w:hAnsi="Arial" w:cs="Arial"/>
          <w:b/>
          <w:bCs/>
          <w:color w:val="000000"/>
        </w:rPr>
        <w:t>Sección 2 — Problema y justificación:</w:t>
      </w:r>
    </w:p>
    <w:p w14:paraId="38277C9E" w14:textId="77777777" w:rsidR="00863A18" w:rsidRPr="00923C59" w:rsidRDefault="00863A18">
      <w:pPr>
        <w:pStyle w:val="Prrafodelista"/>
        <w:numPr>
          <w:ilvl w:val="0"/>
          <w:numId w:val="7"/>
        </w:numPr>
        <w:spacing w:after="40" w:line="276" w:lineRule="auto"/>
        <w:rPr>
          <w:b w:val="0"/>
          <w:bCs w:val="0"/>
        </w:rPr>
      </w:pPr>
      <w:r>
        <w:rPr>
          <w:b w:val="0"/>
          <w:bCs w:val="0"/>
          <w:color w:val="000000"/>
        </w:rPr>
        <w:t>Descripción del problema o necesidad que se busca resolver.</w:t>
      </w:r>
    </w:p>
    <w:p w14:paraId="5DE4890C" w14:textId="77777777" w:rsidR="00863A18" w:rsidRPr="00923C59" w:rsidRDefault="00863A18">
      <w:pPr>
        <w:pStyle w:val="Prrafodelista"/>
        <w:numPr>
          <w:ilvl w:val="0"/>
          <w:numId w:val="7"/>
        </w:numPr>
        <w:spacing w:after="40" w:line="276" w:lineRule="auto"/>
        <w:rPr>
          <w:b w:val="0"/>
          <w:bCs w:val="0"/>
        </w:rPr>
      </w:pPr>
      <w:r>
        <w:rPr>
          <w:b w:val="0"/>
          <w:bCs w:val="0"/>
          <w:color w:val="000000"/>
        </w:rPr>
        <w:t>Situación actual (línea base): volumen de operaciones, tiempo promedio, recursos asignados.</w:t>
      </w:r>
    </w:p>
    <w:p w14:paraId="236A6E6C" w14:textId="77777777" w:rsidR="00863A18" w:rsidRPr="00923C59" w:rsidRDefault="00863A18">
      <w:pPr>
        <w:pStyle w:val="Prrafodelista"/>
        <w:numPr>
          <w:ilvl w:val="0"/>
          <w:numId w:val="7"/>
        </w:numPr>
        <w:spacing w:after="40" w:line="276" w:lineRule="auto"/>
        <w:rPr>
          <w:b w:val="0"/>
          <w:bCs w:val="0"/>
        </w:rPr>
      </w:pPr>
      <w:r>
        <w:rPr>
          <w:b w:val="0"/>
          <w:bCs w:val="0"/>
          <w:color w:val="000000"/>
        </w:rPr>
        <w:t>Objetivo estratégico del PEI con el que se alinea (código y denominación).</w:t>
      </w:r>
    </w:p>
    <w:p w14:paraId="451AEFA3"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3 — Impacto organizacional:</w:t>
      </w:r>
    </w:p>
    <w:p w14:paraId="35682837" w14:textId="77777777" w:rsidR="0018147B" w:rsidRDefault="00000000">
      <w:pPr>
        <w:pStyle w:val="Prrafodelista"/>
        <w:numPr>
          <w:ilvl w:val="0"/>
          <w:numId w:val="7"/>
        </w:numPr>
        <w:spacing w:after="40" w:line="276" w:lineRule="auto"/>
        <w:rPr>
          <w:b w:val="0"/>
          <w:bCs w:val="0"/>
        </w:rPr>
      </w:pPr>
      <w:r>
        <w:rPr>
          <w:b w:val="0"/>
          <w:bCs w:val="0"/>
          <w:color w:val="000000"/>
          <w:highlight w:val="yellow"/>
        </w:rPr>
        <w:t>Precisar si la iniciativa genera impacto organizacional e identificar los procesos, áreas, puestos, personas y capacidades técnicas involucrados.</w:t>
      </w:r>
    </w:p>
    <w:p w14:paraId="77DBA450"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4 — Generación de valor:</w:t>
      </w:r>
    </w:p>
    <w:p w14:paraId="403B8534"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 esperado cuantificado: horas-persona liberadas, reducción de tiempos de proceso, mejora en tasas de detección, incremento de recaudación estimada u otro indicador medible.</w:t>
      </w:r>
    </w:p>
    <w:p w14:paraId="4671E459"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Beneficios cualitativos complementarios (si aplica).</w:t>
      </w:r>
    </w:p>
    <w:p w14:paraId="1A51F69D" w14:textId="77777777" w:rsidR="0018147B" w:rsidRDefault="00000000">
      <w:pPr>
        <w:pStyle w:val="Prrafodelista"/>
        <w:numPr>
          <w:ilvl w:val="0"/>
          <w:numId w:val="7"/>
        </w:numPr>
        <w:spacing w:after="40" w:line="276" w:lineRule="auto"/>
        <w:rPr>
          <w:b w:val="0"/>
          <w:bCs w:val="0"/>
        </w:rPr>
      </w:pPr>
      <w:r>
        <w:rPr>
          <w:b w:val="0"/>
          <w:bCs w:val="0"/>
          <w:color w:val="000000"/>
          <w:highlight w:val="yellow"/>
        </w:rPr>
        <w:t>El beneficio puede sustentarse a nivel de un conjunto o programa de SBIA cuando la iniciativa forme parte de un portafolio institucional.</w:t>
      </w:r>
    </w:p>
    <w:p w14:paraId="556E9510" w14:textId="77777777" w:rsidR="00863A18" w:rsidRPr="00923C59" w:rsidRDefault="00863A18">
      <w:pPr>
        <w:pStyle w:val="Prrafodelista"/>
        <w:numPr>
          <w:ilvl w:val="0"/>
          <w:numId w:val="7"/>
        </w:numPr>
        <w:spacing w:after="40" w:line="276" w:lineRule="auto"/>
        <w:rPr>
          <w:b w:val="0"/>
          <w:bCs w:val="0"/>
        </w:rPr>
      </w:pPr>
      <w:r>
        <w:rPr>
          <w:b w:val="0"/>
          <w:bCs w:val="0"/>
          <w:color w:val="000000"/>
        </w:rPr>
        <w:t>Métrica de éxito propuesta y plazo de medición.</w:t>
      </w:r>
    </w:p>
    <w:p w14:paraId="0E597137"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5 — Inversión y sostenibilidad:</w:t>
      </w:r>
    </w:p>
    <w:p w14:paraId="1858FBC3"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inversión inicial (infraestructura, licencias, servicios, horas de desarrollo</w:t>
      </w:r>
      <w:r>
        <w:rPr>
          <w:b w:val="0"/>
          <w:bCs w:val="0"/>
          <w:highlight w:val="cyan"/>
        </w:rPr>
        <w:t>/servicios de desarrollo).</w:t>
      </w:r>
    </w:p>
    <w:p w14:paraId="28BF24D5"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costos recurrentes anuales (operación, mantenimiento, licencias, personal dedicado).</w:t>
      </w:r>
    </w:p>
    <w:p w14:paraId="47F4D3AC" w14:textId="77777777" w:rsidR="00863A18" w:rsidRPr="00923C59" w:rsidRDefault="00863A18">
      <w:pPr>
        <w:pStyle w:val="Prrafodelista"/>
        <w:numPr>
          <w:ilvl w:val="0"/>
          <w:numId w:val="7"/>
        </w:numPr>
        <w:spacing w:after="40" w:line="276" w:lineRule="auto"/>
        <w:rPr>
          <w:b w:val="0"/>
          <w:bCs w:val="0"/>
        </w:rPr>
      </w:pPr>
      <w:r>
        <w:rPr>
          <w:b w:val="0"/>
          <w:bCs w:val="0"/>
          <w:color w:val="000000"/>
        </w:rPr>
        <w:t>Fuente de financiamiento identificada.</w:t>
      </w:r>
    </w:p>
    <w:p w14:paraId="16695497"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de la operación y mantenimiento post-despliegue.</w:t>
      </w:r>
    </w:p>
    <w:p w14:paraId="61DED5EF"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6 — Análisis de alternativas:</w:t>
      </w:r>
    </w:p>
    <w:p w14:paraId="3CC20AB1" w14:textId="77777777" w:rsidR="00863A18" w:rsidRPr="00923C59" w:rsidRDefault="00863A18">
      <w:pPr>
        <w:pStyle w:val="Prrafodelista"/>
        <w:numPr>
          <w:ilvl w:val="0"/>
          <w:numId w:val="7"/>
        </w:numPr>
        <w:spacing w:after="40" w:line="276" w:lineRule="auto"/>
        <w:rPr>
          <w:b w:val="0"/>
          <w:bCs w:val="0"/>
        </w:rPr>
      </w:pPr>
      <w:r>
        <w:rPr>
          <w:b w:val="0"/>
          <w:bCs w:val="0"/>
          <w:color w:val="000000"/>
        </w:rPr>
        <w:t>¿Se evaluaron soluciones que no requieren IA? Describir.</w:t>
      </w:r>
    </w:p>
    <w:p w14:paraId="7B20EC1C" w14:textId="77777777" w:rsidR="00863A18" w:rsidRPr="00923C59" w:rsidRDefault="00863A18">
      <w:pPr>
        <w:pStyle w:val="Prrafodelista"/>
        <w:numPr>
          <w:ilvl w:val="0"/>
          <w:numId w:val="7"/>
        </w:numPr>
        <w:spacing w:after="40" w:line="276" w:lineRule="auto"/>
        <w:rPr>
          <w:b w:val="0"/>
          <w:bCs w:val="0"/>
        </w:rPr>
      </w:pPr>
      <w:r>
        <w:rPr>
          <w:b w:val="0"/>
          <w:bCs w:val="0"/>
          <w:color w:val="000000"/>
        </w:rPr>
        <w:t>Justificación de por qué una solución basada en IA es preferible frente a las alternativas.</w:t>
      </w:r>
    </w:p>
    <w:p w14:paraId="390ED6C6"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7 — Datos y riesgos preliminares:</w:t>
      </w:r>
    </w:p>
    <w:p w14:paraId="0952334A" w14:textId="77777777" w:rsidR="00863A18" w:rsidRPr="00923C59" w:rsidRDefault="00863A18">
      <w:pPr>
        <w:pStyle w:val="Prrafodelista"/>
        <w:numPr>
          <w:ilvl w:val="0"/>
          <w:numId w:val="7"/>
        </w:numPr>
        <w:spacing w:after="40" w:line="276" w:lineRule="auto"/>
        <w:rPr>
          <w:b w:val="0"/>
          <w:bCs w:val="0"/>
        </w:rPr>
      </w:pPr>
      <w:r>
        <w:rPr>
          <w:b w:val="0"/>
          <w:bCs w:val="0"/>
          <w:color w:val="000000"/>
        </w:rPr>
        <w:t>Datos requeridos (fuentes, tipos, presencia de datos personales o reserva tributaria).</w:t>
      </w:r>
    </w:p>
    <w:p w14:paraId="31864AB1" w14:textId="77777777" w:rsidR="00863A18" w:rsidRPr="00923C59" w:rsidRDefault="00863A18">
      <w:pPr>
        <w:pStyle w:val="Prrafodelista"/>
        <w:numPr>
          <w:ilvl w:val="0"/>
          <w:numId w:val="7"/>
        </w:numPr>
        <w:spacing w:after="40" w:line="276" w:lineRule="auto"/>
        <w:rPr>
          <w:b w:val="0"/>
          <w:bCs w:val="0"/>
        </w:rPr>
      </w:pPr>
      <w:r>
        <w:rPr>
          <w:b w:val="0"/>
          <w:bCs w:val="0"/>
          <w:color w:val="000000"/>
        </w:rPr>
        <w:t>Riesgos preliminares identificados.</w:t>
      </w:r>
    </w:p>
    <w:p w14:paraId="07EC339C" w14:textId="77777777" w:rsidR="00863A18" w:rsidRPr="00923C59" w:rsidRDefault="00863A18">
      <w:pPr>
        <w:pStyle w:val="Prrafodelista"/>
        <w:numPr>
          <w:ilvl w:val="0"/>
          <w:numId w:val="7"/>
        </w:numPr>
        <w:spacing w:after="40" w:line="276" w:lineRule="auto"/>
        <w:rPr>
          <w:b w:val="0"/>
          <w:bCs w:val="0"/>
        </w:rPr>
      </w:pPr>
      <w:r>
        <w:rPr>
          <w:b w:val="0"/>
          <w:bCs w:val="0"/>
          <w:color w:val="000000"/>
        </w:rPr>
        <w:t>Clasificación de riesgo preliminar sugerida por el propietario.</w:t>
      </w:r>
    </w:p>
    <w:p w14:paraId="0B8489D8"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lastRenderedPageBreak/>
        <w:t>Sección 8 — Firmas:</w:t>
      </w:r>
    </w:p>
    <w:p w14:paraId="76A8D059" w14:textId="77777777" w:rsidR="00863A18" w:rsidRPr="00923C59" w:rsidRDefault="00863A18">
      <w:pPr>
        <w:pStyle w:val="Prrafodelista"/>
        <w:numPr>
          <w:ilvl w:val="0"/>
          <w:numId w:val="7"/>
        </w:numPr>
        <w:spacing w:after="40" w:line="276" w:lineRule="auto"/>
        <w:rPr>
          <w:b w:val="0"/>
          <w:bCs w:val="0"/>
        </w:rPr>
      </w:pPr>
      <w:r>
        <w:rPr>
          <w:b w:val="0"/>
          <w:bCs w:val="0"/>
          <w:color w:val="000000"/>
        </w:rPr>
        <w:t>Firma del propietario del caso de uso.</w:t>
      </w:r>
    </w:p>
    <w:p w14:paraId="454DDEF7" w14:textId="77777777" w:rsidR="00863A18" w:rsidRPr="00923C59" w:rsidRDefault="00863A18">
      <w:pPr>
        <w:pStyle w:val="Prrafodelista"/>
        <w:numPr>
          <w:ilvl w:val="0"/>
          <w:numId w:val="7"/>
        </w:numPr>
        <w:spacing w:after="40" w:line="276" w:lineRule="auto"/>
      </w:pPr>
      <w:r>
        <w:rPr>
          <w:b w:val="0"/>
          <w:bCs w:val="0"/>
          <w:color w:val="000000"/>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6"/>
      <w:footerReference w:type="default" r:id="rId17"/>
      <w:pgSz w:w="11906" w:h="16838"/>
      <w:pgMar w:top="1701" w:right="1418" w:bottom="1701" w:left="15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Kut Castro Mario Fernando" w:date="2026-07-21T11:12:00Z" w:initials="MK">
    <w:p w14:paraId="2B7A375D" w14:textId="77777777" w:rsidR="00F378B6" w:rsidRDefault="00F378B6" w:rsidP="00F378B6">
      <w:pPr>
        <w:pStyle w:val="Textocomentario"/>
      </w:pPr>
      <w:r>
        <w:rPr>
          <w:rStyle w:val="Refdecomentario"/>
        </w:rPr>
        <w:annotationRef/>
      </w:r>
      <w:r>
        <w:t>Confirmar con INALI.</w:t>
      </w:r>
    </w:p>
  </w:comment>
  <w:comment w:id="6" w:author="Kut Castro Mario Fernando" w:date="2026-07-21T11:14:00Z" w:initials="MK">
    <w:p w14:paraId="1304144C" w14:textId="77777777" w:rsidR="00F378B6" w:rsidRDefault="00F378B6" w:rsidP="00F378B6">
      <w:pPr>
        <w:pStyle w:val="Textocomentario"/>
      </w:pPr>
      <w:r>
        <w:rPr>
          <w:rStyle w:val="Refdecomentario"/>
        </w:rPr>
        <w:annotationRef/>
      </w:r>
      <w:r>
        <w:t>Alinearlo de acuerdo al ROF referente a la competencia de formular iniciativas de SBIA, (unidades normativas de negocio y las unidades administrativas, TI), revisar competencias.</w:t>
      </w:r>
    </w:p>
  </w:comment>
  <w:comment w:id="8" w:author="Kut Castro Mario Fernando" w:date="2026-07-21T11:18:00Z" w:initials="MK">
    <w:p w14:paraId="33AB0D5A" w14:textId="77777777" w:rsidR="00F378B6" w:rsidRDefault="00F378B6" w:rsidP="00F378B6">
      <w:pPr>
        <w:pStyle w:val="Textocomentario"/>
      </w:pPr>
      <w:r>
        <w:rPr>
          <w:rStyle w:val="Refdecomentario"/>
        </w:rPr>
        <w:annotationRef/>
      </w:r>
      <w:r>
        <w:t>Formularlo de otra forma.</w:t>
      </w:r>
    </w:p>
  </w:comment>
  <w:comment w:id="9" w:author="Kut Castro Mario Fernando" w:date="2026-07-21T11:30:00Z" w:initials="MK">
    <w:p w14:paraId="3C0FED1C" w14:textId="77777777" w:rsidR="00DE41F6" w:rsidRDefault="00DE41F6" w:rsidP="00DE41F6">
      <w:pPr>
        <w:pStyle w:val="Textocomentario"/>
      </w:pPr>
      <w:r>
        <w:rPr>
          <w:rStyle w:val="Refdecomentario"/>
        </w:rPr>
        <w:annotationRef/>
      </w:r>
      <w:r>
        <w:t xml:space="preserve">Revisar </w:t>
      </w:r>
    </w:p>
  </w:comment>
  <w:comment w:id="10" w:author="Kut Castro Mario Fernando" w:date="2026-07-21T11:27:00Z" w:initials="MK">
    <w:p w14:paraId="2EB03F52" w14:textId="77777777" w:rsidR="00DE41F6" w:rsidRDefault="00DE41F6" w:rsidP="00DE41F6">
      <w:pPr>
        <w:pStyle w:val="Textocomentario"/>
      </w:pPr>
      <w:r>
        <w:rPr>
          <w:rStyle w:val="Refdecomentario"/>
        </w:rPr>
        <w:annotationRef/>
      </w:r>
      <w:r>
        <w:t>Representantes INGP, INER, INDIA, (Para revisión del ROF), a evaluar.</w:t>
      </w:r>
    </w:p>
  </w:comment>
  <w:comment w:id="12" w:author="Kut Castro Mario Fernando" w:date="2026-07-21T11:40:00Z" w:initials="MK">
    <w:p w14:paraId="7A362A96" w14:textId="77777777" w:rsidR="00C66B57" w:rsidRDefault="00C66B57" w:rsidP="00C66B57">
      <w:pPr>
        <w:pStyle w:val="Textocomentario"/>
      </w:pPr>
      <w:r>
        <w:rPr>
          <w:rStyle w:val="Refdecomentario"/>
        </w:rPr>
        <w:annotationRef/>
      </w:r>
      <w:r>
        <w:t>Analizar bajo METDONI.</w:t>
      </w:r>
    </w:p>
  </w:comment>
  <w:comment w:id="13" w:author="Kut Castro Mario Fernando" w:date="2026-07-21T11:47:00Z" w:initials="MK">
    <w:p w14:paraId="32D4CC42" w14:textId="77777777" w:rsidR="00D44574" w:rsidRDefault="00D44574" w:rsidP="00D44574">
      <w:pPr>
        <w:pStyle w:val="Textocomentario"/>
      </w:pPr>
      <w:r>
        <w:rPr>
          <w:rStyle w:val="Refdecomentario"/>
        </w:rPr>
        <w:annotationRef/>
      </w:r>
      <w:r>
        <w:t>Revisión del equipo.</w:t>
      </w:r>
    </w:p>
  </w:comment>
  <w:comment w:id="14" w:author="Kut Castro Mario Fernando" w:date="2026-07-21T12:00:00Z" w:initials="MK">
    <w:p w14:paraId="152D4D06" w14:textId="77777777" w:rsidR="00C5632E" w:rsidRDefault="00C5632E" w:rsidP="00C5632E">
      <w:pPr>
        <w:pStyle w:val="Textocomentario"/>
      </w:pPr>
      <w:r>
        <w:rPr>
          <w:rStyle w:val="Refdecomentario"/>
        </w:rPr>
        <w:annotationRef/>
      </w:r>
      <w:r>
        <w:t>Evaluar matiz para este tipo de requerimiento.</w:t>
      </w:r>
    </w:p>
  </w:comment>
  <w:comment w:id="15" w:author="Kut Castro Mario Fernando" w:date="2026-07-21T12:05:00Z" w:initials="MK">
    <w:p w14:paraId="1A2E6AA6" w14:textId="77777777" w:rsidR="004C17C6" w:rsidRDefault="004C17C6" w:rsidP="004C17C6">
      <w:pPr>
        <w:pStyle w:val="Textocomentario"/>
      </w:pPr>
      <w:r>
        <w:rPr>
          <w:rStyle w:val="Refdecomentario"/>
        </w:rPr>
        <w:annotationRef/>
      </w:r>
      <w:r>
        <w:t>Pendiente en agenda.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7A375D" w15:done="0"/>
  <w15:commentEx w15:paraId="1304144C" w15:done="0"/>
  <w15:commentEx w15:paraId="33AB0D5A" w15:done="0"/>
  <w15:commentEx w15:paraId="3C0FED1C" w15:done="0"/>
  <w15:commentEx w15:paraId="2EB03F52" w15:done="0"/>
  <w15:commentEx w15:paraId="7A362A96" w15:done="0"/>
  <w15:commentEx w15:paraId="32D4CC42" w15:done="0"/>
  <w15:commentEx w15:paraId="152D4D06" w15:done="0"/>
  <w15:commentEx w15:paraId="1A2E6A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A6C15E" w16cex:dateUtc="2026-07-21T16:12:00Z"/>
  <w16cex:commentExtensible w16cex:durableId="74BA2796" w16cex:dateUtc="2026-07-21T16:14:00Z"/>
  <w16cex:commentExtensible w16cex:durableId="67902DDB" w16cex:dateUtc="2026-07-21T16:18:00Z"/>
  <w16cex:commentExtensible w16cex:durableId="6387E4DA" w16cex:dateUtc="2026-07-21T16:30:00Z"/>
  <w16cex:commentExtensible w16cex:durableId="2C51B84E" w16cex:dateUtc="2026-07-21T16:27:00Z"/>
  <w16cex:commentExtensible w16cex:durableId="29EDEAD0" w16cex:dateUtc="2026-07-21T16:40:00Z"/>
  <w16cex:commentExtensible w16cex:durableId="472286C5" w16cex:dateUtc="2026-07-21T16:47:00Z"/>
  <w16cex:commentExtensible w16cex:durableId="0734D94E" w16cex:dateUtc="2026-07-21T17:00:00Z"/>
  <w16cex:commentExtensible w16cex:durableId="2E351660" w16cex:dateUtc="2026-07-21T17: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7A375D" w16cid:durableId="27A6C15E"/>
  <w16cid:commentId w16cid:paraId="1304144C" w16cid:durableId="74BA2796"/>
  <w16cid:commentId w16cid:paraId="33AB0D5A" w16cid:durableId="67902DDB"/>
  <w16cid:commentId w16cid:paraId="3C0FED1C" w16cid:durableId="6387E4DA"/>
  <w16cid:commentId w16cid:paraId="2EB03F52" w16cid:durableId="2C51B84E"/>
  <w16cid:commentId w16cid:paraId="7A362A96" w16cid:durableId="29EDEAD0"/>
  <w16cid:commentId w16cid:paraId="32D4CC42" w16cid:durableId="472286C5"/>
  <w16cid:commentId w16cid:paraId="152D4D06" w16cid:durableId="0734D94E"/>
  <w16cid:commentId w16cid:paraId="1A2E6AA6" w16cid:durableId="2E35166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76ED7" w14:textId="77777777" w:rsidR="00D07EDF" w:rsidRDefault="00D07EDF">
      <w:pPr>
        <w:spacing w:after="0" w:line="240" w:lineRule="auto"/>
      </w:pPr>
      <w:r>
        <w:separator/>
      </w:r>
    </w:p>
  </w:endnote>
  <w:endnote w:type="continuationSeparator" w:id="0">
    <w:p w14:paraId="12F8D9CB" w14:textId="77777777" w:rsidR="00D07EDF" w:rsidRDefault="00D07E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B67CB" w14:textId="77777777" w:rsidR="00D07EDF" w:rsidRDefault="00D07EDF">
      <w:pPr>
        <w:spacing w:after="0" w:line="240" w:lineRule="auto"/>
      </w:pPr>
      <w:r>
        <w:separator/>
      </w:r>
    </w:p>
  </w:footnote>
  <w:footnote w:type="continuationSeparator" w:id="0">
    <w:p w14:paraId="44EF00F7" w14:textId="77777777" w:rsidR="00D07EDF" w:rsidRDefault="00D07EDF">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3"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6"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0"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3"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15" w15:restartNumberingAfterBreak="0">
    <w:nsid w:val="65D30CFE"/>
    <w:multiLevelType w:val="hybridMultilevel"/>
    <w:tmpl w:val="35882B12"/>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1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14"/>
  </w:num>
  <w:num w:numId="2" w16cid:durableId="997340142">
    <w:abstractNumId w:val="2"/>
  </w:num>
  <w:num w:numId="3" w16cid:durableId="818888625">
    <w:abstractNumId w:val="10"/>
  </w:num>
  <w:num w:numId="4" w16cid:durableId="789980796">
    <w:abstractNumId w:val="11"/>
  </w:num>
  <w:num w:numId="5" w16cid:durableId="2135756204">
    <w:abstractNumId w:val="3"/>
  </w:num>
  <w:num w:numId="6" w16cid:durableId="1603613276">
    <w:abstractNumId w:val="5"/>
  </w:num>
  <w:num w:numId="7" w16cid:durableId="1698236715">
    <w:abstractNumId w:val="23"/>
  </w:num>
  <w:num w:numId="8" w16cid:durableId="1567180075">
    <w:abstractNumId w:val="25"/>
  </w:num>
  <w:num w:numId="9" w16cid:durableId="260988981">
    <w:abstractNumId w:val="18"/>
  </w:num>
  <w:num w:numId="10" w16cid:durableId="360321617">
    <w:abstractNumId w:val="12"/>
  </w:num>
  <w:num w:numId="11" w16cid:durableId="11301047">
    <w:abstractNumId w:val="17"/>
  </w:num>
  <w:num w:numId="12" w16cid:durableId="104814016">
    <w:abstractNumId w:val="20"/>
  </w:num>
  <w:num w:numId="13" w16cid:durableId="1885175596">
    <w:abstractNumId w:val="0"/>
  </w:num>
  <w:num w:numId="14" w16cid:durableId="167066823">
    <w:abstractNumId w:val="21"/>
  </w:num>
  <w:num w:numId="15" w16cid:durableId="954553902">
    <w:abstractNumId w:val="19"/>
  </w:num>
  <w:num w:numId="16" w16cid:durableId="1324506319">
    <w:abstractNumId w:val="8"/>
  </w:num>
  <w:num w:numId="17" w16cid:durableId="1839225738">
    <w:abstractNumId w:val="24"/>
  </w:num>
  <w:num w:numId="18" w16cid:durableId="267396013">
    <w:abstractNumId w:val="13"/>
  </w:num>
  <w:num w:numId="19" w16cid:durableId="1228301004">
    <w:abstractNumId w:val="15"/>
  </w:num>
  <w:num w:numId="20" w16cid:durableId="554125780">
    <w:abstractNumId w:val="6"/>
  </w:num>
  <w:num w:numId="21" w16cid:durableId="1964574287">
    <w:abstractNumId w:val="9"/>
  </w:num>
  <w:num w:numId="22" w16cid:durableId="1868059492">
    <w:abstractNumId w:val="16"/>
  </w:num>
  <w:num w:numId="23" w16cid:durableId="529534098">
    <w:abstractNumId w:val="1"/>
  </w:num>
  <w:num w:numId="24" w16cid:durableId="1828084485">
    <w:abstractNumId w:val="7"/>
  </w:num>
  <w:num w:numId="25" w16cid:durableId="1934242185">
    <w:abstractNumId w:val="4"/>
  </w:num>
  <w:num w:numId="26" w16cid:durableId="1799032513">
    <w:abstractNumId w:val="22"/>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t Castro Mario Fernando">
    <w15:presenceInfo w15:providerId="AD" w15:userId="S::mkutc@sunat.gob.pe::7f4a71c1-9edb-4217-8bf6-fb9d10e7d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4"/>
  <w:displayBackgroundShape/>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6A41"/>
    <w:rsid w:val="000365E0"/>
    <w:rsid w:val="00047728"/>
    <w:rsid w:val="000B6CAE"/>
    <w:rsid w:val="000C43E2"/>
    <w:rsid w:val="000E4C2C"/>
    <w:rsid w:val="000E5B6B"/>
    <w:rsid w:val="000E7544"/>
    <w:rsid w:val="001164EE"/>
    <w:rsid w:val="00141E9A"/>
    <w:rsid w:val="001437F1"/>
    <w:rsid w:val="00153C2B"/>
    <w:rsid w:val="001609F8"/>
    <w:rsid w:val="00164552"/>
    <w:rsid w:val="0018147B"/>
    <w:rsid w:val="0018222F"/>
    <w:rsid w:val="001B791A"/>
    <w:rsid w:val="001C5C4D"/>
    <w:rsid w:val="001D0B85"/>
    <w:rsid w:val="002102ED"/>
    <w:rsid w:val="00215BA9"/>
    <w:rsid w:val="002222E3"/>
    <w:rsid w:val="00272134"/>
    <w:rsid w:val="002950F6"/>
    <w:rsid w:val="002A5658"/>
    <w:rsid w:val="002D4E18"/>
    <w:rsid w:val="003071B9"/>
    <w:rsid w:val="003204D8"/>
    <w:rsid w:val="00325777"/>
    <w:rsid w:val="00325F1C"/>
    <w:rsid w:val="00326739"/>
    <w:rsid w:val="003325F7"/>
    <w:rsid w:val="003327C9"/>
    <w:rsid w:val="0033689D"/>
    <w:rsid w:val="00344C8A"/>
    <w:rsid w:val="003530CE"/>
    <w:rsid w:val="003636BC"/>
    <w:rsid w:val="003665C6"/>
    <w:rsid w:val="003922D5"/>
    <w:rsid w:val="003A6AB9"/>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35686"/>
    <w:rsid w:val="00537E02"/>
    <w:rsid w:val="00567C78"/>
    <w:rsid w:val="00570612"/>
    <w:rsid w:val="00594919"/>
    <w:rsid w:val="005C4042"/>
    <w:rsid w:val="005C67EA"/>
    <w:rsid w:val="005D5880"/>
    <w:rsid w:val="005D754C"/>
    <w:rsid w:val="005F24C2"/>
    <w:rsid w:val="0060099A"/>
    <w:rsid w:val="00603B7D"/>
    <w:rsid w:val="0065257C"/>
    <w:rsid w:val="00662A54"/>
    <w:rsid w:val="006653DD"/>
    <w:rsid w:val="00665F3F"/>
    <w:rsid w:val="00677324"/>
    <w:rsid w:val="006806C8"/>
    <w:rsid w:val="00682244"/>
    <w:rsid w:val="00691FB4"/>
    <w:rsid w:val="00697B72"/>
    <w:rsid w:val="006B3AF5"/>
    <w:rsid w:val="006B4241"/>
    <w:rsid w:val="00714044"/>
    <w:rsid w:val="007324DC"/>
    <w:rsid w:val="0075082A"/>
    <w:rsid w:val="00771AB8"/>
    <w:rsid w:val="007808CA"/>
    <w:rsid w:val="007C4F40"/>
    <w:rsid w:val="007D181A"/>
    <w:rsid w:val="0080359D"/>
    <w:rsid w:val="0081311B"/>
    <w:rsid w:val="00814A4B"/>
    <w:rsid w:val="008326EA"/>
    <w:rsid w:val="00833450"/>
    <w:rsid w:val="00836DA1"/>
    <w:rsid w:val="0084436F"/>
    <w:rsid w:val="008540A5"/>
    <w:rsid w:val="00863A18"/>
    <w:rsid w:val="0087077E"/>
    <w:rsid w:val="008A143D"/>
    <w:rsid w:val="008B010D"/>
    <w:rsid w:val="008B4A51"/>
    <w:rsid w:val="008D0FF0"/>
    <w:rsid w:val="008D42AD"/>
    <w:rsid w:val="008D444A"/>
    <w:rsid w:val="008E1026"/>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80853"/>
    <w:rsid w:val="00A80AFB"/>
    <w:rsid w:val="00A82512"/>
    <w:rsid w:val="00A82BA1"/>
    <w:rsid w:val="00A82FE3"/>
    <w:rsid w:val="00A84B43"/>
    <w:rsid w:val="00A84EC0"/>
    <w:rsid w:val="00A964A4"/>
    <w:rsid w:val="00AA0ACB"/>
    <w:rsid w:val="00AA2DB4"/>
    <w:rsid w:val="00AB0407"/>
    <w:rsid w:val="00AD458B"/>
    <w:rsid w:val="00AD5F7D"/>
    <w:rsid w:val="00AE1F2D"/>
    <w:rsid w:val="00AE3DBA"/>
    <w:rsid w:val="00AE6854"/>
    <w:rsid w:val="00AF2BA4"/>
    <w:rsid w:val="00B23382"/>
    <w:rsid w:val="00B34A74"/>
    <w:rsid w:val="00B46315"/>
    <w:rsid w:val="00B474EF"/>
    <w:rsid w:val="00B629FD"/>
    <w:rsid w:val="00B63942"/>
    <w:rsid w:val="00B71027"/>
    <w:rsid w:val="00B72BA5"/>
    <w:rsid w:val="00B72DD0"/>
    <w:rsid w:val="00B852DB"/>
    <w:rsid w:val="00B87F34"/>
    <w:rsid w:val="00B9744D"/>
    <w:rsid w:val="00BB6113"/>
    <w:rsid w:val="00BC6E5C"/>
    <w:rsid w:val="00BF42FB"/>
    <w:rsid w:val="00BF6420"/>
    <w:rsid w:val="00C01186"/>
    <w:rsid w:val="00C0412A"/>
    <w:rsid w:val="00C051C7"/>
    <w:rsid w:val="00C102C9"/>
    <w:rsid w:val="00C14706"/>
    <w:rsid w:val="00C34A71"/>
    <w:rsid w:val="00C47FC1"/>
    <w:rsid w:val="00C5632E"/>
    <w:rsid w:val="00C5723D"/>
    <w:rsid w:val="00C66B57"/>
    <w:rsid w:val="00C733EA"/>
    <w:rsid w:val="00C736D9"/>
    <w:rsid w:val="00C77327"/>
    <w:rsid w:val="00C817F2"/>
    <w:rsid w:val="00C868D8"/>
    <w:rsid w:val="00C93D4C"/>
    <w:rsid w:val="00CB040E"/>
    <w:rsid w:val="00CD5098"/>
    <w:rsid w:val="00CD5536"/>
    <w:rsid w:val="00CE3C2A"/>
    <w:rsid w:val="00CE6C00"/>
    <w:rsid w:val="00CF1187"/>
    <w:rsid w:val="00CF4842"/>
    <w:rsid w:val="00D07EDF"/>
    <w:rsid w:val="00D108CB"/>
    <w:rsid w:val="00D16977"/>
    <w:rsid w:val="00D35170"/>
    <w:rsid w:val="00D42CEC"/>
    <w:rsid w:val="00D44574"/>
    <w:rsid w:val="00D601EF"/>
    <w:rsid w:val="00D75749"/>
    <w:rsid w:val="00D83EE0"/>
    <w:rsid w:val="00DA3E65"/>
    <w:rsid w:val="00DA4B1B"/>
    <w:rsid w:val="00DC2B05"/>
    <w:rsid w:val="00DC7025"/>
    <w:rsid w:val="00DE269D"/>
    <w:rsid w:val="00DE41F6"/>
    <w:rsid w:val="00E22438"/>
    <w:rsid w:val="00E22CB4"/>
    <w:rsid w:val="00E22E28"/>
    <w:rsid w:val="00E3106C"/>
    <w:rsid w:val="00E34945"/>
    <w:rsid w:val="00E67A73"/>
    <w:rsid w:val="00E75696"/>
    <w:rsid w:val="00E87621"/>
    <w:rsid w:val="00E9145B"/>
    <w:rsid w:val="00E950CF"/>
    <w:rsid w:val="00EB62D4"/>
    <w:rsid w:val="00ED2DC8"/>
    <w:rsid w:val="00ED3F92"/>
    <w:rsid w:val="00F0082B"/>
    <w:rsid w:val="00F0441E"/>
    <w:rsid w:val="00F2135B"/>
    <w:rsid w:val="00F2227C"/>
    <w:rsid w:val="00F378B6"/>
    <w:rsid w:val="00F45DDD"/>
    <w:rsid w:val="00F80506"/>
    <w:rsid w:val="00F9075F"/>
    <w:rsid w:val="00F91DE2"/>
    <w:rsid w:val="00F936FD"/>
    <w:rsid w:val="00FA09F7"/>
    <w:rsid w:val="00FB439A"/>
    <w:rsid w:val="00FE0856"/>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4453</TotalTime>
  <Pages>34</Pages>
  <Words>10397</Words>
  <Characters>57189</Characters>
  <Application>Microsoft Office Word</Application>
  <DocSecurity>0</DocSecurity>
  <Lines>476</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119</cp:revision>
  <dcterms:created xsi:type="dcterms:W3CDTF">2026-03-23T21:09:00Z</dcterms:created>
  <dcterms:modified xsi:type="dcterms:W3CDTF">2026-07-28T23:48:00Z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