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0C00EE79"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A15156" w:rsidRPr="00A15156">
        <w:rPr>
          <w:b w:val="0"/>
          <w:bCs w:val="0"/>
          <w:color w:val="000000"/>
          <w:highlight w:val="green"/>
        </w:rPr>
        <w:t>Categorías en que se clasifica un SBIA según el riesgo que genera su uso, conforme al RLIA: uso indebido (prohibido, artículo 23), riesgo alto (sujeto a requisitos reforzados, artículo 24) y riesgo aceptable (artículo 22.2), que comprende por excepción todo SBIA que no califique en los dos anteriores.</w:t>
      </w:r>
      <w:r w:rsidRPr="00A15156">
        <w:rPr>
          <w:b w:val="0"/>
          <w:bCs w:val="0"/>
          <w:color w:val="000000"/>
          <w:highlight w:val="green"/>
        </w:rPr>
        <w:t xml:space="preserve">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w:t>
      </w:r>
      <w:r>
        <w:rPr>
          <w:rFonts w:ascii="Arial" w:eastAsia="Arial" w:hAnsi="Arial" w:cs="Arial"/>
          <w:color w:val="000000"/>
        </w:rPr>
        <w:lastRenderedPageBreak/>
        <w:t>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3F7DD40"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 xml:space="preserve">Aprueba la clasificación de riesgo de todos los SBIA conforme al numeral 6.2.2: de manera individual en los de riesgo alto y en los estratégicos para la entidad, y de manera agregada en los de riesgo </w:t>
            </w:r>
            <w:r w:rsidRPr="002840F0">
              <w:rPr>
                <w:b w:val="0"/>
                <w:bCs w:val="0"/>
                <w:highlight w:val="green"/>
              </w:rPr>
              <w:lastRenderedPageBreak/>
              <w:t>aceptable. Aprueba los casos de uso y la estrategia de IA.</w:t>
            </w:r>
          </w:p>
          <w:p w14:paraId="4662D368" w14:textId="58670A02"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lastRenderedPageBreak/>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w:t>
            </w:r>
            <w:r>
              <w:rPr>
                <w:b w:val="0"/>
                <w:bCs w:val="0"/>
                <w:color w:val="000000"/>
                <w:highlight w:val="yellow"/>
              </w:rPr>
              <w:lastRenderedPageBreak/>
              <w:t xml:space="preserve">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lastRenderedPageBreak/>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w:t>
            </w:r>
            <w:r>
              <w:rPr>
                <w:b w:val="0"/>
                <w:bCs w:val="0"/>
                <w:highlight w:val="yellow"/>
              </w:rPr>
              <w:lastRenderedPageBreak/>
              <w:t xml:space="preserve">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lastRenderedPageBreak/>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lastRenderedPageBreak/>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lastRenderedPageBreak/>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608267C7" w:rsidR="00E67A73" w:rsidRPr="00DE4308" w:rsidRDefault="00DE4308">
            <w:pPr>
              <w:spacing w:before="20" w:after="20" w:line="276" w:lineRule="auto"/>
              <w:rPr>
                <w:rFonts w:ascii="Arial" w:hAnsi="Arial" w:cs="Arial"/>
                <w:highlight w:val="green"/>
              </w:rPr>
            </w:pPr>
            <w:r w:rsidRPr="00DE4308">
              <w:rPr>
                <w:rFonts w:ascii="Arial" w:eastAsia="Arial" w:hAnsi="Arial" w:cs="Arial"/>
                <w:highlight w:val="green"/>
              </w:rPr>
              <w:t>Aprobación de la clasificación de riesgo, 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 xml:space="preserve">La Gerencia de Arquitectura conduce el diseño de la arquitectura del SBIA y las Divisiones de Arquitectura lo elaboran, conforme al numeral </w:t>
            </w:r>
            <w:r w:rsidRPr="0045319E">
              <w:rPr>
                <w:rFonts w:ascii="Arial" w:eastAsia="Arial" w:hAnsi="Arial" w:cs="Arial"/>
                <w:highlight w:val="green"/>
              </w:rPr>
              <w:lastRenderedPageBreak/>
              <w:t>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25C8F321" w:rsidR="00E67A73" w:rsidRDefault="0045319E">
            <w:pPr>
              <w:spacing w:before="20" w:after="20" w:line="276" w:lineRule="auto"/>
              <w:rPr>
                <w:rFonts w:ascii="Arial" w:hAnsi="Arial" w:cs="Arial"/>
              </w:rPr>
            </w:pPr>
            <w:r w:rsidRPr="0045319E">
              <w:rPr>
                <w:rFonts w:ascii="Arial" w:eastAsia="Arial" w:hAnsi="Arial" w:cs="Arial"/>
                <w:highlight w:val="green"/>
              </w:rPr>
              <w:lastRenderedPageBreak/>
              <w:t xml:space="preserve">Aprobación del diseño de la arquitectura de solución por la División de Arquitectura competente según la </w:t>
            </w:r>
            <w:r w:rsidRPr="0045319E">
              <w:rPr>
                <w:rFonts w:ascii="Arial" w:eastAsia="Arial" w:hAnsi="Arial" w:cs="Arial"/>
                <w:highlight w:val="green"/>
              </w:rPr>
              <w:lastRenderedPageBreak/>
              <w:t>materia, conforme al numeral 6.5.4.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088EA22D" w:rsidR="00E67A73" w:rsidRDefault="00236A5F">
            <w:pPr>
              <w:spacing w:before="20" w:after="20" w:line="276" w:lineRule="auto"/>
              <w:rPr>
                <w:rFonts w:ascii="Arial" w:hAnsi="Arial" w:cs="Arial"/>
              </w:rPr>
            </w:pPr>
            <w:r w:rsidRPr="00236A5F">
              <w:rPr>
                <w:rFonts w:ascii="Arial" w:eastAsia="Arial" w:hAnsi="Arial" w:cs="Arial"/>
                <w:highlight w:val="green"/>
              </w:rPr>
              <w:t xml:space="preserve">La Gerencia de Calidad de Sistemas conduce las pruebas de verificación y validación de calidad. La Oficina de Seguridad Informática efectúa el análisis de riesgo y las pruebas de vulnerabilidad sobre la arquitectura de aplicaciones, de información y de infraestructura tecnológica que </w:t>
            </w:r>
            <w:r w:rsidRPr="00236A5F">
              <w:rPr>
                <w:rFonts w:ascii="Arial" w:eastAsia="Arial" w:hAnsi="Arial" w:cs="Arial"/>
                <w:highlight w:val="green"/>
              </w:rPr>
              <w:lastRenderedPageBreak/>
              <w:t>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Gerencia de Calidad de Sistemas,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2F35EDDD"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 xml:space="preserve">Los hitos de aprobación previstos en el numeral 6.1.1 son de carácter técnico. Recaen sobre el componente de IA y sobre su tránsito entre las etapas del ciclo de vida, y no constituyen aprobación de la iniciativa, del proyecto ni de la </w:t>
      </w:r>
      <w:r w:rsidR="00D443F8" w:rsidRPr="00D443F8">
        <w:rPr>
          <w:rFonts w:ascii="Arial" w:hAnsi="Arial" w:cs="Arial"/>
          <w:color w:val="000000"/>
          <w:highlight w:val="green"/>
        </w:rPr>
        <w:lastRenderedPageBreak/>
        <w:t xml:space="preserve">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69E4519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w:t>
      </w:r>
      <w:r>
        <w:rPr>
          <w:rFonts w:ascii="Arial" w:hAnsi="Arial" w:cs="Arial"/>
          <w:color w:val="000000"/>
          <w:highlight w:val="cyan"/>
        </w:rPr>
        <w:lastRenderedPageBreak/>
        <w:t>anterioridad a su desarrollo o adquisición.</w:t>
      </w:r>
      <w:r w:rsidR="00352D87">
        <w:rPr>
          <w:rFonts w:ascii="Arial" w:hAnsi="Arial" w:cs="Arial"/>
          <w:color w:val="000000"/>
          <w:highlight w:val="cyan"/>
        </w:rPr>
        <w:t xml:space="preserve"> </w:t>
      </w:r>
      <w:r>
        <w:rPr>
          <w:rFonts w:ascii="Arial" w:hAnsi="Arial" w:cs="Arial"/>
          <w:color w:val="000000"/>
          <w:highlight w:val="cyan"/>
        </w:rPr>
        <w:t>La clasificación y la gestión de los riesgos de los SBIA se alinean a la NTP-ISO 31000 vigente, de uso obligatorio conforme a la Sexta Disposición Complementaria Final del RLIA.</w:t>
      </w:r>
    </w:p>
    <w:p w14:paraId="0F68BDCC" w14:textId="59BCB3CB"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La clasificación es parte de la evaluación de viabilidad de acuerdo al ciclo de vida descrito en el 6.1.1.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50D4E29B"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45319E" w:rsidRPr="0045319E">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 la normatividad vigente.</w:t>
      </w:r>
      <w:r w:rsidRPr="0045319E">
        <w:rPr>
          <w:rStyle w:val="Refdenotaalpie"/>
          <w:highlight w:val="green"/>
        </w:rPr>
        <w:footnoteReference w:id="3"/>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w:t>
      </w:r>
      <w:r w:rsidRPr="00EE0817">
        <w:rPr>
          <w:rFonts w:ascii="Arial" w:eastAsia="Arial" w:hAnsi="Arial" w:cs="Arial"/>
          <w:color w:val="000000"/>
          <w:highlight w:val="green"/>
        </w:rPr>
        <w:lastRenderedPageBreak/>
        <w:t xml:space="preserve">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093D0210"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El propietario del caso de uso define el alcance de las acciones autorizadas; la División de Arquitectura competente según la materia verifica su implementación antes del despliegue</w:t>
      </w:r>
      <w:r w:rsidR="00553A03">
        <w:rPr>
          <w:rFonts w:ascii="Arial" w:eastAsia="Arial" w:hAnsi="Arial" w:cs="Arial"/>
          <w:color w:val="000000"/>
          <w:highlight w:val="green"/>
        </w:rPr>
        <w:t>.</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w:t>
      </w:r>
      <w:r w:rsidRPr="005C3A70">
        <w:rPr>
          <w:rFonts w:ascii="Arial" w:eastAsia="Arial" w:hAnsi="Arial" w:cs="Arial"/>
          <w:color w:val="000000"/>
          <w:highlight w:val="lightGray"/>
        </w:rPr>
        <w:lastRenderedPageBreak/>
        <w:t xml:space="preserve">determina la publicabilidad antes de cada liberación mayor; la GDS ejecuta la publicación cuando corresponda. </w:t>
      </w:r>
    </w:p>
    <w:p w14:paraId="1268A681" w14:textId="4236F59F"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73F165C2" w14:textId="77777777" w:rsidR="00553A03" w:rsidRDefault="00553A03" w:rsidP="005C3A70">
      <w:pPr>
        <w:spacing w:after="60" w:line="276" w:lineRule="auto"/>
        <w:ind w:left="1276" w:hanging="720"/>
        <w:jc w:val="both"/>
        <w:rPr>
          <w:rFonts w:ascii="Arial" w:eastAsia="Arial" w:hAnsi="Arial" w:cs="Arial"/>
          <w:color w:val="000000"/>
        </w:rPr>
      </w:pPr>
    </w:p>
    <w:p w14:paraId="53AB1498" w14:textId="77777777" w:rsidR="00863A18"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 xml:space="preserve">Los SBIA cumplen la Política de Seguridad de la Información (SGSI-PO-01) y el Manual de Políticas del Sistema de Gestión de Seguridad de la Información (SGSI-MA-03) de la SUNAT, en sus versiones vigentes, que </w:t>
      </w:r>
      <w:proofErr w:type="gramStart"/>
      <w:r w:rsidR="008776A6" w:rsidRPr="008776A6">
        <w:rPr>
          <w:rFonts w:ascii="Arial" w:eastAsia="Arial" w:hAnsi="Arial" w:cs="Arial"/>
          <w:color w:val="000000"/>
          <w:highlight w:val="green"/>
        </w:rPr>
        <w:t>son de aplicación</w:t>
      </w:r>
      <w:proofErr w:type="gramEnd"/>
      <w:r w:rsidR="008776A6" w:rsidRPr="008776A6">
        <w:rPr>
          <w:rFonts w:ascii="Arial" w:eastAsia="Arial" w:hAnsi="Arial" w:cs="Arial"/>
          <w:color w:val="000000"/>
          <w:highlight w:val="green"/>
        </w:rPr>
        <w:t xml:space="preserve">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0CE98CBE"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Para los SBIA de riesgo alto y para los SBIA de riesgo aceptable que interactúen directamente con el administrado, incorporen componentes generativos o procesen datos personales o información sujeta a reserva tributaria, se requiere como mínimo:</w:t>
      </w:r>
      <w:r w:rsidR="00CE10DF">
        <w:rPr>
          <w:rFonts w:ascii="Arial" w:eastAsia="Arial" w:hAnsi="Arial" w:cs="Arial"/>
          <w:color w:val="000000"/>
        </w:rPr>
        <w:t xml:space="preserve">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xml:space="preserve">; y anonimización o seudonimización de datos personales antes del procesamiento. Estos controles constituyen medidas de seguridad digital conforme al artículo 29 del RLIA y se </w:t>
      </w:r>
      <w:r>
        <w:rPr>
          <w:rFonts w:ascii="Arial" w:eastAsia="Arial" w:hAnsi="Arial" w:cs="Arial"/>
          <w:color w:val="000000"/>
          <w:highlight w:val="yellow"/>
        </w:rPr>
        <w:lastRenderedPageBreak/>
        <w:t>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76FB71CA" w14:textId="52B6E102" w:rsidR="003173B4" w:rsidRDefault="003173B4" w:rsidP="0084436F">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lastRenderedPageBreak/>
        <w:t>6.7.8 Los SBIA definen el tratamiento de conservación y eliminación de las instrucciones (</w:t>
      </w:r>
      <w:r w:rsidRPr="003173B4">
        <w:rPr>
          <w:rFonts w:ascii="Arial" w:eastAsia="Arial" w:hAnsi="Arial" w:cs="Arial"/>
          <w:color w:val="000000"/>
          <w:highlight w:val="green"/>
        </w:rPr>
        <w:t>prompt</w:t>
      </w:r>
      <w:r w:rsidRPr="003173B4">
        <w:rPr>
          <w:rFonts w:ascii="Arial" w:eastAsia="Arial" w:hAnsi="Arial" w:cs="Arial"/>
          <w:color w:val="000000"/>
          <w:highlight w:val="green"/>
        </w:rPr>
        <w:t>), respuestas, contextos, representaciones vectoriales (embeddings), registros de interacción y demás información que generen o procesen durante su operación. El plazo de conservación se determina en función del nivel de riesgo del SBIA, del valor probatorio de la información, de su sensibilidad y de los requisitos de auditoría aplicables, y observa las restricciones derivadas de la reserva tributaria conforme al artículo 85 del TUO del Código Tributario y de la normativa sobre protección de datos personales. Los plazos aplicables se establecen en el documento normativo del numeral 6.7.7. El respaldo 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A90D010" w:rsidR="005C3A70" w:rsidRPr="002840F0" w:rsidRDefault="005C3A70" w:rsidP="005C3A70">
      <w:pPr>
        <w:tabs>
          <w:tab w:val="left" w:pos="1418"/>
        </w:tabs>
        <w:spacing w:after="60" w:line="276" w:lineRule="auto"/>
        <w:ind w:left="1276" w:hanging="709"/>
        <w:jc w:val="both"/>
        <w:rPr>
          <w:rFonts w:ascii="Arial" w:eastAsia="Arial" w:hAnsi="Arial" w:cs="Arial"/>
          <w:color w:val="000000"/>
          <w:highlight w:val="green"/>
        </w:rPr>
      </w:pPr>
      <w:r w:rsidRPr="002840F0">
        <w:rPr>
          <w:rFonts w:ascii="Arial" w:eastAsia="Arial" w:hAnsi="Arial" w:cs="Arial"/>
          <w:color w:val="000000"/>
          <w:highlight w:val="green"/>
        </w:rPr>
        <w:t xml:space="preserve">6.8.5   </w:t>
      </w:r>
      <w:r w:rsidR="002840F0" w:rsidRPr="002840F0">
        <w:rPr>
          <w:rFonts w:ascii="Arial" w:eastAsia="Arial" w:hAnsi="Arial" w:cs="Arial"/>
          <w:color w:val="000000"/>
          <w:highlight w:val="green"/>
        </w:rPr>
        <w:t>Los conjuntos de datos que la SUNAT genere o administre y que califiquen como datos de alto valor conforme a la normativa de gobierno de datos y de datos abiertos vigente se ponen a disposición a través del Centro Nacional de Datos (CND), previa determinación de su publicabilidad conforme al artículo 85 del TUO del Código Tributario</w:t>
      </w:r>
      <w:r w:rsidR="002840F0">
        <w:rPr>
          <w:rFonts w:ascii="Arial" w:eastAsia="Arial" w:hAnsi="Arial" w:cs="Arial"/>
          <w:color w:val="000000"/>
          <w:highlight w:val="green"/>
        </w:rPr>
        <w:t xml:space="preserve"> </w:t>
      </w:r>
      <w:r w:rsidR="002840F0" w:rsidRPr="002840F0">
        <w:rPr>
          <w:rFonts w:ascii="Arial" w:eastAsia="Arial" w:hAnsi="Arial" w:cs="Arial"/>
          <w:color w:val="000000"/>
          <w:highlight w:val="green"/>
        </w:rPr>
        <w:t>y a la normativa de protección de datos personales. El OGD identifica los conjuntos candidatos aplicando dichos criterios y propone al CGTD su publicación.</w:t>
      </w:r>
    </w:p>
    <w:p w14:paraId="6FEA09F8" w14:textId="30858903" w:rsid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lastRenderedPageBreak/>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4C1302CF" w14:textId="77777777" w:rsidR="00FC0075" w:rsidRDefault="00FC0075" w:rsidP="005C3A70">
      <w:pPr>
        <w:tabs>
          <w:tab w:val="left" w:pos="1418"/>
        </w:tabs>
        <w:spacing w:after="60" w:line="276" w:lineRule="auto"/>
        <w:ind w:left="1276" w:hanging="709"/>
        <w:jc w:val="both"/>
        <w:rPr>
          <w:rFonts w:ascii="Arial" w:eastAsia="Arial" w:hAnsi="Arial" w:cs="Arial"/>
          <w:color w:val="000000"/>
          <w:highlight w:val="lightGray"/>
        </w:rPr>
      </w:pPr>
    </w:p>
    <w:p w14:paraId="412997A1" w14:textId="77777777" w:rsidR="00FC0075" w:rsidRDefault="00FC0075" w:rsidP="005C3A70">
      <w:pPr>
        <w:tabs>
          <w:tab w:val="left" w:pos="1418"/>
        </w:tabs>
        <w:spacing w:after="60" w:line="276" w:lineRule="auto"/>
        <w:ind w:left="1276" w:hanging="709"/>
        <w:jc w:val="both"/>
        <w:rPr>
          <w:rFonts w:ascii="Arial" w:eastAsia="Arial" w:hAnsi="Arial" w:cs="Arial"/>
          <w:color w:val="000000"/>
          <w:highlight w:val="lightGray"/>
        </w:rPr>
      </w:pP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E151B6">
      <w:pPr>
        <w:spacing w:after="60" w:line="276" w:lineRule="auto"/>
        <w:ind w:left="1276"/>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 xml:space="preserve">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w:t>
      </w:r>
      <w:r w:rsidR="00E151B6" w:rsidRPr="00E151B6">
        <w:rPr>
          <w:rFonts w:ascii="Arial" w:hAnsi="Arial" w:cs="Arial"/>
          <w:color w:val="000000"/>
          <w:highlight w:val="green"/>
        </w:rPr>
        <w:lastRenderedPageBreak/>
        <w:t>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1CC91AE7"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El estado del gobierno de IA institucional se informa como sección del informe de seguimiento del Plan de Gobierno Digital que presenta el CGTD, con la periodicidad y por el conducto que dicho instrumento establece, en ejercicio de su responsabilidad de liderar, dirigir, evaluar y supervisar los proyectos de SBIA estratégicos.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2"/>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77777777" w:rsidR="00975D3B" w:rsidRPr="00975D3B" w:rsidRDefault="00000000" w:rsidP="00975D3B">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sus umbrales y los responsables de la medición constan en el plan de monitoreo del SBIA, que se aprueba con anterioridad a su puesta en producción conforme al numeral 6.10.2.</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lastRenderedPageBreak/>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47F5FBA7"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0ABBB77"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y el red teaming previstos en el numeral 6.7.2, con anterioridad a la implementación del SBIA y con la periodicidad prevista en el mismo numeral,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lastRenderedPageBreak/>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3AC6A5E4" w:rsidR="00975D3B" w:rsidRDefault="00975D3B" w:rsidP="00532CB5">
      <w:pPr>
        <w:spacing w:after="0" w:line="276" w:lineRule="auto"/>
        <w:ind w:left="1276" w:hanging="709"/>
        <w:jc w:val="both"/>
        <w:rPr>
          <w:rFonts w:ascii="Arial" w:hAnsi="Arial" w:cs="Arial"/>
        </w:rPr>
      </w:pPr>
      <w:r w:rsidRPr="00975D3B">
        <w:rPr>
          <w:rFonts w:ascii="Arial" w:hAnsi="Arial" w:cs="Arial"/>
          <w:highlight w:val="green"/>
        </w:rPr>
        <w:t>6.10.6 El monitoreo comprende la detección del uso indebido del SBIA por parte de quienes lo operan o interactúan con él, con independencia del nivel de riesgo que tenga asignado. Constituyen indicios de uso indebido,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El tratamiento de los hallazgos se realiza conforme al numeral 6.7.5 y, cuando corresponda,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5FE06860" w14:textId="77777777" w:rsidR="00FC0075" w:rsidRDefault="00FC0075"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 xml:space="preserve">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w:t>
      </w:r>
      <w:r w:rsidR="001F1383" w:rsidRPr="001F1383">
        <w:rPr>
          <w:rFonts w:ascii="Arial" w:eastAsia="Arial" w:hAnsi="Arial" w:cs="Arial"/>
          <w:color w:val="000000"/>
          <w:highlight w:val="green"/>
        </w:rPr>
        <w:lastRenderedPageBreak/>
        <w:t>pueden emplearse con información sujeta a reserva tributaria, conforme al numeral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1DF4148"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149F2FFD"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 xml:space="preserve">(f) cumplimiento de estándares técnicos; y (g) la identificación de los subprocesadores autorizados y las condiciones de recuperación de la información institucional a </w:t>
      </w:r>
      <w:r w:rsidR="008B2BEE" w:rsidRPr="008B2BEE">
        <w:rPr>
          <w:rFonts w:ascii="Arial" w:eastAsia="Arial" w:hAnsi="Arial" w:cs="Arial"/>
          <w:color w:val="000000"/>
          <w:highlight w:val="green"/>
        </w:rPr>
        <w:lastRenderedPageBreak/>
        <w:t>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0A225DA0"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r>
      <w:r w:rsidR="008B2BEE" w:rsidRPr="008B2BEE">
        <w:rPr>
          <w:rFonts w:ascii="Arial" w:eastAsia="Arial" w:hAnsi="Arial" w:cs="Arial"/>
          <w:color w:val="000000"/>
          <w:highlight w:val="green"/>
        </w:rPr>
        <w:t>Los contratos prohíben al proveedor emplear la información de la SUNAT (en particular la sujeta a reserva tributaria y los datos personales), las instrucciones que se le remitan y los resultados derivados de su tratamiento, para entrenar, ajustar o mejorar sus modelos o para cualquier fin propio</w:t>
      </w:r>
      <w:r w:rsidRPr="008B2BEE">
        <w:rPr>
          <w:rFonts w:ascii="Arial" w:eastAsia="Arial" w:hAnsi="Arial" w:cs="Arial"/>
          <w:color w:val="000000"/>
          <w:highlight w:val="green"/>
        </w:rPr>
        <w:t xml:space="preserve">, </w:t>
      </w:r>
      <w:r>
        <w:rPr>
          <w:rFonts w:ascii="Arial" w:eastAsia="Arial" w:hAnsi="Arial" w:cs="Arial"/>
          <w:color w:val="000000"/>
          <w:highlight w:val="yellow"/>
        </w:rPr>
        <w:t>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Esta disposición incorpora los requerimientos establecidos en el numeral 28.9 del artículo 28 del Reglamento y adopta medidas adicionales de sensibilización orientadas a promover el uso seguro, responsable y ético de los sistemas </w:t>
      </w:r>
      <w:r w:rsidRPr="00833CDE">
        <w:rPr>
          <w:rFonts w:ascii="Arial" w:eastAsia="Arial" w:hAnsi="Arial" w:cs="Arial"/>
          <w:color w:val="000000"/>
          <w:highlight w:val="lightGray"/>
        </w:rPr>
        <w:lastRenderedPageBreak/>
        <w:t>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 xml:space="preserve">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w:t>
      </w:r>
      <w:r>
        <w:rPr>
          <w:rFonts w:ascii="Arial" w:eastAsia="Arial" w:hAnsi="Arial" w:cs="Arial"/>
          <w:color w:val="000000"/>
          <w:highlight w:val="yellow"/>
        </w:rPr>
        <w:lastRenderedPageBreak/>
        <w:t>mejores prácticas, estándares y normas técnicas para identificar y minimizar los sesgos de los algoritmos y de las bases de datos utilizados</w:t>
      </w:r>
      <w:r>
        <w:rPr>
          <w:rStyle w:val="Refdenotaalpie"/>
        </w:rPr>
        <w:footnoteReference w:id="13"/>
      </w:r>
      <w:r>
        <w:rPr>
          <w:rFonts w:ascii="Arial" w:eastAsia="Arial" w:hAnsi="Arial" w:cs="Arial"/>
          <w:color w:val="000000"/>
          <w:highlight w:val="yellow"/>
        </w:rPr>
        <w:t>.</w:t>
      </w:r>
    </w:p>
    <w:p w14:paraId="60F5B515" w14:textId="69680126"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4"/>
      </w:r>
      <w:r>
        <w:rPr>
          <w:rFonts w:ascii="Arial" w:eastAsia="Arial" w:hAnsi="Arial" w:cs="Arial"/>
          <w:color w:val="000000"/>
          <w:highlight w:val="yellow"/>
        </w:rPr>
        <w:t>.</w:t>
      </w:r>
      <w:r w:rsidR="002555BF">
        <w:rPr>
          <w:rFonts w:ascii="Arial" w:eastAsia="Arial" w:hAnsi="Arial" w:cs="Arial"/>
          <w:color w:val="000000"/>
          <w:highlight w:val="yellow"/>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5"/>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Favorable con condiciones, que identifica los controles que la clasificación de riesgo determina y cuya implementación se verifica en el hito de </w:t>
      </w:r>
      <w:r w:rsidRPr="006D44AB">
        <w:rPr>
          <w:b w:val="0"/>
          <w:bCs w:val="0"/>
          <w:highlight w:val="green"/>
        </w:rPr>
        <w:lastRenderedPageBreak/>
        <w:t>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El uso indebido está prohibido por el artículo 23 del RLIA y los controles reforzados son obligatorios por su artículo 24: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sidRPr="003E2526">
        <w:rPr>
          <w:b w:val="0"/>
          <w:bCs w:val="0"/>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 xml:space="preserve">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921DE" w14:textId="77777777" w:rsidR="00F64845" w:rsidRDefault="00F64845">
      <w:pPr>
        <w:spacing w:after="0" w:line="240" w:lineRule="auto"/>
      </w:pPr>
      <w:r>
        <w:separator/>
      </w:r>
    </w:p>
  </w:endnote>
  <w:endnote w:type="continuationSeparator" w:id="0">
    <w:p w14:paraId="6C616DC8" w14:textId="77777777" w:rsidR="00F64845" w:rsidRDefault="00F64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10AD6" w14:textId="77777777" w:rsidR="00F64845" w:rsidRDefault="00F64845">
      <w:pPr>
        <w:spacing w:after="0" w:line="240" w:lineRule="auto"/>
      </w:pPr>
      <w:r>
        <w:separator/>
      </w:r>
    </w:p>
  </w:footnote>
  <w:footnote w:type="continuationSeparator" w:id="0">
    <w:p w14:paraId="58FF0DFD" w14:textId="77777777" w:rsidR="00F64845" w:rsidRDefault="00F64845">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3">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4">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5">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4C2C"/>
    <w:rsid w:val="000E5B6B"/>
    <w:rsid w:val="000E7544"/>
    <w:rsid w:val="000F3595"/>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840F0"/>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2D87"/>
    <w:rsid w:val="003530CE"/>
    <w:rsid w:val="003636BC"/>
    <w:rsid w:val="003665C6"/>
    <w:rsid w:val="003758C8"/>
    <w:rsid w:val="003922D5"/>
    <w:rsid w:val="003A6AB9"/>
    <w:rsid w:val="003A7976"/>
    <w:rsid w:val="003B242A"/>
    <w:rsid w:val="003B6E7C"/>
    <w:rsid w:val="003B7D61"/>
    <w:rsid w:val="003C1E3F"/>
    <w:rsid w:val="003E2526"/>
    <w:rsid w:val="003E4730"/>
    <w:rsid w:val="003F591A"/>
    <w:rsid w:val="00444444"/>
    <w:rsid w:val="004503ED"/>
    <w:rsid w:val="0045319E"/>
    <w:rsid w:val="00462A57"/>
    <w:rsid w:val="00463CDC"/>
    <w:rsid w:val="00467C46"/>
    <w:rsid w:val="0047575A"/>
    <w:rsid w:val="00485890"/>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4144C"/>
    <w:rsid w:val="00553A03"/>
    <w:rsid w:val="00567C78"/>
    <w:rsid w:val="00570612"/>
    <w:rsid w:val="00590BAB"/>
    <w:rsid w:val="00594919"/>
    <w:rsid w:val="005B30EE"/>
    <w:rsid w:val="005C3A70"/>
    <w:rsid w:val="005C4042"/>
    <w:rsid w:val="005C67EA"/>
    <w:rsid w:val="005D5880"/>
    <w:rsid w:val="005D754C"/>
    <w:rsid w:val="005F24C2"/>
    <w:rsid w:val="005F3265"/>
    <w:rsid w:val="0060099A"/>
    <w:rsid w:val="00603B7D"/>
    <w:rsid w:val="0065257C"/>
    <w:rsid w:val="00662A54"/>
    <w:rsid w:val="00663503"/>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16B6"/>
    <w:rsid w:val="00722166"/>
    <w:rsid w:val="007324DC"/>
    <w:rsid w:val="00736724"/>
    <w:rsid w:val="0075082A"/>
    <w:rsid w:val="007536D0"/>
    <w:rsid w:val="007614B5"/>
    <w:rsid w:val="00771AB8"/>
    <w:rsid w:val="007808CA"/>
    <w:rsid w:val="00790E37"/>
    <w:rsid w:val="007C4F40"/>
    <w:rsid w:val="007D181A"/>
    <w:rsid w:val="007F4CB9"/>
    <w:rsid w:val="0080359D"/>
    <w:rsid w:val="00807C98"/>
    <w:rsid w:val="0081311B"/>
    <w:rsid w:val="00814A4B"/>
    <w:rsid w:val="008326EA"/>
    <w:rsid w:val="00833450"/>
    <w:rsid w:val="00833CD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5D3B"/>
    <w:rsid w:val="00976029"/>
    <w:rsid w:val="00992360"/>
    <w:rsid w:val="00997013"/>
    <w:rsid w:val="009B2D6B"/>
    <w:rsid w:val="009C297E"/>
    <w:rsid w:val="009E0389"/>
    <w:rsid w:val="009E4983"/>
    <w:rsid w:val="009E7E49"/>
    <w:rsid w:val="009F2465"/>
    <w:rsid w:val="009F6B32"/>
    <w:rsid w:val="00A009CE"/>
    <w:rsid w:val="00A13B62"/>
    <w:rsid w:val="00A149DD"/>
    <w:rsid w:val="00A15156"/>
    <w:rsid w:val="00A2302D"/>
    <w:rsid w:val="00A3530D"/>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2BA4"/>
    <w:rsid w:val="00B10C11"/>
    <w:rsid w:val="00B23382"/>
    <w:rsid w:val="00B27FA6"/>
    <w:rsid w:val="00B34A74"/>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23E72"/>
    <w:rsid w:val="00C34A71"/>
    <w:rsid w:val="00C47FC1"/>
    <w:rsid w:val="00C5632E"/>
    <w:rsid w:val="00C5723D"/>
    <w:rsid w:val="00C66B57"/>
    <w:rsid w:val="00C71A9A"/>
    <w:rsid w:val="00C733EA"/>
    <w:rsid w:val="00C736D9"/>
    <w:rsid w:val="00C77327"/>
    <w:rsid w:val="00C817F2"/>
    <w:rsid w:val="00C868D8"/>
    <w:rsid w:val="00C93D4C"/>
    <w:rsid w:val="00CA521D"/>
    <w:rsid w:val="00CB040E"/>
    <w:rsid w:val="00CC6721"/>
    <w:rsid w:val="00CD5098"/>
    <w:rsid w:val="00CD5536"/>
    <w:rsid w:val="00CE10DF"/>
    <w:rsid w:val="00CE3C2A"/>
    <w:rsid w:val="00CE6C00"/>
    <w:rsid w:val="00CF07E5"/>
    <w:rsid w:val="00CF1187"/>
    <w:rsid w:val="00CF4842"/>
    <w:rsid w:val="00D108CB"/>
    <w:rsid w:val="00D12015"/>
    <w:rsid w:val="00D16977"/>
    <w:rsid w:val="00D35170"/>
    <w:rsid w:val="00D42CEC"/>
    <w:rsid w:val="00D443F8"/>
    <w:rsid w:val="00D44574"/>
    <w:rsid w:val="00D601EF"/>
    <w:rsid w:val="00D75749"/>
    <w:rsid w:val="00D83EE0"/>
    <w:rsid w:val="00D950D6"/>
    <w:rsid w:val="00DA3E65"/>
    <w:rsid w:val="00DA4B1B"/>
    <w:rsid w:val="00DB1816"/>
    <w:rsid w:val="00DC2B05"/>
    <w:rsid w:val="00DC7025"/>
    <w:rsid w:val="00DE269D"/>
    <w:rsid w:val="00DE41F6"/>
    <w:rsid w:val="00DE4308"/>
    <w:rsid w:val="00DF04A0"/>
    <w:rsid w:val="00DF3D57"/>
    <w:rsid w:val="00E151B6"/>
    <w:rsid w:val="00E160DD"/>
    <w:rsid w:val="00E22438"/>
    <w:rsid w:val="00E22CB4"/>
    <w:rsid w:val="00E22E28"/>
    <w:rsid w:val="00E3106C"/>
    <w:rsid w:val="00E34945"/>
    <w:rsid w:val="00E67A73"/>
    <w:rsid w:val="00E75696"/>
    <w:rsid w:val="00E810C0"/>
    <w:rsid w:val="00E87621"/>
    <w:rsid w:val="00E9145B"/>
    <w:rsid w:val="00E950CF"/>
    <w:rsid w:val="00EB62D4"/>
    <w:rsid w:val="00EC1C5F"/>
    <w:rsid w:val="00EC2CB2"/>
    <w:rsid w:val="00ED2DC8"/>
    <w:rsid w:val="00ED3F92"/>
    <w:rsid w:val="00ED522E"/>
    <w:rsid w:val="00EE0817"/>
    <w:rsid w:val="00EF2B54"/>
    <w:rsid w:val="00EF6D32"/>
    <w:rsid w:val="00F0082B"/>
    <w:rsid w:val="00F0441E"/>
    <w:rsid w:val="00F12B33"/>
    <w:rsid w:val="00F2135B"/>
    <w:rsid w:val="00F2227C"/>
    <w:rsid w:val="00F378B6"/>
    <w:rsid w:val="00F45DDD"/>
    <w:rsid w:val="00F64845"/>
    <w:rsid w:val="00F80506"/>
    <w:rsid w:val="00F9075F"/>
    <w:rsid w:val="00F91DE2"/>
    <w:rsid w:val="00F936FD"/>
    <w:rsid w:val="00FA09F7"/>
    <w:rsid w:val="00FA5FEB"/>
    <w:rsid w:val="00FB439A"/>
    <w:rsid w:val="00FC0075"/>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7716</TotalTime>
  <Pages>43</Pages>
  <Words>14463</Words>
  <Characters>79549</Characters>
  <Application>Microsoft Office Word</Application>
  <DocSecurity>0</DocSecurity>
  <Lines>662</Lines>
  <Paragraphs>187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190</cp:revision>
  <dcterms:created xsi:type="dcterms:W3CDTF">2026-03-23T21:09:00Z</dcterms:created>
  <dcterms:modified xsi:type="dcterms:W3CDTF">2026-08-26T15:06:00Z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