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7A15F" w14:textId="77777777" w:rsidR="0060099A" w:rsidRPr="00863A18" w:rsidRDefault="0060099A" w:rsidP="00ED2DC8">
      <w:pPr>
        <w:spacing w:after="0" w:line="240" w:lineRule="auto"/>
        <w:jc w:val="center"/>
        <w:rPr>
          <w:rFonts w:ascii="Arial" w:hAnsi="Arial" w:cs="Arial"/>
        </w:rPr>
      </w:pPr>
      <w:bookmarkStart w:id="0" w:name="_Hlk8641159"/>
    </w:p>
    <w:bookmarkEnd w:id="0"/>
    <w:p w14:paraId="55768ACF" w14:textId="77777777" w:rsidR="0060099A" w:rsidRPr="00863A18" w:rsidRDefault="0060099A" w:rsidP="00ED2DC8">
      <w:pPr>
        <w:spacing w:after="0" w:line="240" w:lineRule="auto"/>
        <w:jc w:val="center"/>
        <w:rPr>
          <w:rFonts w:ascii="Arial" w:hAnsi="Arial" w:cs="Arial"/>
        </w:rPr>
      </w:pPr>
    </w:p>
    <w:p w14:paraId="3FB8041C" w14:textId="77777777" w:rsidR="0060099A" w:rsidRPr="00863A18" w:rsidRDefault="0060099A" w:rsidP="00ED2DC8">
      <w:pPr>
        <w:spacing w:after="0" w:line="240" w:lineRule="auto"/>
        <w:jc w:val="center"/>
        <w:rPr>
          <w:rFonts w:ascii="Arial" w:hAnsi="Arial" w:cs="Arial"/>
        </w:rPr>
      </w:pPr>
    </w:p>
    <w:p w14:paraId="11828901" w14:textId="77777777" w:rsidR="0060099A" w:rsidRPr="00863A18" w:rsidRDefault="0060099A" w:rsidP="00ED2DC8">
      <w:pPr>
        <w:spacing w:after="0" w:line="240" w:lineRule="auto"/>
        <w:jc w:val="center"/>
        <w:rPr>
          <w:rFonts w:ascii="Arial" w:hAnsi="Arial" w:cs="Arial"/>
        </w:rPr>
      </w:pPr>
    </w:p>
    <w:p w14:paraId="57CEB53E" w14:textId="77777777" w:rsidR="0060099A" w:rsidRPr="00863A18" w:rsidRDefault="0060099A" w:rsidP="00ED2DC8">
      <w:pPr>
        <w:spacing w:after="0" w:line="240" w:lineRule="auto"/>
        <w:jc w:val="center"/>
        <w:rPr>
          <w:rFonts w:ascii="Arial" w:hAnsi="Arial" w:cs="Arial"/>
        </w:rPr>
      </w:pPr>
    </w:p>
    <w:p w14:paraId="300BE91C"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3AC8DC74" wp14:editId="46BE3372">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53FAABFD" w14:textId="77777777" w:rsidR="0060099A" w:rsidRPr="00863A18" w:rsidRDefault="0060099A" w:rsidP="00ED2DC8">
      <w:pPr>
        <w:spacing w:after="0" w:line="240" w:lineRule="auto"/>
        <w:jc w:val="center"/>
        <w:rPr>
          <w:rFonts w:ascii="Arial" w:hAnsi="Arial" w:cs="Arial"/>
          <w:b/>
          <w:bCs/>
        </w:rPr>
      </w:pPr>
    </w:p>
    <w:p w14:paraId="52A4FA6D" w14:textId="77777777" w:rsidR="0060099A" w:rsidRPr="00863A18" w:rsidRDefault="0060099A" w:rsidP="00ED2DC8">
      <w:pPr>
        <w:spacing w:after="0" w:line="240" w:lineRule="auto"/>
        <w:jc w:val="center"/>
        <w:rPr>
          <w:rFonts w:ascii="Arial" w:hAnsi="Arial" w:cs="Arial"/>
          <w:b/>
          <w:bCs/>
        </w:rPr>
      </w:pPr>
    </w:p>
    <w:p w14:paraId="1E28088F" w14:textId="77777777" w:rsidR="00521B40" w:rsidRPr="00863A18" w:rsidRDefault="00521B40" w:rsidP="00ED2DC8">
      <w:pPr>
        <w:spacing w:after="0" w:line="240" w:lineRule="auto"/>
        <w:jc w:val="right"/>
        <w:rPr>
          <w:rFonts w:ascii="Arial" w:hAnsi="Arial" w:cs="Arial"/>
          <w:b/>
          <w:bCs/>
          <w:sz w:val="56"/>
          <w:szCs w:val="56"/>
        </w:rPr>
      </w:pPr>
    </w:p>
    <w:p w14:paraId="00DD0B14" w14:textId="77777777" w:rsidR="00521B40" w:rsidRPr="00863A18" w:rsidRDefault="00521B40" w:rsidP="00ED2DC8">
      <w:pPr>
        <w:spacing w:after="0" w:line="240" w:lineRule="auto"/>
        <w:jc w:val="right"/>
        <w:rPr>
          <w:rFonts w:ascii="Arial" w:hAnsi="Arial" w:cs="Arial"/>
          <w:b/>
          <w:bCs/>
          <w:sz w:val="56"/>
          <w:szCs w:val="56"/>
        </w:rPr>
      </w:pPr>
    </w:p>
    <w:p w14:paraId="3AFEA96D" w14:textId="77777777" w:rsidR="00521B40" w:rsidRPr="00863A18" w:rsidRDefault="00521B40" w:rsidP="00ED2DC8">
      <w:pPr>
        <w:spacing w:after="0" w:line="240" w:lineRule="auto"/>
        <w:jc w:val="right"/>
        <w:rPr>
          <w:rFonts w:ascii="Arial" w:hAnsi="Arial" w:cs="Arial"/>
          <w:b/>
          <w:bCs/>
          <w:sz w:val="56"/>
          <w:szCs w:val="56"/>
        </w:rPr>
      </w:pPr>
    </w:p>
    <w:p w14:paraId="56B6860D"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334182A8" w14:textId="77777777" w:rsidR="0060099A" w:rsidRPr="00863A18" w:rsidRDefault="0060099A" w:rsidP="00ED2DC8">
      <w:pPr>
        <w:pStyle w:val="Versin"/>
        <w:jc w:val="right"/>
        <w:rPr>
          <w:rFonts w:ascii="Arial" w:hAnsi="Arial" w:cs="Arial"/>
        </w:rPr>
      </w:pPr>
      <w:r>
        <w:rPr>
          <w:rFonts w:ascii="Arial" w:hAnsi="Arial" w:cs="Arial"/>
        </w:rPr>
        <w:t>Versión 1.0</w:t>
      </w:r>
    </w:p>
    <w:p w14:paraId="733E2A04" w14:textId="77777777" w:rsidR="0060099A" w:rsidRPr="00863A18" w:rsidRDefault="0060099A" w:rsidP="00ED2DC8">
      <w:pPr>
        <w:spacing w:after="0" w:line="240" w:lineRule="auto"/>
        <w:jc w:val="right"/>
        <w:rPr>
          <w:rFonts w:ascii="Arial" w:eastAsiaTheme="minorHAnsi" w:hAnsi="Arial" w:cs="Arial"/>
          <w:b/>
          <w:sz w:val="56"/>
          <w:szCs w:val="56"/>
        </w:rPr>
      </w:pPr>
    </w:p>
    <w:p w14:paraId="32DEC421"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09C86612" wp14:editId="68008938">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1C3A1D1B"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7C7B5EFC"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09C86612"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1C3A1D1B"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7C7B5EFC"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2716F663" w14:textId="77777777" w:rsidR="0060099A" w:rsidRPr="00863A18" w:rsidRDefault="0060099A" w:rsidP="00ED2DC8">
      <w:pPr>
        <w:spacing w:after="0" w:line="240" w:lineRule="auto"/>
        <w:jc w:val="center"/>
        <w:rPr>
          <w:rFonts w:ascii="Arial" w:eastAsia="Calibri" w:hAnsi="Arial" w:cs="Arial"/>
        </w:rPr>
      </w:pPr>
    </w:p>
    <w:p w14:paraId="36F709FC" w14:textId="77777777" w:rsidR="0060099A" w:rsidRPr="00863A18" w:rsidRDefault="0060099A" w:rsidP="00ED2DC8">
      <w:pPr>
        <w:spacing w:after="0" w:line="240" w:lineRule="auto"/>
        <w:jc w:val="center"/>
        <w:rPr>
          <w:rFonts w:ascii="Arial" w:eastAsia="Calibri" w:hAnsi="Arial" w:cs="Arial"/>
        </w:rPr>
      </w:pPr>
    </w:p>
    <w:p w14:paraId="3E46D01B" w14:textId="77777777" w:rsidR="0060099A" w:rsidRPr="00863A18" w:rsidRDefault="0060099A" w:rsidP="00ED2DC8">
      <w:pPr>
        <w:spacing w:after="0" w:line="240" w:lineRule="auto"/>
        <w:jc w:val="center"/>
        <w:rPr>
          <w:rFonts w:ascii="Arial" w:eastAsia="Calibri" w:hAnsi="Arial" w:cs="Arial"/>
        </w:rPr>
      </w:pPr>
    </w:p>
    <w:p w14:paraId="3DAA6131" w14:textId="77777777" w:rsidR="0060099A" w:rsidRPr="00863A18" w:rsidRDefault="0060099A" w:rsidP="00ED2DC8">
      <w:pPr>
        <w:spacing w:after="0" w:line="240" w:lineRule="auto"/>
        <w:jc w:val="center"/>
        <w:rPr>
          <w:rFonts w:ascii="Arial" w:eastAsia="Calibri" w:hAnsi="Arial" w:cs="Arial"/>
        </w:rPr>
      </w:pPr>
    </w:p>
    <w:p w14:paraId="4C5F7648" w14:textId="77777777" w:rsidR="00521B40" w:rsidRPr="00863A18" w:rsidRDefault="00521B40" w:rsidP="00ED2DC8">
      <w:pPr>
        <w:spacing w:after="0" w:line="240" w:lineRule="auto"/>
        <w:jc w:val="center"/>
        <w:rPr>
          <w:rFonts w:ascii="Arial" w:eastAsia="Calibri" w:hAnsi="Arial" w:cs="Arial"/>
        </w:rPr>
      </w:pPr>
    </w:p>
    <w:p w14:paraId="05498E10" w14:textId="77777777" w:rsidR="00521B40" w:rsidRPr="00863A18" w:rsidRDefault="00521B40" w:rsidP="00ED2DC8">
      <w:pPr>
        <w:spacing w:after="0" w:line="240" w:lineRule="auto"/>
        <w:jc w:val="center"/>
        <w:rPr>
          <w:rFonts w:ascii="Arial" w:eastAsia="Calibri" w:hAnsi="Arial" w:cs="Arial"/>
        </w:rPr>
      </w:pPr>
    </w:p>
    <w:p w14:paraId="71DBB07C" w14:textId="77777777" w:rsidR="004503ED" w:rsidRDefault="004503ED" w:rsidP="00ED2DC8">
      <w:pPr>
        <w:spacing w:after="0" w:line="240" w:lineRule="auto"/>
        <w:jc w:val="center"/>
        <w:rPr>
          <w:rFonts w:ascii="Arial" w:eastAsia="Calibri" w:hAnsi="Arial" w:cs="Arial"/>
        </w:rPr>
      </w:pPr>
    </w:p>
    <w:p w14:paraId="140E797D" w14:textId="77777777" w:rsidR="004503ED" w:rsidRPr="00863A18" w:rsidRDefault="004503ED" w:rsidP="00ED2DC8">
      <w:pPr>
        <w:spacing w:after="0" w:line="240" w:lineRule="auto"/>
        <w:jc w:val="center"/>
        <w:rPr>
          <w:rFonts w:ascii="Arial" w:eastAsia="Calibri" w:hAnsi="Arial" w:cs="Arial"/>
        </w:rPr>
      </w:pPr>
    </w:p>
    <w:p w14:paraId="0A576E61"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57323B08"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3D0F79CC" w14:textId="77777777" w:rsidR="0060099A" w:rsidRPr="00863A18" w:rsidRDefault="0060099A" w:rsidP="00ED2DC8">
      <w:pPr>
        <w:spacing w:after="0" w:line="240" w:lineRule="auto"/>
        <w:jc w:val="center"/>
        <w:rPr>
          <w:rFonts w:ascii="Arial" w:hAnsi="Arial" w:cs="Arial"/>
          <w:b/>
          <w:bCs/>
          <w:sz w:val="32"/>
          <w:szCs w:val="32"/>
        </w:rPr>
      </w:pPr>
    </w:p>
    <w:p w14:paraId="15C0636D"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10B2F7A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3CD4B90F"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7CC4F0A" w14:textId="77777777" w:rsidR="00833450" w:rsidRPr="00863A18" w:rsidRDefault="00833450" w:rsidP="00B23382">
      <w:pPr>
        <w:spacing w:after="0" w:line="240" w:lineRule="auto"/>
        <w:jc w:val="center"/>
        <w:rPr>
          <w:rFonts w:ascii="Arial" w:hAnsi="Arial" w:cs="Arial"/>
        </w:rPr>
      </w:pPr>
    </w:p>
    <w:p w14:paraId="0400FD44"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3500C9E2"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7A4DB512"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122868CE"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334964A7"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21A72EE4"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25BE9A9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1C3DBB2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074152EF"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70176227"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C1D6F5F"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20467D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4B46D0B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76C1913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CNSD: Centro Nacional de Seguridad Digital</w:t>
      </w:r>
    </w:p>
    <w:p w14:paraId="7AED90B2" w14:textId="77777777" w:rsidR="00577C4C" w:rsidRDefault="00577C4C">
      <w:pPr>
        <w:pStyle w:val="Prrafodelista"/>
        <w:numPr>
          <w:ilvl w:val="0"/>
          <w:numId w:val="18"/>
        </w:numPr>
        <w:spacing w:line="276" w:lineRule="auto"/>
        <w:rPr>
          <w:b w:val="0"/>
          <w:bCs w:val="0"/>
          <w:color w:val="000000"/>
        </w:rPr>
      </w:pPr>
      <w:r>
        <w:rPr>
          <w:b w:val="0"/>
          <w:bCs w:val="0"/>
          <w:color w:val="000000"/>
        </w:rPr>
        <w:t>EETT: Especificaciones Técnicas</w:t>
      </w:r>
    </w:p>
    <w:p w14:paraId="06D4FE1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3423A05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55CA7B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53E9091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ETDIA: Equipo Técnico de Datos e Inteligencia Artificial</w:t>
      </w:r>
    </w:p>
    <w:p w14:paraId="2E0DD80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64261C66" w14:textId="77777777" w:rsidR="00577C4C" w:rsidRDefault="00577C4C">
      <w:pPr>
        <w:pStyle w:val="Prrafodelista"/>
        <w:numPr>
          <w:ilvl w:val="0"/>
          <w:numId w:val="18"/>
        </w:numPr>
        <w:spacing w:line="276" w:lineRule="auto"/>
        <w:rPr>
          <w:b w:val="0"/>
          <w:bCs w:val="0"/>
          <w:color w:val="000000"/>
        </w:rPr>
      </w:pPr>
      <w:r>
        <w:rPr>
          <w:b w:val="0"/>
          <w:bCs w:val="0"/>
          <w:color w:val="000000"/>
        </w:rPr>
        <w:t>GDS: Gerencia de Desarrollo de Sistemas</w:t>
      </w:r>
    </w:p>
    <w:p w14:paraId="251C5F4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IA: Inteligencia Artificial</w:t>
      </w:r>
    </w:p>
    <w:p w14:paraId="4C80FC8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0B6525BC" w14:textId="77777777" w:rsidR="00B10861" w:rsidRDefault="00000000">
      <w:pPr>
        <w:pStyle w:val="Prrafodelista"/>
        <w:numPr>
          <w:ilvl w:val="0"/>
          <w:numId w:val="18"/>
        </w:numPr>
        <w:spacing w:line="276" w:lineRule="auto"/>
        <w:rPr>
          <w:b w:val="0"/>
          <w:bCs w:val="0"/>
          <w:color w:val="000000"/>
        </w:rPr>
      </w:pPr>
      <w:r>
        <w:rPr>
          <w:b w:val="0"/>
          <w:bCs w:val="0"/>
          <w:color w:val="000000"/>
        </w:rPr>
        <w:t>INJA: Intendencia Nacional Jurídico Aduanera</w:t>
      </w:r>
    </w:p>
    <w:p w14:paraId="42654A7B" w14:textId="77777777" w:rsidR="00B10861" w:rsidRDefault="00000000">
      <w:pPr>
        <w:pStyle w:val="Prrafodelista"/>
        <w:numPr>
          <w:ilvl w:val="0"/>
          <w:numId w:val="18"/>
        </w:numPr>
        <w:spacing w:line="276" w:lineRule="auto"/>
        <w:rPr>
          <w:b w:val="0"/>
          <w:bCs w:val="0"/>
          <w:color w:val="000000"/>
        </w:rPr>
      </w:pPr>
      <w:r>
        <w:rPr>
          <w:b w:val="0"/>
          <w:bCs w:val="0"/>
          <w:color w:val="000000"/>
        </w:rPr>
        <w:t>INJT: Intendencia Nacional Jurídico Tributaria</w:t>
      </w:r>
    </w:p>
    <w:p w14:paraId="42E7187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36A2678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0F6A2E70"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77843F59"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277F302C" w14:textId="77777777" w:rsidR="00BA798A" w:rsidRDefault="00BA798A">
      <w:pPr>
        <w:pStyle w:val="Prrafodelista"/>
        <w:numPr>
          <w:ilvl w:val="0"/>
          <w:numId w:val="18"/>
        </w:numPr>
        <w:spacing w:line="276" w:lineRule="auto"/>
        <w:rPr>
          <w:b w:val="0"/>
          <w:bCs w:val="0"/>
          <w:color w:val="000000"/>
        </w:rPr>
      </w:pPr>
      <w:r>
        <w:rPr>
          <w:b w:val="0"/>
          <w:bCs w:val="0"/>
          <w:color w:val="000000"/>
          <w:highlight w:val="lightGray"/>
        </w:rPr>
        <w:t>METGEP: Metodología para la Gestión por Procesos</w:t>
      </w:r>
    </w:p>
    <w:p w14:paraId="5567BEC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 Aprendizaje automático (Machine Learning)</w:t>
      </w:r>
    </w:p>
    <w:p w14:paraId="080DE9DA"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MGPP: Modelo de Gobernabilidad de Programas y Proyectos</w:t>
      </w:r>
    </w:p>
    <w:p w14:paraId="18D10DB7"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2707DDD4" w14:textId="77777777" w:rsidR="00A402D8" w:rsidRPr="00A402D8" w:rsidRDefault="00A402D8">
      <w:pPr>
        <w:pStyle w:val="Prrafodelista"/>
        <w:numPr>
          <w:ilvl w:val="0"/>
          <w:numId w:val="18"/>
        </w:numPr>
        <w:spacing w:line="276" w:lineRule="auto"/>
        <w:rPr>
          <w:b w:val="0"/>
          <w:bCs w:val="0"/>
          <w:color w:val="000000"/>
          <w:highlight w:val="green"/>
        </w:rPr>
      </w:pPr>
      <w:r>
        <w:rPr>
          <w:b w:val="0"/>
          <w:bCs w:val="0"/>
          <w:color w:val="000000"/>
          <w:highlight w:val="green"/>
        </w:rPr>
        <w:t>OCDE: Organización para la Cooperación y el Desarrollo Económico</w:t>
      </w:r>
    </w:p>
    <w:p w14:paraId="73D5D84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6DD6A92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5F233DB7"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6603708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2D006C65"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44B1C83" w14:textId="77777777" w:rsidR="00577C4C" w:rsidRDefault="00577C4C">
      <w:pPr>
        <w:pStyle w:val="Prrafodelista"/>
        <w:numPr>
          <w:ilvl w:val="0"/>
          <w:numId w:val="18"/>
        </w:numPr>
        <w:spacing w:line="276" w:lineRule="auto"/>
        <w:rPr>
          <w:b w:val="0"/>
          <w:bCs w:val="0"/>
          <w:color w:val="000000"/>
        </w:rPr>
      </w:pPr>
      <w:r>
        <w:rPr>
          <w:b w:val="0"/>
          <w:bCs w:val="0"/>
          <w:color w:val="000000"/>
        </w:rPr>
        <w:t>OSI: Oficina de Seguridad Informática</w:t>
      </w:r>
    </w:p>
    <w:p w14:paraId="50917B72"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7839A48B"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566A6A6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4B8189E0"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PCM: Presidencia del Consejo de Ministros</w:t>
      </w:r>
    </w:p>
    <w:p w14:paraId="43932BA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7FFE278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543FC7B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2DDE084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9F17B18"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000C0AA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RS: Resolución de Superintendencia</w:t>
      </w:r>
    </w:p>
    <w:p w14:paraId="6900A43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8A7E69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C46CAFC" w14:textId="77777777" w:rsidR="00C733EA" w:rsidRDefault="00C733EA">
      <w:pPr>
        <w:pStyle w:val="Prrafodelista"/>
        <w:numPr>
          <w:ilvl w:val="0"/>
          <w:numId w:val="18"/>
        </w:numPr>
        <w:spacing w:line="276" w:lineRule="auto"/>
        <w:rPr>
          <w:b w:val="0"/>
          <w:bCs w:val="0"/>
          <w:color w:val="000000"/>
        </w:rPr>
      </w:pPr>
      <w:r>
        <w:rPr>
          <w:b w:val="0"/>
          <w:bCs w:val="0"/>
          <w:color w:val="000000"/>
        </w:rPr>
        <w:lastRenderedPageBreak/>
        <w:t>SGIA: Sistema de Gestión de Inteligencia Artificial</w:t>
      </w:r>
    </w:p>
    <w:p w14:paraId="02E5F6FF"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4B41591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2504D4DB" w14:textId="77777777" w:rsid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456690D4"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TDR: Términos de Referencia</w:t>
      </w:r>
    </w:p>
    <w:p w14:paraId="0ACEE27F"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TI: Tecnologías de la Información</w:t>
      </w:r>
    </w:p>
    <w:p w14:paraId="3DD3CE92"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TUO: Texto Único Ordenado</w:t>
      </w:r>
    </w:p>
    <w:p w14:paraId="01A885DE"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39244C6C"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949C9C"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precisando los compromisos establecidos en la Política de IA y observando la NTP-ISO/IEC 42001:2025 de uso obligatorio conforme al numeral 28.2 del artículo 28 del RLIA, para garantizar su alineamiento con la estrategia institucional, el cumplimiento del marco normativo vigente, la protección de los derechos de los administrados, la reserva tributaria y la seguridad de la información.</w:t>
      </w:r>
    </w:p>
    <w:p w14:paraId="2048D5A7" w14:textId="77777777" w:rsidR="00D443F8" w:rsidRDefault="00226840" w:rsidP="00226840">
      <w:pPr>
        <w:spacing w:after="60" w:line="276" w:lineRule="auto"/>
        <w:jc w:val="both"/>
        <w:rPr>
          <w:rFonts w:ascii="Arial" w:hAnsi="Arial" w:cs="Arial"/>
        </w:rPr>
      </w:pPr>
      <w:r>
        <w:rPr>
          <w:rFonts w:ascii="Arial" w:hAnsi="Arial" w:cs="Arial"/>
          <w:highlight w:val="green"/>
        </w:rPr>
        <w:t>La presente directiva regula la gestión de los SBIA solo en lo específico de la inteligencia artificial. No sustituye a los documentos normativos institucionales que regulan la gestión de proyectos, el desarrollo de sistemas, la gobernanza de datos, la seguridad de la información, las contrataciones y la gestión de las personas:</w:t>
      </w:r>
      <w:r>
        <w:rPr>
          <w:highlight w:val="green"/>
        </w:rPr>
        <w:t xml:space="preserve"> </w:t>
      </w:r>
      <w:r>
        <w:rPr>
          <w:rFonts w:ascii="Arial" w:hAnsi="Arial" w:cs="Arial"/>
          <w:highlight w:val="green"/>
        </w:rPr>
        <w:t>sobre ellos identifica lo que corresponde verificar respecto del componente de IA.</w:t>
      </w:r>
    </w:p>
    <w:p w14:paraId="25393E5D" w14:textId="77777777"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201A2F55" w14:textId="77777777"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Pr>
          <w:rFonts w:ascii="Arial" w:hAnsi="Arial" w:cs="Arial"/>
          <w:color w:val="000000"/>
          <w:highlight w:val="lightGray"/>
        </w:rPr>
        <w:t>Se exceptúa de su alcance al Órgano de Control Institucional, que se rige por las disposiciones del Sistema Nacional de Control.</w:t>
      </w:r>
    </w:p>
    <w:p w14:paraId="2796968A"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719EA9F"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184AC256"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070E184A"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42C68774"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55474C4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2B46F3A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5BFEF52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(01/05/2026), que aprueba la Estrategia Nacional de Inteligencia Artificial (ENIA) 2026-2030.</w:t>
      </w:r>
    </w:p>
    <w:p w14:paraId="5F10F4E6"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288FF9D1" w14:textId="77777777" w:rsidR="00EA5536" w:rsidRPr="00A402D8" w:rsidRDefault="00EA5536" w:rsidP="00EA5536">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366F8DB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Legislativo N.° 1412 (13/09/2018), que aprueba la Ley de Gobierno Digital, y sus modificatorias.</w:t>
      </w:r>
    </w:p>
    <w:p w14:paraId="709D31B9"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59896A89" w14:textId="77777777" w:rsidR="00A402D8" w:rsidRPr="00A402D8" w:rsidRDefault="00A402D8">
      <w:pPr>
        <w:pStyle w:val="Prrafodelista"/>
        <w:numPr>
          <w:ilvl w:val="1"/>
          <w:numId w:val="20"/>
        </w:numPr>
        <w:spacing w:line="276" w:lineRule="auto"/>
        <w:ind w:left="709" w:hanging="567"/>
        <w:rPr>
          <w:b w:val="0"/>
          <w:bCs w:val="0"/>
          <w:color w:val="000000"/>
          <w:highlight w:val="green"/>
        </w:rPr>
      </w:pPr>
      <w:r>
        <w:rPr>
          <w:b w:val="0"/>
          <w:bCs w:val="0"/>
          <w:color w:val="000000"/>
          <w:highlight w:val="green"/>
        </w:rPr>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07C8EC0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sus modificatorias aprobadas por Decreto Supremo N.° 075-2023-PCM y Decreto Supremo N.° 098-2025-PCM (31/07/2025).</w:t>
      </w:r>
    </w:p>
    <w:p w14:paraId="42129AD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ECBC21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49E2A45B"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016-2024-JUS (30/11/2024).</w:t>
      </w:r>
    </w:p>
    <w:p w14:paraId="16C81E63"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164281F3"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108013C8"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C83A498" w14:textId="77777777" w:rsidR="00F50B2B" w:rsidRPr="00F50B2B" w:rsidRDefault="00F50B2B" w:rsidP="00A154AA">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Superintendencia N.° 000159-2024/SUNAT (02/08/2024), que aprueba el Texto Integrado del Reglamento de Organización y Funciones de la Superintendencia Nacional de Aduanas y de Administración Tributaria - SUNAT (ROF).</w:t>
      </w:r>
    </w:p>
    <w:p w14:paraId="014E12E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2B378D18" w14:textId="77777777" w:rsidR="00524301" w:rsidRDefault="00524301"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000144-2026/SUNAT (30/07/2026), que aprueba la Política de uso seguro, responsable y ético de los sistemas basados en inteligencia artificial en la Superintendencia Nacional de Aduanas y de Administración Tributaria</w:t>
      </w:r>
      <w:r>
        <w:rPr>
          <w:rFonts w:asciiTheme="minorHAnsi" w:eastAsiaTheme="minorEastAsia" w:hAnsiTheme="minorHAnsi" w:cstheme="minorBidi"/>
          <w:b w:val="0"/>
          <w:bCs w:val="0"/>
        </w:rPr>
        <w:t xml:space="preserve">, </w:t>
      </w:r>
      <w:r>
        <w:rPr>
          <w:b w:val="0"/>
          <w:bCs w:val="0"/>
          <w:color w:val="000000"/>
          <w:highlight w:val="green"/>
        </w:rPr>
        <w:t>en adelante, la Política de IA.</w:t>
      </w:r>
    </w:p>
    <w:p w14:paraId="0D2CAA83" w14:textId="77777777" w:rsidR="00361346"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173-2018/SUNAT (13/07/2018), que aprueba los documentos de Política, Objetivos y Alcance del Sistema de Gestión de Seguridad de la Información de la SUNAT, entre ellos la Política de Seguridad de la Información (SGSI-PO-01).</w:t>
      </w:r>
    </w:p>
    <w:p w14:paraId="05962BF0" w14:textId="77777777" w:rsidR="00361346" w:rsidRPr="00641EAF"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050-2019/SUNAT (06/03/2019), que aprueba los documentos del Sistema de Gestión de Seguridad de la Información de la SUNAT, entre ellos el Manual de Políticas del Sistema de Gestión de Seguridad de la Información (SGSI-MA-03).</w:t>
      </w:r>
    </w:p>
    <w:p w14:paraId="6D2044D4" w14:textId="77777777" w:rsidR="0080359D" w:rsidRPr="00524301" w:rsidRDefault="0080359D" w:rsidP="00524301">
      <w:pPr>
        <w:pStyle w:val="Prrafodelista"/>
        <w:numPr>
          <w:ilvl w:val="1"/>
          <w:numId w:val="20"/>
        </w:numPr>
        <w:spacing w:line="276" w:lineRule="auto"/>
        <w:ind w:left="709" w:hanging="567"/>
        <w:rPr>
          <w:b w:val="0"/>
          <w:bCs w:val="0"/>
          <w:color w:val="000000"/>
          <w:highlight w:val="yellow"/>
        </w:rPr>
      </w:pPr>
      <w:r>
        <w:rPr>
          <w:b w:val="0"/>
          <w:bCs w:val="0"/>
          <w:color w:val="000000"/>
          <w:highlight w:val="yellow"/>
        </w:rPr>
        <w:t>Resolución de Oficina N.° 001-2024-SUNAT/1V0000 (16/12/2024), que aprueba la Metodología para la formulación, aprobación y control de los Documentos Normativos Institucionales (METDONI) Versión 1.4.</w:t>
      </w:r>
    </w:p>
    <w:p w14:paraId="09FD68C6" w14:textId="77777777" w:rsidR="00BA798A" w:rsidRDefault="00BA798A">
      <w:pPr>
        <w:pStyle w:val="Prrafodelista"/>
        <w:numPr>
          <w:ilvl w:val="1"/>
          <w:numId w:val="20"/>
        </w:numPr>
        <w:spacing w:line="276" w:lineRule="auto"/>
        <w:ind w:left="709" w:hanging="567"/>
        <w:rPr>
          <w:b w:val="0"/>
          <w:bCs w:val="0"/>
          <w:color w:val="000000"/>
          <w:highlight w:val="lightGray"/>
        </w:rPr>
      </w:pPr>
      <w:r>
        <w:rPr>
          <w:b w:val="0"/>
          <w:bCs w:val="0"/>
          <w:color w:val="000000"/>
          <w:highlight w:val="lightGray"/>
        </w:rPr>
        <w:lastRenderedPageBreak/>
        <w:t>Resolución de Oficina N.° 000002-2023-SUNAT/1V0000 (22/12/2023), que aprueba la Metodología para la Gestión por Procesos (METGEP) Versión 5.0.</w:t>
      </w:r>
    </w:p>
    <w:p w14:paraId="59A93770" w14:textId="77777777"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004-2019/SUNAT/1U0000 (02/09/2019), que aprueba los Principios de Arquitectura de TI.</w:t>
      </w:r>
    </w:p>
    <w:p w14:paraId="4BC0B6C7" w14:textId="77777777"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011-2019/SUNAT/1U0000 (21/10/2019), que aprueba los Lineamientos de Arquitectura de TI.</w:t>
      </w:r>
    </w:p>
    <w:p w14:paraId="3B30CA22" w14:textId="77777777" w:rsidR="00863A18" w:rsidRPr="00923C59" w:rsidRDefault="0033689D" w:rsidP="00B23382">
      <w:pPr>
        <w:spacing w:line="276" w:lineRule="auto"/>
        <w:rPr>
          <w:rFonts w:ascii="Arial" w:hAnsi="Arial" w:cs="Arial"/>
        </w:rPr>
      </w:pPr>
      <w:r>
        <w:rPr>
          <w:rFonts w:ascii="Arial" w:hAnsi="Arial" w:cs="Arial"/>
        </w:rPr>
        <w:br w:type="page"/>
      </w:r>
    </w:p>
    <w:p w14:paraId="59C74C06"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4DBC5B92"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E11BE43" w14:textId="77777777" w:rsidR="0033689D" w:rsidRPr="00923C59" w:rsidRDefault="0033689D">
      <w:pPr>
        <w:pStyle w:val="Prrafodelista"/>
        <w:numPr>
          <w:ilvl w:val="0"/>
          <w:numId w:val="8"/>
        </w:numPr>
        <w:spacing w:line="276" w:lineRule="auto"/>
        <w:rPr>
          <w:b w:val="0"/>
          <w:bCs w:val="0"/>
          <w:vanish/>
          <w:color w:val="000000"/>
        </w:rPr>
      </w:pPr>
    </w:p>
    <w:p w14:paraId="19BD0275"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03140E7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Sus etapas son las previstas en el numeral 6.1.1 de la presente directiva. [ISO/IEC 22989:2022, sección 3.2.1; NTP-ISO/IEC 42001:2025, Anexo A, A.6]</w:t>
      </w:r>
    </w:p>
    <w:p w14:paraId="337C6591" w14:textId="77777777" w:rsidR="0033689D"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de apoyo al CGTD encargado de preparar las evaluaciones, informes y propuestas en materia de gobierno de IA. Ejerce además las funciones de administración, supervisión y aprobación que la presente directiva le asigna. Cuenta con un Coordinador designado por el CGTD.</w:t>
      </w:r>
    </w:p>
    <w:p w14:paraId="46514032" w14:textId="77777777" w:rsidR="00AA0B3B" w:rsidRPr="00AA0B3B" w:rsidRDefault="00AA0B3B">
      <w:pPr>
        <w:pStyle w:val="Prrafodelista"/>
        <w:numPr>
          <w:ilvl w:val="1"/>
          <w:numId w:val="8"/>
        </w:numPr>
        <w:spacing w:after="0" w:line="276" w:lineRule="auto"/>
        <w:ind w:left="709" w:hanging="709"/>
        <w:rPr>
          <w:b w:val="0"/>
          <w:bCs w:val="0"/>
          <w:color w:val="000000"/>
          <w:highlight w:val="green"/>
        </w:rPr>
      </w:pPr>
      <w:r>
        <w:rPr>
          <w:color w:val="000000"/>
          <w:highlight w:val="green"/>
        </w:rPr>
        <w:t>Componente generativo:</w:t>
      </w:r>
      <w:r>
        <w:rPr>
          <w:b w:val="0"/>
          <w:bCs w:val="0"/>
          <w:color w:val="000000"/>
          <w:highlight w:val="green"/>
        </w:rPr>
        <w:t xml:space="preserve"> Parte de un SBIA que produce contenido nuevo —texto, código, imagen, audio o datos sintéticos— a partir de una instrucción o de un contexto, en lugar de clasificar, predecir o puntuar sobre datos ya existentes.</w:t>
      </w:r>
    </w:p>
    <w:p w14:paraId="3618AAD0" w14:textId="77777777" w:rsidR="0033689D"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Controles de contención (Guardrails):</w:t>
      </w:r>
      <w:r>
        <w:rPr>
          <w:b w:val="0"/>
          <w:bCs w:val="0"/>
          <w:color w:val="000000"/>
          <w:highlight w:val="green"/>
        </w:rPr>
        <w:t xml:space="preserve"> 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[NIST AI 600-1 (2024), sección 2.6; OWASP (2025), Top 10 for LLM Applications]</w:t>
      </w:r>
    </w:p>
    <w:p w14:paraId="6B5DAF92" w14:textId="77777777" w:rsidR="0045319E" w:rsidRPr="00171767" w:rsidRDefault="0045319E">
      <w:pPr>
        <w:pStyle w:val="Prrafodelista"/>
        <w:numPr>
          <w:ilvl w:val="1"/>
          <w:numId w:val="8"/>
        </w:numPr>
        <w:spacing w:after="0" w:line="276" w:lineRule="auto"/>
        <w:ind w:left="709" w:hanging="709"/>
        <w:rPr>
          <w:b w:val="0"/>
          <w:bCs w:val="0"/>
          <w:color w:val="000000"/>
          <w:highlight w:val="green"/>
        </w:rPr>
      </w:pPr>
      <w:r>
        <w:rPr>
          <w:color w:val="000000"/>
          <w:highlight w:val="green"/>
        </w:rPr>
        <w:t>Custodio técnico:</w:t>
      </w:r>
      <w:r>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0425753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C0E9E84"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Equipo Técnico de Datos e Inteligencia Artificial (ETDIA): </w:t>
      </w:r>
      <w:r>
        <w:rPr>
          <w:b w:val="0"/>
          <w:bCs w:val="0"/>
          <w:color w:val="000000"/>
        </w:rPr>
        <w:t>Equipo que la entidad pública constituye al aprobar su Plan de Acción de Inteligencia Artificial, cuya conformación aprueba el CGTD. Se distingue de la Comisión de Gobierno de IA y del equipo técnico multidisciplinario del numeral 6.1.6. [Resolución Ministerial N.° 152-2026-PCM, artículo 7]</w:t>
      </w:r>
    </w:p>
    <w:p w14:paraId="47E3F82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0FB30373" w14:textId="77777777" w:rsidR="00E67A73" w:rsidRPr="00AA0B3B" w:rsidRDefault="00000000">
      <w:pPr>
        <w:pStyle w:val="Prrafodelista"/>
        <w:numPr>
          <w:ilvl w:val="1"/>
          <w:numId w:val="8"/>
        </w:numPr>
        <w:spacing w:after="0" w:line="276" w:lineRule="auto"/>
        <w:ind w:left="709" w:hanging="709"/>
        <w:rPr>
          <w:b w:val="0"/>
          <w:bCs w:val="0"/>
          <w:color w:val="000000"/>
          <w:lang w:val="en-US"/>
        </w:rPr>
      </w:pPr>
      <w:r>
        <w:rPr>
          <w:color w:val="000000"/>
          <w:highlight w:val="yellow"/>
        </w:rPr>
        <w:t xml:space="preserve">Evaluación de Impacto Algorítmico (EIA): </w:t>
      </w:r>
      <w:r>
        <w:rPr>
          <w:b w:val="0"/>
          <w:bCs w:val="0"/>
          <w:color w:val="000000"/>
          <w:highlight w:val="yellow"/>
        </w:rPr>
        <w:t xml:space="preserve">Proceso sistemático y documentado para identificar, analizar y evaluar los riesgos y efectos potenciales que un SBIA </w:t>
      </w:r>
      <w:r>
        <w:rPr>
          <w:b w:val="0"/>
          <w:bCs w:val="0"/>
          <w:color w:val="000000"/>
          <w:highlight w:val="yellow"/>
        </w:rPr>
        <w:lastRenderedPageBreak/>
        <w:t xml:space="preserve">genera sobre los derechos de los administrados, previo a su desarrollo, adquisición o implementación. </w:t>
      </w:r>
      <w:r>
        <w:rPr>
          <w:b w:val="0"/>
          <w:bCs w:val="0"/>
          <w:color w:val="000000"/>
          <w:highlight w:val="yellow"/>
          <w:lang w:val="en-US"/>
        </w:rPr>
        <w:t>[D.S. N.° 115-2025-PCM, Art. 30; NTP-ISO/IEC 42001:2025, Anexo A, A.5.2]</w:t>
      </w:r>
    </w:p>
    <w:p w14:paraId="6198171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22BB803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Herramienta de IA: </w:t>
      </w:r>
      <w:r>
        <w:rPr>
          <w:b w:val="0"/>
          <w:bCs w:val="0"/>
          <w:color w:val="000000"/>
        </w:rPr>
        <w:t>Aplicación o servicio de propósito general que incorpora inteligencia artificial y que la SUNAT pone a disposición de sus colaboradores para apoyar su trabajo. No constituye un SBIA desarrollado o adquirido para un caso de uso institucional determinado. Se registra en el catálogo institucional previsto en el numeral 6.11.2.</w:t>
      </w:r>
    </w:p>
    <w:p w14:paraId="0E31845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1CADA07F"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Human-in-the-loop:</w:t>
      </w:r>
      <w:r>
        <w:rPr>
          <w:b w:val="0"/>
          <w:bCs w:val="0"/>
          <w:color w:val="000000"/>
        </w:rPr>
        <w:t xml:space="preserve"> Modelo de supervisión donde un ser humano interviene activamente en cada decisión del SBIA antes de su ejecución. </w:t>
      </w:r>
      <w:r>
        <w:rPr>
          <w:b w:val="0"/>
          <w:bCs w:val="0"/>
          <w:color w:val="000000"/>
          <w:lang w:val="en-US"/>
        </w:rPr>
        <w:t>[D.S. N.° 115-2025-PCM, Art. 7 lit. h); ISO/IEC 22989:2022, sección 3.4.3]</w:t>
      </w:r>
    </w:p>
    <w:p w14:paraId="4BF2DACA"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Human-on-the-loop:</w:t>
      </w:r>
      <w:r>
        <w:rPr>
          <w:b w:val="0"/>
          <w:bCs w:val="0"/>
          <w:color w:val="000000"/>
        </w:rPr>
        <w:t xml:space="preserve"> Modelo de supervisión donde un ser humano monitorea las operaciones del SBIA y puede intervenir ante anomalías. </w:t>
      </w:r>
      <w:r>
        <w:rPr>
          <w:b w:val="0"/>
          <w:bCs w:val="0"/>
          <w:color w:val="000000"/>
          <w:lang w:val="en-US"/>
        </w:rPr>
        <w:t>[D.S. N.° 115-2025-PCM, Art. 7 lit. h); ISO/IEC 22989:2022, sección 3.4.4]</w:t>
      </w:r>
    </w:p>
    <w:p w14:paraId="3EC04921"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 [D.S. N.° 115-2025-PCM, Art. 7 lit. h); Comisión Europea (2019), ALTAI]</w:t>
      </w:r>
    </w:p>
    <w:p w14:paraId="71C25758"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479DBB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092C83E5" w14:textId="77777777" w:rsidR="00594919" w:rsidRPr="00A15156" w:rsidRDefault="00000000">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Niveles de riesgo de un SBIA: </w:t>
      </w:r>
      <w:r>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0BCC9141" w14:textId="77777777"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Propietario del caso de uso: </w:t>
      </w:r>
      <w:r>
        <w:rPr>
          <w:b w:val="0"/>
          <w:bCs w:val="0"/>
          <w:color w:val="000000"/>
          <w:highlight w:val="green"/>
        </w:rPr>
        <w:t>Unidad de organización que, de acuerdo con sus competencias y funciones en el ROF, es el dueño del proceso en el que se identifica la necesidad a atender mediante un SBIA y que asume la responsabilidad funcional sobre sus resultados y sobre los riesgos derivados de su utilización durante todo su ciclo de vida. Se distingue del custodio técnico, definido en el presente glosario. [METGEP, numeral 4.9; METDONI, numeral 4.6; NTP-ISO/IEC 42001:2025, cláusula 5.3]</w:t>
      </w:r>
    </w:p>
    <w:p w14:paraId="41ED32C5" w14:textId="77777777"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lastRenderedPageBreak/>
        <w:t>Red Teaming:</w:t>
      </w:r>
      <w:r>
        <w:rPr>
          <w:b w:val="0"/>
          <w:bCs w:val="0"/>
          <w:color w:val="000000"/>
          <w:highlight w:val="green"/>
        </w:rPr>
        <w:t xml:space="preserve"> Práctica de seguridad ofensiva que simula ataques adversarios contra un SBIA para identificar vulnerabilidades y comportamientos no deseados, con anterioridad a su despliegue y durante su operación. [NIST AI 600-1 (2024), sección 2.7; OWASP (2025)]</w:t>
      </w:r>
    </w:p>
    <w:p w14:paraId="43C18655" w14:textId="77777777" w:rsidR="0033689D" w:rsidRPr="00DA7F56"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Reserva tributaria:</w:t>
      </w:r>
      <w:r>
        <w:rPr>
          <w:b w:val="0"/>
          <w:bCs w:val="0"/>
          <w:color w:val="000000"/>
          <w:highlight w:val="green"/>
        </w:rPr>
        <w:t xml:space="preserve"> 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terceros, así como a la tramitación de las denuncias a que se refiere el artículo 192 del mismo Código. Dicha información únicamente puede ser utilizada por la Administración Tributaria para sus fines propios y la obligación de reserva alcanza a 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p>
    <w:p w14:paraId="724B51C1"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w:t>
      </w:r>
      <w:r>
        <w:rPr>
          <w:b w:val="0"/>
          <w:bCs w:val="0"/>
          <w:color w:val="000000"/>
          <w:lang w:val="en-US"/>
        </w:rPr>
        <w:t>[Ley N.° 31814, Art. 2; D.S. N.° 115-2025-PCM, Art. 6 lit. j]</w:t>
      </w:r>
    </w:p>
    <w:p w14:paraId="4E8C4203"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que ocurre cuando un SBIA toma decisiones injustas, parciales o discriminatorias, debido a datos de entrenamiento, diseño del algoritmo o interacciones humanas sesgadas. [D.S. N.° 115-2025-PCM, artículo 6, literal e; ISO/IEC 22989:2022, sección 3.1.5; NIST SP 1270 (2022)]</w:t>
      </w:r>
    </w:p>
    <w:p w14:paraId="75CD5251"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60DBD679" w14:textId="77777777" w:rsidR="00E151B6" w:rsidRPr="00E151B6" w:rsidRDefault="00E151B6">
      <w:pPr>
        <w:pStyle w:val="Prrafodelista"/>
        <w:numPr>
          <w:ilvl w:val="1"/>
          <w:numId w:val="8"/>
        </w:numPr>
        <w:spacing w:after="0" w:line="276" w:lineRule="auto"/>
        <w:ind w:left="709" w:hanging="709"/>
        <w:rPr>
          <w:b w:val="0"/>
          <w:bCs w:val="0"/>
          <w:color w:val="000000"/>
          <w:highlight w:val="green"/>
        </w:rPr>
      </w:pPr>
      <w:r>
        <w:rPr>
          <w:color w:val="000000"/>
          <w:highlight w:val="green"/>
        </w:rPr>
        <w:t>Transparencia algorítmica:</w:t>
      </w:r>
      <w:r>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 la normativa sobre confidencialidad de la información aduanera y de la normativa de protección de datos personales. [D.S. N.° 115-2025-PCM, artículo 25]</w:t>
      </w:r>
    </w:p>
    <w:p w14:paraId="6CBFD345"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Uso irregular: </w:t>
      </w:r>
      <w:r>
        <w:rPr>
          <w:b w:val="0"/>
          <w:bCs w:val="0"/>
          <w:color w:val="000000"/>
        </w:rPr>
        <w:t>Empleo de un SBIA por quienes lo operan o interactúan con él en forma incompatible con su finalidad registrada o con la operación normal del proceso. Se distingue del uso indebido del artículo 23 del RLIA, que es una categoría de clasificación del SBIA. Se detecta conforme al numeral 6.10.6.</w:t>
      </w:r>
    </w:p>
    <w:p w14:paraId="1618ECD0"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541AD05" w14:textId="77777777" w:rsidR="00A46D47" w:rsidRPr="00923C59" w:rsidRDefault="00A46D47" w:rsidP="00A46D47">
      <w:pPr>
        <w:pStyle w:val="SubtituloDONI"/>
        <w:spacing w:line="276" w:lineRule="auto"/>
        <w:ind w:left="851"/>
      </w:pPr>
      <w:r>
        <w:t>5.1</w:t>
      </w:r>
      <w:r>
        <w:tab/>
        <w:t>De los principios para el Gobierno de IA</w:t>
      </w:r>
    </w:p>
    <w:p w14:paraId="53978144"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rectores establecidos en el artículo 7 del RLIA y a los compromisos de la </w:t>
      </w:r>
      <w:r>
        <w:rPr>
          <w:rFonts w:ascii="Arial" w:hAnsi="Arial" w:cs="Arial"/>
          <w:highlight w:val="yellow"/>
        </w:rPr>
        <w:t>Política de IA</w:t>
      </w:r>
      <w:r>
        <w:rPr>
          <w:rFonts w:ascii="Arial" w:eastAsia="Arial" w:hAnsi="Arial" w:cs="Arial"/>
          <w:color w:val="000000"/>
        </w:rPr>
        <w:t>, en concordancia con la ENIA.</w:t>
      </w:r>
    </w:p>
    <w:p w14:paraId="7646EF7B" w14:textId="77777777" w:rsidR="00025734" w:rsidRPr="00025734" w:rsidRDefault="00A46D47" w:rsidP="00A46D47">
      <w:pPr>
        <w:spacing w:after="60" w:line="276" w:lineRule="auto"/>
        <w:ind w:left="1276" w:hanging="720"/>
        <w:jc w:val="both"/>
        <w:rPr>
          <w:rFonts w:ascii="Arial" w:hAnsi="Arial" w:cs="Arial"/>
          <w:color w:val="000000"/>
          <w:highlight w:val="lightGray"/>
        </w:rPr>
      </w:pPr>
      <w:r>
        <w:rPr>
          <w:rFonts w:ascii="Arial" w:hAnsi="Arial" w:cs="Arial"/>
          <w:color w:val="000000"/>
          <w:highlight w:val="lightGray"/>
        </w:rPr>
        <w:t>5.1.2</w:t>
      </w:r>
      <w:r>
        <w:rPr>
          <w:rFonts w:ascii="Arial" w:hAnsi="Arial" w:cs="Arial"/>
          <w:color w:val="000000"/>
          <w:highlight w:val="lightGray"/>
        </w:rPr>
        <w:tab/>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A5E4376"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2D4ED06C"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439E8ECF"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RLIA y la presente directiva establecen con carácter obligatorio para cada categoría de riesgo.</w:t>
      </w:r>
    </w:p>
    <w:p w14:paraId="34D9714B" w14:textId="77777777" w:rsidR="00863A18" w:rsidRPr="00923C59" w:rsidRDefault="00863A18" w:rsidP="00B23382">
      <w:pPr>
        <w:pStyle w:val="SubtituloDONI"/>
        <w:spacing w:line="276" w:lineRule="auto"/>
        <w:ind w:left="851"/>
      </w:pPr>
      <w:r>
        <w:t>5.2</w:t>
      </w:r>
      <w:r>
        <w:tab/>
        <w:t>De la función de Gobierno de Inteligencia Artificial</w:t>
      </w:r>
    </w:p>
    <w:p w14:paraId="14DC18C6"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SBIA estratégicos para la entidad. La calificación de estratégico corresponde al CGTD. Se efectúa a más tardar en el acto de aprobación de la clasificación de riesgo y consta en el acuerdo respectivo.</w:t>
      </w:r>
    </w:p>
    <w:p w14:paraId="5AAF2531" w14:textId="77777777" w:rsidR="00E34945" w:rsidRDefault="00E34945" w:rsidP="00E34945">
      <w:pPr>
        <w:pStyle w:val="SubtituloDONI"/>
        <w:spacing w:line="276" w:lineRule="auto"/>
        <w:ind w:left="851"/>
      </w:pPr>
      <w:r>
        <w:t>5.3</w:t>
      </w:r>
      <w:r>
        <w:tab/>
        <w:t>De la Comisión de Gobierno de IA</w:t>
      </w:r>
    </w:p>
    <w:p w14:paraId="0C32AAA9"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5.3.1</w:t>
      </w:r>
      <w:r>
        <w:rPr>
          <w:rFonts w:ascii="Arial" w:eastAsia="Arial" w:hAnsi="Arial" w:cs="Arial"/>
          <w:color w:val="000000"/>
          <w:highlight w:val="green"/>
        </w:rPr>
        <w:tab/>
        <w:t>Para el ejercicio efectivo de la función de gobierno de IA, el CGTD cuenta con la Comisión de Gobierno de IA, instancia de apoyo encargada de preparar las evaluaciones, los informes y las propuestas que el CGTD requiera para la toma de decisiones en materia de IA, y de ejercer las funciones de administración, supervisión y aprobación que la presente directiva le asigna. La Comisión de Gobierno de IA es coordinada por un Coordinador designado por el CGTD.</w:t>
      </w:r>
    </w:p>
    <w:p w14:paraId="0EC9D16A" w14:textId="77777777"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t>Las funciones de la Comisión de Gobierno de IA, en apoyo al CGTD, se definen en el numeral 5.4 y en las disposiciones específicas de la presente directiva.</w:t>
      </w:r>
    </w:p>
    <w:p w14:paraId="6F7395F0" w14:textId="77777777" w:rsidR="00863A18" w:rsidRPr="00923C59" w:rsidRDefault="00863A18" w:rsidP="00B23382">
      <w:pPr>
        <w:pStyle w:val="SubtituloDONI"/>
        <w:spacing w:line="276" w:lineRule="auto"/>
        <w:ind w:left="851"/>
      </w:pPr>
      <w:r>
        <w:t>5.4</w:t>
      </w:r>
      <w:r>
        <w:tab/>
        <w:t>De los roles y responsabilidades</w:t>
      </w:r>
    </w:p>
    <w:p w14:paraId="404C0E80"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49E5CDB1"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0D51725"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lastRenderedPageBreak/>
              <w:t>Instancias de Gobierno de IA</w:t>
            </w:r>
          </w:p>
        </w:tc>
      </w:tr>
      <w:tr w:rsidR="00A009CE" w:rsidRPr="00923C59" w14:paraId="74B9D89A"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010E4AF"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321B7D5"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F96514D"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3E77C188"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B77FDD"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B0F4C3"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AAAE82"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53F5B0FA"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13935B69"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172696E6"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w:t>
            </w:r>
            <w:r>
              <w:rPr>
                <w:b w:val="0"/>
                <w:bCs w:val="0"/>
              </w:rPr>
              <w:t>.</w:t>
            </w:r>
          </w:p>
        </w:tc>
      </w:tr>
      <w:tr w:rsidR="0081311B" w:rsidRPr="00923C59" w14:paraId="43D14FB6"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485F4B"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7C6E67"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A43B0F" w14:textId="77777777" w:rsidR="00CA74AD" w:rsidRPr="00CA74AD" w:rsidRDefault="00CA74AD"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Lidera, dirige, evalúa y supervisa los proyectos de SBIA estratégicos para la entidad, conforme al numeral 5.2.1.</w:t>
            </w:r>
          </w:p>
          <w:p w14:paraId="217A9FE5" w14:textId="77777777" w:rsidR="00CA74AD"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 xml:space="preserve">Aprueba la clasificación de riesgo de todos los SBIA conforme al numeral 6.2.2: de manera individual en los de riesgo alto y en los estratégicos para la entidad, y de manera agregada en los demás de riesgo aceptable. </w:t>
            </w:r>
          </w:p>
          <w:p w14:paraId="7854C7F7" w14:textId="77777777" w:rsidR="002840F0" w:rsidRPr="002840F0"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Aprueba los casos de uso y el Plan de Acción de Inteligencia Artificial, conforme al numeral 7.11.</w:t>
            </w:r>
          </w:p>
          <w:p w14:paraId="67883C46" w14:textId="77777777" w:rsidR="007B626B" w:rsidRDefault="0081311B" w:rsidP="007B626B">
            <w:pPr>
              <w:pStyle w:val="Prrafodelista"/>
              <w:numPr>
                <w:ilvl w:val="0"/>
                <w:numId w:val="13"/>
              </w:numPr>
              <w:spacing w:before="20" w:after="20" w:line="276" w:lineRule="auto"/>
              <w:ind w:left="267" w:hanging="267"/>
              <w:jc w:val="left"/>
              <w:rPr>
                <w:b w:val="0"/>
                <w:bCs w:val="0"/>
              </w:rPr>
            </w:pPr>
            <w:r>
              <w:rPr>
                <w:b w:val="0"/>
                <w:bCs w:val="0"/>
              </w:rPr>
              <w:t>Aprueba la EIA de SBIA de riesgo alto.</w:t>
            </w:r>
          </w:p>
          <w:p w14:paraId="707D38D8" w14:textId="77777777" w:rsidR="007B626B" w:rsidRPr="007B626B" w:rsidRDefault="007B626B" w:rsidP="007B626B">
            <w:pPr>
              <w:pStyle w:val="Prrafodelista"/>
              <w:numPr>
                <w:ilvl w:val="0"/>
                <w:numId w:val="13"/>
              </w:numPr>
              <w:spacing w:before="20" w:after="20" w:line="276" w:lineRule="auto"/>
              <w:ind w:left="267" w:hanging="267"/>
              <w:jc w:val="left"/>
              <w:rPr>
                <w:highlight w:val="green"/>
              </w:rPr>
            </w:pPr>
            <w:r>
              <w:rPr>
                <w:b w:val="0"/>
                <w:bCs w:val="0"/>
                <w:highlight w:val="green"/>
              </w:rPr>
              <w:t>Verifica la causal y resuelve sobre el componente de IA cuando la Comisión de Gobierno de IA emite pronunciamiento no favorable, en los casos y con el alcance previstos en el numeral 6.1.4.</w:t>
            </w:r>
          </w:p>
          <w:p w14:paraId="0EFABA7F" w14:textId="77777777" w:rsidR="0081311B" w:rsidRPr="00923C59" w:rsidRDefault="0081311B" w:rsidP="007B626B">
            <w:pPr>
              <w:pStyle w:val="Prrafodelista"/>
              <w:numPr>
                <w:ilvl w:val="0"/>
                <w:numId w:val="13"/>
              </w:numPr>
              <w:spacing w:before="20" w:after="20" w:line="276" w:lineRule="auto"/>
              <w:ind w:left="267" w:hanging="267"/>
              <w:jc w:val="left"/>
            </w:pPr>
            <w:r>
              <w:rPr>
                <w:b w:val="0"/>
                <w:bCs w:val="0"/>
                <w:highlight w:val="green"/>
              </w:rPr>
              <w:t>Revisa los informes trimestrales de la Comisión de Gobierno de IA.</w:t>
            </w:r>
          </w:p>
        </w:tc>
      </w:tr>
      <w:tr w:rsidR="008E63B0" w:rsidRPr="00923C59" w14:paraId="020343E3"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EBCE16" w14:textId="77777777" w:rsidR="008E63B0" w:rsidRDefault="008E63B0" w:rsidP="00B23382">
            <w:pPr>
              <w:spacing w:before="20" w:after="20" w:line="276" w:lineRule="auto"/>
              <w:rPr>
                <w:rFonts w:ascii="Arial" w:eastAsia="Arial" w:hAnsi="Arial" w:cs="Arial"/>
                <w:b/>
                <w:bCs/>
              </w:rPr>
            </w:pPr>
            <w:r>
              <w:rPr>
                <w:rFonts w:ascii="Arial" w:eastAsia="Arial" w:hAnsi="Arial" w:cs="Arial"/>
                <w:b/>
                <w:bCs/>
              </w:rPr>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4DFB15" w14:textId="77777777"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A62D5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 xml:space="preserve">Preparar la propuesta del Plan de Acción de Inteligencia Artificial y sus </w:t>
            </w:r>
            <w:r>
              <w:rPr>
                <w:b w:val="0"/>
                <w:bCs w:val="0"/>
              </w:rPr>
              <w:lastRenderedPageBreak/>
              <w:t>actualizaciones, conforme al numeral 7.11.</w:t>
            </w:r>
          </w:p>
          <w:p w14:paraId="28266535"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Evaluar el componente de IA de las iniciativas, requerimientos y proyectos que propongan las unidades de organización,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64056CBB"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Pr>
                <w:b w:val="0"/>
                <w:bCs w:val="0"/>
                <w:highlight w:val="green"/>
              </w:rPr>
              <w:t>Proponer la clasificación de riesgo de cada SBIA, previo al inicio del desarrollo o adquisición, y elevar al CGTD la relación de las propuestas de riesgo aceptable para su aprobación agregada; la aprobación corresponde conforme al numeral 6.2.2.</w:t>
            </w:r>
          </w:p>
          <w:p w14:paraId="3F2930E7" w14:textId="77777777" w:rsidR="008E63B0" w:rsidRPr="008E63B0" w:rsidRDefault="008E63B0" w:rsidP="00DE4308">
            <w:pPr>
              <w:pStyle w:val="Prrafodelista"/>
              <w:numPr>
                <w:ilvl w:val="0"/>
                <w:numId w:val="13"/>
              </w:numPr>
              <w:spacing w:before="0" w:after="60" w:line="276" w:lineRule="auto"/>
              <w:ind w:left="269" w:hanging="269"/>
              <w:jc w:val="left"/>
              <w:rPr>
                <w:b w:val="0"/>
                <w:bCs w:val="0"/>
              </w:rPr>
            </w:pPr>
            <w:r>
              <w:rPr>
                <w:b w:val="0"/>
                <w:bCs w:val="0"/>
                <w:highlight w:val="cyan"/>
              </w:rPr>
              <w:t>Asegurar el cumplimiento del Gobierno de IA en la SUNAT.</w:t>
            </w:r>
          </w:p>
          <w:p w14:paraId="2A45E822"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cyan"/>
              </w:rPr>
              <w:t>Revisar las evaluaciones de impacto algorítmico y elevarlas al CGTD para su aprobación, conforme al numeral 6.4.2.</w:t>
            </w:r>
          </w:p>
          <w:p w14:paraId="56E72E80"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Administrar el Inventario Institucional de SBIA.</w:t>
            </w:r>
          </w:p>
          <w:p w14:paraId="7DEFCFA5"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Supervisar el cumplimiento de los hitos de aprobación del ciclo de vida de los SBIA y consolidar los informes de monitoreo, verificación técnica de seguridad e incidentes para conocimiento del CGTD.</w:t>
            </w:r>
          </w:p>
          <w:p w14:paraId="73FDE366"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 xml:space="preserve">Aprobar los hitos del ciclo de vida que le corresponden conforme al </w:t>
            </w:r>
            <w:r>
              <w:rPr>
                <w:b w:val="0"/>
                <w:bCs w:val="0"/>
                <w:highlight w:val="green"/>
              </w:rPr>
              <w:lastRenderedPageBreak/>
              <w:t>numeral 6.1.2 y el ciclo de vida simplificado de los SBIA de riesgo aceptable.</w:t>
            </w:r>
          </w:p>
          <w:p w14:paraId="6E09C700"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el plan de monitoreo de cada SBIA conforme al numeral 6.10.1 y emitir la conformidad del mecanismo de supervisión humana prevista en el numeral 6.6.2.</w:t>
            </w:r>
          </w:p>
          <w:p w14:paraId="08242A16"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Proponer lineamientos técnicos complementarios en materia de gobierno de IA y coordinar la articulación con la SGTD.</w:t>
            </w:r>
          </w:p>
          <w:p w14:paraId="6E6F54CC"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yellow"/>
              </w:rPr>
              <w:t>Administrar y centralizar la evaluación de los riesgos de los SBIA.</w:t>
            </w:r>
          </w:p>
          <w:p w14:paraId="401508E6" w14:textId="77777777" w:rsidR="008E63B0" w:rsidRDefault="008E63B0" w:rsidP="008E63B0">
            <w:pPr>
              <w:pStyle w:val="Prrafodelista"/>
              <w:numPr>
                <w:ilvl w:val="0"/>
                <w:numId w:val="13"/>
              </w:numPr>
              <w:spacing w:before="20" w:after="20" w:line="276" w:lineRule="auto"/>
              <w:ind w:left="273" w:hanging="273"/>
              <w:jc w:val="left"/>
              <w:rPr>
                <w:b w:val="0"/>
                <w:bCs w:val="0"/>
              </w:rPr>
            </w:pPr>
            <w:r>
              <w:rPr>
                <w:b w:val="0"/>
                <w:bCs w:val="0"/>
                <w:highlight w:val="cyan"/>
              </w:rPr>
              <w:t>Convocar a otras unidades de organización y a especialistas adicionales según la materia y la complejidad del caso de uso.</w:t>
            </w:r>
          </w:p>
        </w:tc>
      </w:tr>
    </w:tbl>
    <w:p w14:paraId="52501742" w14:textId="77777777" w:rsidR="00B34A74" w:rsidRDefault="00B34A74" w:rsidP="00A46D47">
      <w:pPr>
        <w:pStyle w:val="SubtituloDONI"/>
        <w:spacing w:line="276" w:lineRule="auto"/>
        <w:ind w:left="851"/>
      </w:pPr>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3D0F35F7" w14:textId="77777777" w:rsidTr="003D4DEA">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59916DE" w14:textId="77777777" w:rsidR="00B34A74" w:rsidRDefault="00B34A74" w:rsidP="003D4DEA">
            <w:pPr>
              <w:spacing w:before="20" w:after="20" w:line="276" w:lineRule="auto"/>
              <w:rPr>
                <w:rFonts w:ascii="Arial" w:eastAsia="Arial" w:hAnsi="Arial" w:cs="Arial"/>
                <w:b/>
                <w:bCs/>
              </w:rPr>
            </w:pPr>
            <w:r>
              <w:rPr>
                <w:rFonts w:ascii="Arial" w:eastAsia="Arial" w:hAnsi="Arial" w:cs="Arial"/>
                <w:b/>
                <w:bCs/>
              </w:rPr>
              <w:t>Integrantes de la Comisión de Gobierno de IA</w:t>
            </w:r>
          </w:p>
        </w:tc>
      </w:tr>
      <w:tr w:rsidR="00B34A74" w:rsidRPr="00923C59" w14:paraId="61DEE535" w14:textId="77777777" w:rsidTr="003D4DEA">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B960D1D"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681D6D9" w14:textId="77777777" w:rsidR="00B34A74" w:rsidRPr="00923C59" w:rsidRDefault="00B34A74" w:rsidP="003D4DEA">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E1BF6FC"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Responsabilidades</w:t>
            </w:r>
          </w:p>
        </w:tc>
      </w:tr>
      <w:tr w:rsidR="00B34A74" w14:paraId="0374076E"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0BFCEB"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F294F8" w14:textId="77777777" w:rsidR="00B34A74" w:rsidRDefault="00B34A74" w:rsidP="003D4DEA">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49C083"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p w14:paraId="7A6B5A4C"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 xml:space="preserve">Supervisa y evalúa que los modelos y algoritmos de los SBIA de riesgo alto cumplan los estándares de calidad y ética aplicables, conforme al numeral 6.5 del artículo 6 de la Resolución Ministerial N.° 152-2026-PCM. La ejerce en coordinación con las unidades de organización y con los propietarios de los casos de uso, </w:t>
            </w:r>
            <w:r>
              <w:rPr>
                <w:b w:val="0"/>
                <w:bCs w:val="0"/>
              </w:rPr>
              <w:lastRenderedPageBreak/>
              <w:t>y se apoya en las verificaciones previstas en los numerales 6.10.3 y 6.14.</w:t>
            </w:r>
          </w:p>
        </w:tc>
      </w:tr>
      <w:tr w:rsidR="00B34A74" w14:paraId="61C84ECF"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4DB725" w14:textId="77777777" w:rsidR="00B34A74" w:rsidRDefault="00B34A74" w:rsidP="003D4DEA">
            <w:pPr>
              <w:spacing w:after="0" w:line="276" w:lineRule="auto"/>
            </w:pPr>
            <w:r>
              <w:rPr>
                <w:rFonts w:ascii="Arial" w:eastAsia="Arial" w:hAnsi="Arial" w:cs="Arial"/>
                <w:b/>
                <w:bCs/>
                <w:color w:val="000000"/>
              </w:rPr>
              <w:lastRenderedPageBreak/>
              <w:t>Oficial de</w:t>
            </w:r>
          </w:p>
          <w:p w14:paraId="6177B20C" w14:textId="77777777" w:rsidR="00B34A74" w:rsidRPr="00923C59" w:rsidRDefault="00B34A74" w:rsidP="003D4DEA">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7F66B9F"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8B96DD"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D278FE7"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6729C680"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43663" w14:textId="77777777" w:rsidR="00B34A74" w:rsidRDefault="00B34A74" w:rsidP="003D4DEA">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274FFA"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3405C3"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58CDB872"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06F2B81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B11B94" w14:textId="77777777" w:rsidR="00B34A74" w:rsidRDefault="00B34A74" w:rsidP="003D4DEA">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BD900"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40C5D8" w14:textId="77777777" w:rsidR="00B34A74" w:rsidRDefault="00E51968" w:rsidP="003D4DEA">
            <w:pPr>
              <w:pStyle w:val="Prrafodelista"/>
              <w:numPr>
                <w:ilvl w:val="0"/>
                <w:numId w:val="14"/>
              </w:numPr>
              <w:spacing w:before="20" w:after="20" w:line="276" w:lineRule="auto"/>
              <w:ind w:left="299" w:hanging="283"/>
              <w:jc w:val="left"/>
              <w:rPr>
                <w:b w:val="0"/>
                <w:bCs w:val="0"/>
              </w:rPr>
            </w:pPr>
            <w:r>
              <w:rPr>
                <w:b w:val="0"/>
                <w:bCs w:val="0"/>
                <w:color w:val="000000"/>
                <w:highlight w:val="green"/>
              </w:rPr>
              <w:t xml:space="preserve">En materia de seguridad digital: asegura y supervisa la adopción de los estándares y normas técnicas de seguridad de la información cuando la INSI desarrolla, adquiere o terceriza SBIA. Propone las medidas de gestión de riesgos de seguridad de la información aplicables a los SBIA. Comunica al Centro Nacional de Seguridad Digital (CNSD) los incidentes de seguridad digital que involucren un SBIA y los informa a la máxima autoridad administrativa de la entidad, conforme a la Directiva N.° 001-2023-PCM/SGTD. Informa al </w:t>
            </w:r>
            <w:r>
              <w:rPr>
                <w:b w:val="0"/>
                <w:bCs w:val="0"/>
                <w:color w:val="000000"/>
                <w:highlight w:val="green"/>
              </w:rPr>
              <w:lastRenderedPageBreak/>
              <w:t>CGTD los que resulten críticos. Cuando un SBIA constituya un activo de información de un proceso comprendido en el alcance del SGSI, coordina la aplicación de los controles que correspondan.</w:t>
            </w:r>
          </w:p>
        </w:tc>
      </w:tr>
      <w:tr w:rsidR="00B34A74" w14:paraId="127F3D70"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8C8B1E"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C1CC0D" w14:textId="77777777" w:rsidR="00B34A74" w:rsidRPr="00923C59" w:rsidRDefault="00B34A74" w:rsidP="003D4DEA">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BDD382"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4067F253"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EC83AA8"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4E834B3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64B5A6"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99717A" w14:textId="77777777" w:rsidR="00B34A74" w:rsidRPr="00923C59" w:rsidRDefault="00B34A74" w:rsidP="003D4DEA">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A33CCC"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76603207" w14:textId="77777777" w:rsidR="00B34A74" w:rsidRPr="00834FEE" w:rsidRDefault="00B34A74" w:rsidP="003D4DEA">
            <w:pPr>
              <w:pStyle w:val="Prrafodelista"/>
              <w:numPr>
                <w:ilvl w:val="0"/>
                <w:numId w:val="15"/>
              </w:numPr>
              <w:spacing w:before="20" w:after="20" w:line="276" w:lineRule="auto"/>
              <w:ind w:left="299" w:hanging="283"/>
              <w:jc w:val="left"/>
              <w:rPr>
                <w:b w:val="0"/>
                <w:bCs w:val="0"/>
                <w:highlight w:val="green"/>
              </w:rPr>
            </w:pPr>
            <w:r>
              <w:rPr>
                <w:b w:val="0"/>
                <w:bCs w:val="0"/>
                <w:highlight w:val="yellow"/>
              </w:rPr>
              <w:t xml:space="preserve">Asesora sobre el cumplimiento normativo de los SBIA. </w:t>
            </w:r>
            <w:r>
              <w:rPr>
                <w:b w:val="0"/>
                <w:bCs w:val="0"/>
                <w:highlight w:val="green"/>
              </w:rPr>
              <w:t>Revisa la EIA en materia de cumplimiento normativo. Cuando la revisión comprenda el sentido y el alcance de las normas tributarias o aduaneras, se pronuncia la Intendencia Nacional Jurídico Tributaria o la Intendencia Nacional Jurídico Aduanera, según la materia, a convocatoria de la Comisión de Gobierno de IA.</w:t>
            </w:r>
          </w:p>
          <w:p w14:paraId="636C212A"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lastRenderedPageBreak/>
              <w:t xml:space="preserve">Emite opinión previa sobre contratos con proveedores internacionales de IA. </w:t>
            </w:r>
          </w:p>
          <w:p w14:paraId="46413461" w14:textId="77777777" w:rsidR="00B34A74"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Absuelve las consultas legales sobre IA que no versen sobre materias de competencia de la Intendencia Nacional Jurídico Tributaria o de la Intendencia Nacional Jurídico Aduanera, conforme al artículo 55 del ROF.</w:t>
            </w:r>
          </w:p>
        </w:tc>
      </w:tr>
      <w:tr w:rsidR="00B34A74" w14:paraId="66A7D25F"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DE8B4D4"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6DDF91" w14:textId="77777777" w:rsidR="00B34A74" w:rsidRPr="00923C59" w:rsidRDefault="00B34A74" w:rsidP="003D4DEA">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267A25" w14:textId="77777777" w:rsid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 xml:space="preserve">Efectúa el análisis de riesgo y las pruebas de vulnerabilidad sobre la arquitectura de aplicaciones, de información y de infraestructura tecnológica que soporta los SBIA, conforme al literal b) del artículo 106 del ROF. </w:t>
            </w:r>
          </w:p>
          <w:p w14:paraId="4428A752" w14:textId="77777777" w:rsidR="00B34A74" w:rsidRP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Evalúa y propone los requisitos de seguridad de los SBIA, conforme al literal e) del mismo artículo (OSI).</w:t>
            </w:r>
          </w:p>
        </w:tc>
      </w:tr>
      <w:tr w:rsidR="00B34A74" w14:paraId="18DB8D75"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3E81B1"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0254D2" w14:textId="77777777" w:rsidR="00B34A74" w:rsidRPr="00923C59" w:rsidRDefault="00B34A74" w:rsidP="003D4DEA">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7CB6E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7B80D796"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7E405A7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E6DA3" w14:textId="77777777" w:rsidR="00B34A74" w:rsidRPr="00923C59" w:rsidRDefault="00B34A74" w:rsidP="003D4DEA">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50DF88" w14:textId="77777777" w:rsidR="00B34A74" w:rsidRPr="00923C59" w:rsidRDefault="00B34A74" w:rsidP="003D4DEA">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9C2BAA" w14:textId="77777777" w:rsidR="00B34A74" w:rsidRPr="00B34A74" w:rsidRDefault="00B34A74" w:rsidP="003D4DEA">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2E43E8A2" w14:textId="77777777" w:rsidR="00B34A74" w:rsidRDefault="00951287" w:rsidP="003D4DEA">
            <w:pPr>
              <w:pStyle w:val="Prrafodelista"/>
              <w:numPr>
                <w:ilvl w:val="0"/>
                <w:numId w:val="16"/>
              </w:numPr>
              <w:spacing w:before="20" w:after="20" w:line="276" w:lineRule="auto"/>
              <w:ind w:left="299" w:hanging="283"/>
              <w:jc w:val="left"/>
              <w:rPr>
                <w:b w:val="0"/>
                <w:bCs w:val="0"/>
              </w:rPr>
            </w:pPr>
            <w:r>
              <w:rPr>
                <w:b w:val="0"/>
                <w:bCs w:val="0"/>
                <w:highlight w:val="green"/>
              </w:rPr>
              <w:t>Asegura que los SBIA se incorporen al Plan de Sistemas de la INSI, que elabora la División de Gestión de Procesos de Sistemas conforme al literal a) del artículo 112 del ROF.</w:t>
            </w:r>
          </w:p>
        </w:tc>
      </w:tr>
      <w:tr w:rsidR="00B34A74" w14:paraId="694734A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AF88C"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 xml:space="preserve">Integración de programas y </w:t>
            </w:r>
            <w:r>
              <w:rPr>
                <w:rFonts w:ascii="Arial" w:eastAsia="Arial" w:hAnsi="Arial" w:cs="Arial"/>
                <w:b/>
                <w:bCs/>
                <w:highlight w:val="yellow"/>
              </w:rPr>
              <w:lastRenderedPageBreak/>
              <w:t>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7DD59F" w14:textId="77777777" w:rsidR="00B34A74" w:rsidRDefault="00B34A74" w:rsidP="003D4DEA">
            <w:pPr>
              <w:spacing w:before="20" w:after="20" w:line="276" w:lineRule="auto"/>
              <w:rPr>
                <w:rFonts w:ascii="Arial" w:hAnsi="Arial" w:cs="Arial"/>
              </w:rPr>
            </w:pPr>
            <w:r>
              <w:rPr>
                <w:rFonts w:ascii="Arial" w:eastAsia="Arial" w:hAnsi="Arial" w:cs="Arial"/>
                <w:highlight w:val="yellow"/>
              </w:rPr>
              <w:lastRenderedPageBreak/>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790888" w14:textId="77777777" w:rsidR="0029383A" w:rsidRPr="0029383A" w:rsidRDefault="0029383A"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 xml:space="preserve">Promueve un enfoque holístico, sistemático y con sinergia en el </w:t>
            </w:r>
            <w:r>
              <w:rPr>
                <w:b w:val="0"/>
                <w:bCs w:val="0"/>
                <w:highlight w:val="yellow"/>
              </w:rPr>
              <w:lastRenderedPageBreak/>
              <w:t>desarrollo del caso de negocio de las iniciativas de SBIA.</w:t>
            </w:r>
          </w:p>
          <w:p w14:paraId="38492618" w14:textId="77777777" w:rsidR="00B34A74" w:rsidRPr="0029383A" w:rsidRDefault="00B34A74"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la reusabilidad de las soluciones tecnológicas en el desarrollo del caso de negocio de los SBIA.</w:t>
            </w:r>
          </w:p>
        </w:tc>
      </w:tr>
      <w:tr w:rsidR="00B34A74" w14:paraId="3CF7033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BBB742E" w14:textId="77777777" w:rsidR="00B34A74" w:rsidRPr="005B30EE" w:rsidRDefault="005B30EE" w:rsidP="003D4DEA">
            <w:pPr>
              <w:spacing w:before="20" w:after="20" w:line="276" w:lineRule="auto"/>
              <w:rPr>
                <w:rFonts w:ascii="Arial" w:hAnsi="Arial" w:cs="Arial"/>
                <w:highlight w:val="lightGray"/>
              </w:rPr>
            </w:pPr>
            <w:r>
              <w:rPr>
                <w:rFonts w:ascii="Arial" w:eastAsia="Arial" w:hAnsi="Arial" w:cs="Arial"/>
                <w:b/>
                <w:bCs/>
                <w:highlight w:val="lightGray"/>
              </w:rPr>
              <w:lastRenderedPageBreak/>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650B8A" w14:textId="77777777" w:rsidR="00B34A74" w:rsidRPr="005B30EE" w:rsidRDefault="005B30EE" w:rsidP="003D4DEA">
            <w:pPr>
              <w:spacing w:before="20" w:after="20" w:line="276" w:lineRule="auto"/>
              <w:rPr>
                <w:rFonts w:ascii="Arial" w:hAnsi="Arial" w:cs="Arial"/>
                <w:highlight w:val="lightGray"/>
              </w:rPr>
            </w:pPr>
            <w:r>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78664D" w14:textId="77777777" w:rsid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 xml:space="preserve">En materia de negocio: aporta a la Comisión de Gobierno de IA la visión del ámbito de la Superintendencia Nacional Adjunta que lo designa. </w:t>
            </w:r>
          </w:p>
          <w:p w14:paraId="61F98883" w14:textId="77777777" w:rsidR="00B34A74" w:rsidRP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Contribuye a la evaluación del componente de IA con el conocimiento operativo de los procesos de dicho ámbito y de su impacto en los administrados. Su participación es permanente y no sustituye la del propietario del caso de uso, a quien la Comisión convoca cuando se evalúa un caso de uso de su proceso.</w:t>
            </w:r>
          </w:p>
        </w:tc>
      </w:tr>
      <w:tr w:rsidR="003D4DEA" w14:paraId="7346B5E1" w14:textId="77777777" w:rsidTr="003D4DEA">
        <w:tc>
          <w:tcPr>
            <w:tcW w:w="8080" w:type="dxa"/>
            <w:gridSpan w:val="3"/>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6B428DCC" w14:textId="77777777" w:rsidR="003D4DEA" w:rsidRPr="003D4DEA" w:rsidRDefault="003D4DEA" w:rsidP="003D4DEA">
            <w:pPr>
              <w:spacing w:before="20" w:after="20" w:line="276" w:lineRule="auto"/>
              <w:jc w:val="both"/>
              <w:rPr>
                <w:highlight w:val="yellow"/>
              </w:rPr>
            </w:pPr>
            <w:r>
              <w:rPr>
                <w:rFonts w:ascii="Arial" w:eastAsia="Arial" w:hAnsi="Arial" w:cs="Arial"/>
                <w:b/>
                <w:bCs/>
              </w:rPr>
              <w:t>Otras unidades de organización con responsabilidad en el gobierno de IA</w:t>
            </w:r>
          </w:p>
        </w:tc>
      </w:tr>
      <w:tr w:rsidR="00B34A74" w14:paraId="5EAE178A"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BC72CB"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8CD1E7" w14:textId="77777777" w:rsidR="00B34A74" w:rsidRDefault="00B34A74" w:rsidP="003D4DEA">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5D640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Supervisa la formulación y actualización de las estrategias de gestión de recursos humanos relacionadas con la adopción y el uso de los SBIA, y las propone, conforme al literal a) del artículo 197 del ROF.</w:t>
            </w:r>
          </w:p>
          <w:p w14:paraId="54D2797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Conduce el proceso de elaboración de las acciones de sensibilización, concientización y capacitación en IA, diferenciadas por grupos de uso de SBIA, y eleva la propuesta para su aprobación, conforme al literal f) del artículo 197 del ROF.</w:t>
            </w:r>
          </w:p>
          <w:p w14:paraId="2989C04A"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 xml:space="preserve">Promueve la adopción de la inteligencia artificial en el ámbito de </w:t>
            </w:r>
            <w:r>
              <w:rPr>
                <w:b w:val="0"/>
                <w:bCs w:val="0"/>
                <w:highlight w:val="yellow"/>
              </w:rPr>
              <w:lastRenderedPageBreak/>
              <w:t>las personas, conforme al numeral 6.13.3.</w:t>
            </w:r>
          </w:p>
          <w:p w14:paraId="24A2A15D"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0E153565"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r w:rsidR="00B10861" w14:paraId="4A7909D3" w14:textId="77777777">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C9FDA5" w14:textId="77777777" w:rsidR="00B10861" w:rsidRDefault="00000000">
            <w:pPr>
              <w:spacing w:before="20" w:after="20" w:line="276" w:lineRule="auto"/>
              <w:rPr>
                <w:rFonts w:ascii="Arial" w:hAnsi="Arial" w:cs="Arial"/>
              </w:rPr>
            </w:pPr>
            <w:r>
              <w:rPr>
                <w:rFonts w:ascii="Arial" w:eastAsia="Arial" w:hAnsi="Arial" w:cs="Arial"/>
                <w:b/>
                <w:bCs/>
              </w:rPr>
              <w:lastRenderedPageBreak/>
              <w:t>Interpretación normativa tributaria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148E16" w14:textId="77777777" w:rsidR="00B10861" w:rsidRDefault="00000000">
            <w:pPr>
              <w:spacing w:before="20" w:after="20" w:line="276" w:lineRule="auto"/>
              <w:rPr>
                <w:rFonts w:ascii="Arial" w:hAnsi="Arial" w:cs="Arial"/>
              </w:rPr>
            </w:pPr>
            <w:r>
              <w:rPr>
                <w:rFonts w:ascii="Arial" w:eastAsia="Arial" w:hAnsi="Arial" w:cs="Arial"/>
              </w:rPr>
              <w:t>INJT</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9BD874"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Interpreta, con carácter vinculante, el sentido y el alcance de las normas tributarias, conforme al artículo 362 del ROF.</w:t>
            </w:r>
          </w:p>
          <w:p w14:paraId="1BCBBABA"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Emite opinión legal vinculante sobre las consultas que le formulan las unidades de organización en las materias de su competencia, conforme al literal c) del artículo 363 del ROF.</w:t>
            </w:r>
          </w:p>
          <w:p w14:paraId="71C72A37"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La Comisión de Gobierno de IA la convoca conforme a los numerales 6.4.2, 6.7.8 y 6.8.3.</w:t>
            </w:r>
          </w:p>
          <w:p w14:paraId="00AB661D"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La Gerencia de Arquitectura solicita su opinión conforme al numeral 6.5.8.</w:t>
            </w:r>
          </w:p>
        </w:tc>
      </w:tr>
      <w:tr w:rsidR="00B10861" w14:paraId="5CEFD7CC" w14:textId="77777777">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7AD2B3" w14:textId="77777777" w:rsidR="00B10861" w:rsidRDefault="00000000">
            <w:pPr>
              <w:spacing w:before="20" w:after="20" w:line="276" w:lineRule="auto"/>
              <w:rPr>
                <w:rFonts w:ascii="Arial" w:hAnsi="Arial" w:cs="Arial"/>
              </w:rPr>
            </w:pPr>
            <w:r>
              <w:rPr>
                <w:rFonts w:ascii="Arial" w:eastAsia="Arial" w:hAnsi="Arial" w:cs="Arial"/>
                <w:b/>
                <w:bCs/>
              </w:rPr>
              <w:t>Interpretación normativa aduanera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F1E350" w14:textId="77777777" w:rsidR="00B10861" w:rsidRDefault="00000000">
            <w:pPr>
              <w:spacing w:before="20" w:after="20" w:line="276" w:lineRule="auto"/>
              <w:rPr>
                <w:rFonts w:ascii="Arial" w:hAnsi="Arial" w:cs="Arial"/>
              </w:rPr>
            </w:pPr>
            <w:r>
              <w:rPr>
                <w:rFonts w:ascii="Arial" w:eastAsia="Arial" w:hAnsi="Arial" w:cs="Arial"/>
              </w:rPr>
              <w:t>INJA</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AA3613"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Interpreta, con carácter vinculante, el sentido y el alcance de las normas en materia aduanera, conforme al artículo 453 del ROF.</w:t>
            </w:r>
          </w:p>
          <w:p w14:paraId="00E951B8"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Emite opinión legal vinculante y absuelve las consultas que le formulan las unidades de organización en las materias de su competencia, conforme a los literales c) y d) del artículo 454 del ROF.</w:t>
            </w:r>
          </w:p>
          <w:p w14:paraId="11F0B904"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 xml:space="preserve">Cuando la materia tenga incidencia tributaria, coordina con la Intendencia Nacional Jurídico </w:t>
            </w:r>
            <w:r>
              <w:rPr>
                <w:b w:val="0"/>
                <w:bCs w:val="0"/>
              </w:rPr>
              <w:lastRenderedPageBreak/>
              <w:t>Tributaria, conforme al literal c) del citado artículo.</w:t>
            </w:r>
          </w:p>
          <w:p w14:paraId="5AF698A2"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La Comisión de Gobierno de IA la convoca conforme a los numerales 6.4.2, 6.7.8 y 6.8.3.</w:t>
            </w:r>
          </w:p>
          <w:p w14:paraId="414A5D73"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La Gerencia de Arquitectura solicita su opinión conforme al numeral 6.5.8.</w:t>
            </w:r>
          </w:p>
        </w:tc>
      </w:tr>
    </w:tbl>
    <w:p w14:paraId="783690D6" w14:textId="77777777" w:rsidR="00863A18" w:rsidRPr="00923C59" w:rsidRDefault="003D4DEA" w:rsidP="00B23382">
      <w:pPr>
        <w:pStyle w:val="Ttulo1"/>
        <w:spacing w:line="276" w:lineRule="auto"/>
        <w:rPr>
          <w:rFonts w:cs="Arial"/>
          <w:szCs w:val="22"/>
        </w:rPr>
      </w:pPr>
      <w:bookmarkStart w:id="6" w:name="_Toc235003966"/>
      <w:r>
        <w:rPr>
          <w:rFonts w:cs="Arial"/>
          <w:bCs/>
          <w:color w:val="000000"/>
          <w:szCs w:val="22"/>
        </w:rPr>
        <w:lastRenderedPageBreak/>
        <w:br w:type="textWrapping" w:clear="all"/>
        <w:t>DISPOSICIONES ESPECÍFICAS</w:t>
      </w:r>
      <w:bookmarkEnd w:id="6"/>
    </w:p>
    <w:p w14:paraId="605F58E0"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44E18262" w14:textId="77777777" w:rsidR="00863A18" w:rsidRPr="00923C59" w:rsidRDefault="00863A18" w:rsidP="00B23382">
      <w:pPr>
        <w:pStyle w:val="SubtituloDONI"/>
        <w:spacing w:line="276" w:lineRule="auto"/>
        <w:ind w:left="851"/>
      </w:pPr>
      <w:r>
        <w:t>6.1</w:t>
      </w:r>
      <w:r>
        <w:tab/>
        <w:t>Del ciclo de vida de los SBIA</w:t>
      </w:r>
    </w:p>
    <w:p w14:paraId="1A53D0DB" w14:textId="77777777"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r>
      <w:r>
        <w:rPr>
          <w:rFonts w:ascii="Arial" w:eastAsia="Arial" w:hAnsi="Arial" w:cs="Arial"/>
          <w:color w:val="000000"/>
          <w:highlight w:val="green"/>
        </w:rPr>
        <w:t>Todo SBIA en la SUNAT sigue un ciclo de vida gestionado, con las etapas y los hitos propios del componente de IA que se detallan a continuación. Este ciclo no sustituye ni duplica a los instrumentos institucionales que regulan la gestión de proyectos y el desarrollo de sistemas: se apoya en las conformidades que las unidades de organización competentes emiten conforme a ellos y añade únicamente lo que es propio de la 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6"/>
        <w:gridCol w:w="2431"/>
      </w:tblGrid>
      <w:tr w:rsidR="00E950CF" w:rsidRPr="00923C59" w14:paraId="67C088D0"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C802093"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A6E7806"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AFF691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36FEC1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29FCF659"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D93B0"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27B802"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CADBD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1EE3A"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 xml:space="preserve">La etapa concluye con la presentación a la Comisión de Gobierno de IA de la Ficha de Evaluación de Caso de Uso. La Ficha se presenta suscrita por el propietario del caso de uso y con el visto bueno del titular de su unidad de organización, conforme a la Sección 6 del Anexo N.° 4. La etapa no comporta hito </w:t>
            </w:r>
            <w:r>
              <w:rPr>
                <w:rFonts w:ascii="Arial" w:eastAsia="Arial" w:hAnsi="Arial" w:cs="Arial"/>
                <w:highlight w:val="green"/>
              </w:rPr>
              <w:lastRenderedPageBreak/>
              <w:t>de aprobación: la evaluación del componente de IA y la aprobación corresponden a la etapa 2.</w:t>
            </w:r>
          </w:p>
        </w:tc>
      </w:tr>
      <w:tr w:rsidR="00E950CF" w:rsidRPr="00923C59" w14:paraId="704C0EE7"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836E8D"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F63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D71B90" w14:textId="77777777" w:rsidR="00E67A73" w:rsidRPr="00DE4308" w:rsidRDefault="0054144C" w:rsidP="00DE4308">
            <w:pPr>
              <w:spacing w:before="20" w:after="20" w:line="276" w:lineRule="auto"/>
              <w:rPr>
                <w:rFonts w:ascii="Arial" w:hAnsi="Arial" w:cs="Arial"/>
                <w:highlight w:val="green"/>
              </w:rPr>
            </w:pPr>
            <w:r>
              <w:rPr>
                <w:rFonts w:ascii="Arial" w:eastAsia="Arial" w:hAnsi="Arial" w:cs="Arial"/>
                <w:highlight w:val="green"/>
              </w:rPr>
              <w:t>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492CE4"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Aprobación del caso de uso y de su clasificación de riesgo por el CGTD, en un solo acto y conforme a los numerales 6.1.2 y 6.2.2. En los SBIA de riesgo aceptable, el CGTD puede adoptar esa aprobación de manera agregada, conforme al numeral 6.2.2.</w:t>
            </w:r>
          </w:p>
        </w:tc>
      </w:tr>
      <w:tr w:rsidR="00E950CF" w:rsidRPr="00923C59" w14:paraId="4942F71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E4994C"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D9C94F"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0CA73A" w14:textId="77777777" w:rsidR="00E67A73" w:rsidRDefault="0045319E">
            <w:pPr>
              <w:spacing w:before="20" w:after="20" w:line="276" w:lineRule="auto"/>
              <w:rPr>
                <w:rFonts w:ascii="Arial" w:hAnsi="Arial" w:cs="Arial"/>
              </w:rPr>
            </w:pPr>
            <w:r>
              <w:rPr>
                <w:rFonts w:ascii="Arial" w:eastAsia="Arial" w:hAnsi="Arial" w:cs="Arial"/>
                <w:highlight w:val="green"/>
              </w:rPr>
              <w:t>La Gerencia de Arquitectura conduce el diseño de la arquitectura del SBIA y las Divisiones de Arquitectura lo elaboran, conforme al numeral 6.5.1.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783982" w14:textId="77777777" w:rsidR="00E67A73" w:rsidRDefault="0045319E">
            <w:pPr>
              <w:spacing w:before="20" w:after="20" w:line="276" w:lineRule="auto"/>
              <w:rPr>
                <w:rFonts w:ascii="Arial" w:hAnsi="Arial" w:cs="Arial"/>
              </w:rPr>
            </w:pPr>
            <w:r>
              <w:rPr>
                <w:rFonts w:ascii="Arial" w:eastAsia="Arial" w:hAnsi="Arial" w:cs="Arial"/>
                <w:highlight w:val="green"/>
              </w:rPr>
              <w:t>Aprobación del diseño de la arquitectura de solución por la División de Arquitectura competente según la materia, conforme al numeral 6.5.4. Para SBIA de riesgo alto, aprobación de la EIA por el CGTD, previa al inicio del desarrollo, adquisición o implementación.</w:t>
            </w:r>
          </w:p>
        </w:tc>
      </w:tr>
      <w:tr w:rsidR="00E950CF" w:rsidRPr="00923C59" w14:paraId="074EA391"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0EC092" w14:textId="77777777" w:rsidR="00E950CF" w:rsidRPr="00923C59" w:rsidRDefault="00E950CF" w:rsidP="00B23382">
            <w:pPr>
              <w:spacing w:before="20" w:after="20" w:line="276" w:lineRule="auto"/>
              <w:rPr>
                <w:rFonts w:ascii="Arial" w:hAnsi="Arial" w:cs="Arial"/>
              </w:rPr>
            </w:pPr>
            <w:r>
              <w:rPr>
                <w:rFonts w:ascii="Arial" w:eastAsia="Arial" w:hAnsi="Arial" w:cs="Arial"/>
              </w:rPr>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FE5AE2"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172A1" w14:textId="77777777" w:rsidR="00E67A73" w:rsidRDefault="00236A5F">
            <w:pPr>
              <w:spacing w:before="20" w:after="20" w:line="276" w:lineRule="auto"/>
              <w:rPr>
                <w:rFonts w:ascii="Arial" w:hAnsi="Arial" w:cs="Arial"/>
              </w:rPr>
            </w:pPr>
            <w:r>
              <w:rPr>
                <w:rFonts w:ascii="Arial" w:eastAsia="Arial" w:hAnsi="Arial" w:cs="Arial"/>
                <w:highlight w:val="green"/>
              </w:rPr>
              <w:t xml:space="preserve">Las gerencias competentes de la INSI ejecutan el desarrollo del SBIA o gestionan su adquisición. La Oficina de Seguridad Informática evalúa y propone los requisitos de seguridad del SBIA, </w:t>
            </w:r>
            <w:r>
              <w:rPr>
                <w:rFonts w:ascii="Arial" w:eastAsia="Arial" w:hAnsi="Arial" w:cs="Arial"/>
                <w:highlight w:val="green"/>
              </w:rPr>
              <w:lastRenderedPageBreak/>
              <w:t>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C78539"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 xml:space="preserve">En desarrollo interno: Conformidad de Gerencia de Desarrollo de Sistemas (INSI). En adquisición: Conformidad de la </w:t>
            </w:r>
            <w:r>
              <w:rPr>
                <w:rFonts w:ascii="Arial" w:eastAsia="Arial" w:hAnsi="Arial" w:cs="Arial"/>
              </w:rPr>
              <w:lastRenderedPageBreak/>
              <w:t>gerencia INSI responsable.</w:t>
            </w:r>
          </w:p>
        </w:tc>
      </w:tr>
      <w:tr w:rsidR="00E950CF" w:rsidRPr="00923C59" w14:paraId="6E1F67D4"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5AC91"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1A2E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64F6C0"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5AD162" w14:textId="77777777" w:rsidR="00E67A73" w:rsidRPr="00FA4DEA" w:rsidRDefault="00FA4DEA">
            <w:pPr>
              <w:spacing w:before="20" w:after="20" w:line="276" w:lineRule="auto"/>
              <w:rPr>
                <w:rFonts w:ascii="Arial" w:hAnsi="Arial" w:cs="Arial"/>
                <w:highlight w:val="green"/>
              </w:rPr>
            </w:pPr>
            <w:r>
              <w:rPr>
                <w:rFonts w:ascii="Arial" w:hAnsi="Arial" w:cs="Arial"/>
                <w:highlight w:val="green"/>
              </w:rPr>
              <w:t xml:space="preserve">La Gerencia de Calidad de Sistemas conduce el control y aseguramiento de la calidad y la División de Control de Calidad efectúa la verificación y validación de la calidad, conforme al numeral 6.10.3. La Oficina de Seguridad Informática efectúa el análisis de riesgo y las pruebas de vulnerabilidad sobre la arquitectura de aplicaciones, de información y de infraestructura tecnológica que soporta el SBIA, incluido el red teaming para riesgo alto, y verifica la implementación de los requisitos de seguridad propuestos en la etapa anterior. El propietario del caso de </w:t>
            </w:r>
            <w:r>
              <w:rPr>
                <w:rFonts w:ascii="Arial" w:hAnsi="Arial" w:cs="Arial"/>
                <w:highlight w:val="green"/>
              </w:rPr>
              <w:lastRenderedPageBreak/>
              <w:t>uso verifica la implementación del mecanismo de supervisión humana conforme al numeral 6.6.2. La Comisión de Gobierno de IA verifica la implementación de los controles, del mecanismo de supervisión humana y de las medidas frente al sesgo, conforme a los numerales 6.2.5, 6.6.2 y 6.6.4. Asimismo, aprueba el plan de monitoreo del SBIA conforme al numeral 6.10.1. La aprobación requiere la conformidad de la División de Control de Calidad, de la Oficina de Seguridad Informática, del propietario del caso de uso y de la Comisión de Gobierno de IA. La titularidad de la aprobación se determina conforme al numeral 6.1.2.</w:t>
            </w:r>
          </w:p>
        </w:tc>
      </w:tr>
      <w:tr w:rsidR="00E950CF" w:rsidRPr="00923C59" w14:paraId="7AACF123"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DF17F1"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64FFF"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579C23"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DD4E4" w14:textId="77777777" w:rsidR="0018147B" w:rsidRPr="00FA4DEA" w:rsidRDefault="00FA4DEA">
            <w:pPr>
              <w:spacing w:before="20" w:after="20" w:line="276" w:lineRule="auto"/>
              <w:rPr>
                <w:rFonts w:ascii="Arial" w:hAnsi="Arial" w:cs="Arial"/>
                <w:highlight w:val="green"/>
              </w:rPr>
            </w:pPr>
            <w:r>
              <w:rPr>
                <w:rFonts w:ascii="Arial" w:eastAsia="Arial" w:hAnsi="Arial" w:cs="Arial"/>
                <w:highlight w:val="green"/>
              </w:rPr>
              <w:t>Aprobación de la puesta en producción por la División de Control de Calidad, conforme al literal c) del artículo 126 del ROF.</w:t>
            </w:r>
          </w:p>
        </w:tc>
      </w:tr>
      <w:tr w:rsidR="00E950CF" w:rsidRPr="00923C59" w14:paraId="03BC3E70"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BC266"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4DB87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AA9F46" w14:textId="77777777" w:rsidR="00E67A73" w:rsidRDefault="00000000">
            <w:pPr>
              <w:spacing w:before="20" w:after="20" w:line="276" w:lineRule="auto"/>
              <w:rPr>
                <w:rFonts w:ascii="Arial" w:hAnsi="Arial" w:cs="Arial"/>
              </w:rPr>
            </w:pPr>
            <w:r>
              <w:rPr>
                <w:rFonts w:ascii="Arial" w:eastAsia="Arial" w:hAnsi="Arial" w:cs="Arial"/>
                <w:highlight w:val="yellow"/>
              </w:rPr>
              <w:t xml:space="preserve">El SBIA opera bajo la supervisión humana y el monitoreo previstos en los numerales 6.6 y 6.10. Los </w:t>
            </w:r>
            <w:r>
              <w:rPr>
                <w:rFonts w:ascii="Arial" w:eastAsia="Arial" w:hAnsi="Arial" w:cs="Arial"/>
                <w:highlight w:val="yellow"/>
              </w:rPr>
              <w:lastRenderedPageBreak/>
              <w:t>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AD0597"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Revisiones periódicas según nivel de riesgo.</w:t>
            </w:r>
          </w:p>
        </w:tc>
      </w:tr>
      <w:tr w:rsidR="00E950CF" w:rsidRPr="00923C59" w14:paraId="308F5E4D"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B3F439"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AD2EF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F0522F"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DD0C8"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07217B0E" w14:textId="77777777" w:rsidR="00E950CF" w:rsidRPr="00923C59" w:rsidRDefault="00E950CF" w:rsidP="00B23382">
      <w:pPr>
        <w:spacing w:after="60" w:line="276" w:lineRule="auto"/>
        <w:jc w:val="both"/>
        <w:rPr>
          <w:rFonts w:ascii="Arial" w:eastAsia="Arial" w:hAnsi="Arial" w:cs="Arial"/>
          <w:color w:val="000000"/>
        </w:rPr>
      </w:pPr>
    </w:p>
    <w:p w14:paraId="2A7A7BB7" w14:textId="77777777" w:rsidR="00E67A73" w:rsidRDefault="00000000" w:rsidP="00D443F8">
      <w:pPr>
        <w:spacing w:after="60" w:line="276" w:lineRule="auto"/>
        <w:ind w:left="1276" w:hanging="720"/>
        <w:jc w:val="both"/>
        <w:rPr>
          <w:rFonts w:ascii="Arial" w:eastAsia="Arial" w:hAnsi="Arial" w:cs="Arial"/>
          <w:color w:val="000000"/>
        </w:rPr>
      </w:pPr>
      <w:r>
        <w:rPr>
          <w:rFonts w:ascii="Arial" w:hAnsi="Arial" w:cs="Arial"/>
          <w:color w:val="000000"/>
          <w:highlight w:val="green"/>
        </w:rPr>
        <w:t>6.1.2</w:t>
      </w:r>
      <w:r>
        <w:rPr>
          <w:rFonts w:ascii="Arial" w:hAnsi="Arial" w:cs="Arial"/>
          <w:color w:val="000000"/>
          <w:highlight w:val="green"/>
        </w:rPr>
        <w:tab/>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t xml:space="preserve"> </w:t>
      </w:r>
      <w:r>
        <w:rPr>
          <w:rFonts w:ascii="Arial" w:hAnsi="Arial" w:cs="Arial"/>
          <w:color w:val="000000"/>
          <w:highlight w:val="green"/>
        </w:rPr>
        <w:t>Esta regla no alcanza a la aprobación del caso de uso y de su clasificación de riesgo, prevista en la etapa 2 del numeral 6.1.1, que corresponde al CGTD en todos los casos conforme al numeral 6.2.2. La Comisión informa al CGTD de las aprobaciones que otorga. En los SBIA de riesgo alto, todas las etapas e hitos son obligatorios. En los SBIA de riesgo aceptable, la Comisión de Gobierno de IA puede aprobar un ciclo de vida simplificado y documentado, proporcional a la naturaleza y a la magnitud del SBIA.</w:t>
      </w:r>
    </w:p>
    <w:p w14:paraId="37E8D4BA"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r>
      <w:r>
        <w:rPr>
          <w:rFonts w:ascii="Arial" w:eastAsia="Arial" w:hAnsi="Arial" w:cs="Arial"/>
          <w:color w:val="000000"/>
          <w:highlight w:val="green"/>
        </w:rPr>
        <w:t>Los SBIA SaaS (enfoque A) siguen un ciclo de vida abreviado, que comprende cuando menos: el registro en el Inventario Institucional de SBIA, la clasificación de riesgo conforme al numeral 6.2 y las verificaciones previstas en el numeral 6.12.3.</w:t>
      </w:r>
      <w:r>
        <w:t xml:space="preserve"> </w:t>
      </w:r>
      <w:r>
        <w:rPr>
          <w:rFonts w:ascii="Arial" w:eastAsia="Arial" w:hAnsi="Arial" w:cs="Arial"/>
          <w:color w:val="000000"/>
          <w:highlight w:val="green"/>
        </w:rPr>
        <w:t>La abreviación alcanza a las etapas del ciclo de vida y no a las obligaciones que la presente directiva impone a todo SBIA conforme a su clasificación de riesgo. Este ciclo abreviado se distingue del ciclo de vida simplificado del numeral 6.1.2, que la Comisión de Gobierno de IA puede aprobar para los SBIA de riesgo aceptable cualquiera sea su enfoque. El alcance de las etapas del ciclo abreviado se desarrolla en la metodología prevista en el numeral 6.1.5.</w:t>
      </w:r>
    </w:p>
    <w:p w14:paraId="7A35B4B7" w14:textId="77777777" w:rsidR="00D443F8" w:rsidRDefault="00000000" w:rsidP="00A84BB6">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6.1.4</w:t>
      </w:r>
      <w:r>
        <w:rPr>
          <w:rFonts w:ascii="Arial" w:eastAsia="Arial" w:hAnsi="Arial" w:cs="Arial"/>
          <w:color w:val="000000"/>
          <w:highlight w:val="green"/>
        </w:rPr>
        <w:tab/>
        <w:t xml:space="preserve">El pronunciamiento de la Comisión de Gobierno de IA en los hitos del ciclo de vida recae sobre el componente de IA, conforme al numeral 6.15.1. Cuando la Ficha de Evaluación de Caso de Uso (Anexo N.° 4) no contiene la información necesaria para pronunciarse, la Comisión acompaña al propietario del caso de uso a completarla y se pronuncia una vez que la recibe. La falta de información no es causal de pronunciamiento no favorable. La Comisión otorga al propietario del caso de uso un plazo para completarla. Vencido el plazo sin que la información se complete, la Comisión eleva el caso al CGTD para que disponga lo que corresponda. El pronunciamiento no favorable se fundamenta por escrito y se eleva al CGTD. Cuando invoca el uso indebido o una </w:t>
      </w:r>
      <w:r>
        <w:rPr>
          <w:rFonts w:ascii="Arial" w:eastAsia="Arial" w:hAnsi="Arial" w:cs="Arial"/>
          <w:color w:val="000000"/>
          <w:highlight w:val="green"/>
        </w:rPr>
        <w:lastRenderedPageBreak/>
        <w:t>contravención normativa, el CGTD verifica la causal y, si concurre, deja constancia en acta de que el caso de uso no procede. Cuando invoca que el resultado esperado se alcanza sin inteligencia artificial, el CGTD resuelve en acta si el caso de uso continúa con el componente de IA o sin él.</w:t>
      </w:r>
    </w:p>
    <w:p w14:paraId="7962C5D1" w14:textId="77777777" w:rsidR="00E67A73" w:rsidRDefault="00000000" w:rsidP="00D443F8">
      <w:pPr>
        <w:spacing w:after="60" w:line="276" w:lineRule="auto"/>
        <w:ind w:left="1276" w:hanging="720"/>
        <w:jc w:val="both"/>
        <w:rPr>
          <w:rFonts w:ascii="Arial" w:hAnsi="Arial" w:cs="Arial"/>
          <w:color w:val="000000"/>
        </w:rPr>
      </w:pPr>
      <w:r>
        <w:rPr>
          <w:rFonts w:ascii="Arial" w:hAnsi="Arial" w:cs="Arial"/>
          <w:color w:val="000000"/>
          <w:highlight w:val="lightGray"/>
        </w:rPr>
        <w:t>6.1.5</w:t>
      </w:r>
      <w:r>
        <w:rPr>
          <w:rFonts w:ascii="Arial" w:hAnsi="Arial" w:cs="Arial"/>
          <w:color w:val="000000"/>
          <w:highlight w:val="lightGray"/>
        </w:rPr>
        <w:tab/>
        <w:t xml:space="preserve">La INSI desarrolla y aprueba, conforme a sus competencias, a la METDONI y al numeral 7.6, la metodología del ciclo de vida del SBIA previsto en el numeral 6.1.1. </w:t>
      </w:r>
      <w:r>
        <w:rPr>
          <w:rFonts w:ascii="Arial" w:hAnsi="Arial" w:cs="Arial"/>
          <w:color w:val="000000"/>
          <w:highlight w:val="green"/>
        </w:rPr>
        <w:t xml:space="preserve">Por comprender actuaciones a cargo de unidades de organización distintas de la INSI, su formulación recoge los aportes de dichas unidades y de la Comisión de Gobierno de IA, que la INSI solicita. El proyecto se somete a la validación de la Comisión de Gobierno de IA. Ambas actuaciones se efectúan conforme a la presente directiva y observan lo previsto en los numerales 6.4 y 6.5 de la METDONI. La aprobación corresponde a la INSI conforme al literal j) del artículo 102 del ROF; cuando la Comisión de Gobierno de IA mantenga observaciones no acogidas, estas se elevan al CGTD, que se pronuncia con anterioridad a la aprobación. </w:t>
      </w:r>
      <w:r>
        <w:rPr>
          <w:rFonts w:ascii="Arial" w:hAnsi="Arial" w:cs="Arial"/>
          <w:color w:val="000000"/>
          <w:highlight w:val="lightGray"/>
        </w:rPr>
        <w:t>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los controles de contención, las prácticas de monitoreo, la gestión de los cambios sobre los SBIA en operación, incluidos los criterios de calificación del cambio significativo y el alcance de la revalidación aplicable,</w:t>
      </w:r>
      <w:r>
        <w:t xml:space="preserve"> </w:t>
      </w:r>
      <w:r>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5D4BCE26" w14:textId="77777777" w:rsidR="00F4172E" w:rsidRDefault="00F4172E" w:rsidP="00D443F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6.1.6  Todo SBIA cuenta con un equipo técnico multidisciplinario, conformado en función de la necesidad y la complejidad de la materia o del problema público que atiende, conforme al numeral 28.3 del artículo 28 del RLIA. El propietario del caso de uso y el custodio técnico lo conforman previamente al inicio del desarrollo o adquisición, y lo integran, cuando menos, con las unidades de organización cuya competencia comprenda las materias que el SBIA involucra. Su composición se registra en la Ficha de Registro de SBIA (Anexo N.° 1).</w:t>
      </w:r>
    </w:p>
    <w:p w14:paraId="40305EF2" w14:textId="77777777" w:rsidR="00863A18" w:rsidRPr="00923C59" w:rsidRDefault="00863A18" w:rsidP="00B23382">
      <w:pPr>
        <w:pStyle w:val="SubtituloDONI"/>
        <w:spacing w:line="276" w:lineRule="auto"/>
        <w:ind w:left="851"/>
      </w:pPr>
      <w:r>
        <w:t>6.2</w:t>
      </w:r>
      <w:r>
        <w:tab/>
        <w:t>De la clasificación de los SBIA por nivel de riesgo</w:t>
      </w:r>
    </w:p>
    <w:p w14:paraId="1AB74D46" w14:textId="77777777" w:rsidR="00CA74AD" w:rsidRDefault="00000000">
      <w:pPr>
        <w:spacing w:after="60" w:line="276" w:lineRule="auto"/>
        <w:ind w:left="1276" w:hanging="720"/>
        <w:jc w:val="both"/>
        <w:rPr>
          <w:rFonts w:ascii="Arial" w:hAnsi="Arial" w:cs="Arial"/>
          <w:color w:val="000000"/>
        </w:rPr>
      </w:pPr>
      <w:r>
        <w:rPr>
          <w:rFonts w:ascii="Arial" w:hAnsi="Arial" w:cs="Arial"/>
          <w:color w:val="000000"/>
          <w:highlight w:val="cyan"/>
        </w:rPr>
        <w:t>6.2.1</w:t>
      </w:r>
      <w:r>
        <w:rPr>
          <w:rFonts w:ascii="Arial" w:hAnsi="Arial" w:cs="Arial"/>
          <w:color w:val="000000"/>
          <w:highlight w:val="cyan"/>
        </w:rPr>
        <w:tab/>
        <w:t xml:space="preserve">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w:t>
      </w:r>
      <w:r>
        <w:rPr>
          <w:rFonts w:ascii="Arial" w:hAnsi="Arial" w:cs="Arial"/>
          <w:color w:val="000000"/>
          <w:highlight w:val="green"/>
        </w:rPr>
        <w:t>La clasificación de riesgo de un SBIA se efectúa por subsunción en los supuestos de los artículos 22 a 24 del RLIA. La gestión de los riesgos asociados se alinea a la NTP-ISO 31000 vigente, de uso obligatorio conforme a la Sexta Disposición Complementaria Final del RLIA.</w:t>
      </w:r>
    </w:p>
    <w:p w14:paraId="051C245D"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lastRenderedPageBreak/>
        <w:t>6.2.2</w:t>
      </w:r>
      <w:r>
        <w:rPr>
          <w:rFonts w:ascii="Arial" w:eastAsia="Arial" w:hAnsi="Arial" w:cs="Arial"/>
          <w:color w:val="000000"/>
          <w:highlight w:val="green"/>
        </w:rPr>
        <w:tab/>
      </w:r>
      <w:r>
        <w:rPr>
          <w:rFonts w:ascii="Arial" w:eastAsia="Arial" w:hAnsi="Arial" w:cs="Arial"/>
          <w:highlight w:val="green"/>
        </w:rPr>
        <w:t>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En tanto el CGTD no apruebe la clasificación agregada, la propuesta de la Comisión de Gobierno de IA habilita la continuación del ciclo de vida, salvo el despliegue, que requiere la clasificación aprobada. Durante ese periodo, las disposiciones que exigen el nivel de riesgo se aplican sobre la clasificación propuesta. Si el CGTD modifica la clasificación al aprobarla, el propietario del caso de uso y el custodio técnico ajustan los requisitos, los controles y el mecanismo de supervisión humana antes del despliegue. La clasificación es parte de la evaluación de viabilidad de acuerdo al ciclo de vida descrito en el numeral 6.1.1. La clasificación aplica los criterios complementarios de la Matriz de Clasificación de Riesgos de IA (Anexo N.° 2); el detalle de su aplicación se desarrolla en la metodología prevista en el numeral 6.1.5.</w:t>
      </w:r>
    </w:p>
    <w:p w14:paraId="23ABC48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0F9F2020" w14:textId="77777777"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Pr>
          <w:rFonts w:ascii="Arial" w:eastAsia="Arial" w:hAnsi="Arial" w:cs="Arial"/>
          <w:color w:val="000000"/>
          <w:highlight w:val="green"/>
        </w:rPr>
        <w:t>La prohibición del uso indebido se asegura mediante la clasificación de riesgo previa y obligatoria, el pronunciamiento no favorable de la Comisión de Gobierno de IA conforme al numeral 6.15.1 y el registro obligatorio en el Inventario Institucional de SBIA.</w:t>
      </w:r>
      <w:r>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66A01E20" w14:textId="77777777"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6.2.5</w:t>
      </w:r>
      <w:r>
        <w:rPr>
          <w:rFonts w:ascii="Arial" w:eastAsia="Arial" w:hAnsi="Arial" w:cs="Arial"/>
          <w:color w:val="000000"/>
          <w:highlight w:val="green"/>
        </w:rPr>
        <w:tab/>
        <w:t>Los controles aplicables a un SBIA se determinan a partir de su clasificación de riesgo y de los criterios que la presente directiva establece según la naturaleza del SBIA, en particular en los numerales 6.5, 6.6, 6.7, 6.9 y 6.10. Los controles no se proponen ni se negocian. El propietario del caso de uso, con la asistencia técnica de la Comisión de Gobierno de IA, define cómo se implementan en el SBIA. La Comisión de Gobierno de IA verifica su implementación en la etapa 5 del numeral 6.1.1, con anterioridad al despliegue.</w:t>
      </w:r>
    </w:p>
    <w:p w14:paraId="27B09BCD" w14:textId="77777777"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lastRenderedPageBreak/>
        <w:t>6.2.6</w:t>
      </w:r>
      <w:r>
        <w:rPr>
          <w:rFonts w:ascii="Arial" w:eastAsia="Arial" w:hAnsi="Arial" w:cs="Arial"/>
          <w:color w:val="000000"/>
          <w:highlight w:val="green"/>
        </w:rPr>
        <w:tab/>
        <w:t>Cuando se determine que un SBIA en operación corresponde a la categoría de uso indebido, el propietario del caso de uso dispone su suspensión inmediata y comunica el hecho a la Comisión de Gobierno de IA. La Comisión eleva el caso al CGTD, que verifica la causal conforme al numeral 6.1.4 y deja constancia en acta. Verificada la causal, el SBIA se retira conforme a la etapa 8 del numeral 6.1.1. La suspensión, su fecha y el acuerdo del CGTD constan en el Inventario Institucional de SBIA.</w:t>
      </w:r>
    </w:p>
    <w:p w14:paraId="3D55C9B6" w14:textId="77777777" w:rsidR="00863A18" w:rsidRPr="00923C59" w:rsidRDefault="00863A18" w:rsidP="00B23382">
      <w:pPr>
        <w:pStyle w:val="SubtituloDONI"/>
        <w:spacing w:line="276" w:lineRule="auto"/>
        <w:ind w:left="851"/>
      </w:pPr>
      <w:r>
        <w:t>6.3</w:t>
      </w:r>
      <w:r>
        <w:tab/>
        <w:t>Del Inventario Institucional de SBIA</w:t>
      </w:r>
    </w:p>
    <w:p w14:paraId="1F281479"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5FA63920"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06EA724C" w14:textId="77777777" w:rsidR="00863A18" w:rsidRPr="00923C59" w:rsidRDefault="00863A18" w:rsidP="00B23382">
      <w:pPr>
        <w:pStyle w:val="SubtituloDONI"/>
        <w:spacing w:line="276" w:lineRule="auto"/>
        <w:ind w:left="851"/>
      </w:pPr>
      <w:r>
        <w:t>6.4</w:t>
      </w:r>
      <w:r>
        <w:tab/>
        <w:t>De la evaluación de impacto algorítmico</w:t>
      </w:r>
    </w:p>
    <w:p w14:paraId="6B2F6FC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6.4.1</w:t>
      </w:r>
      <w:r>
        <w:rPr>
          <w:rFonts w:ascii="Arial" w:eastAsia="Arial" w:hAnsi="Arial" w:cs="Arial"/>
          <w:color w:val="000000"/>
          <w:highlight w:val="green"/>
        </w:rPr>
        <w:tab/>
        <w:t xml:space="preserve">Todo SBIA de riesgo alto debe contar con una EIA aprobada por el CGTD previamente al inicio de su desarrollo, adquisición o implementación, conforme al artículo 30 del RLIA.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15DFF88B"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green"/>
        </w:rPr>
        <w:t>6.4.2</w:t>
      </w:r>
      <w:r>
        <w:rPr>
          <w:rFonts w:ascii="Arial" w:hAnsi="Arial" w:cs="Arial"/>
          <w:color w:val="000000"/>
          <w:highlight w:val="green"/>
        </w:rPr>
        <w:tab/>
        <w:t>El propietario del caso de uso elabora la EIA con la participación del equipo técnico multidisciplinario del SBIA previsto en el numeral 6.1.6. La EIA incorpora los aspectos de negocio (en particular el impacto en el administrado) y los aspectos técnicos. La Comisión de Gobierno de IA, la OII, la INALI y el OGD la revisan. Cuando la materia comprenda el sentido y el alcance de las normas tributarias o aduaneras, la Comisión de Gobierno de IA convoca a la Intendencia Nacional Jurídico Tributaria o a la Intendencia Nacional Jurídico Aduanera. Concluidas las revisiones, la Comisión de Gobierno de IA eleva la EIA al CGTD para su aprobación conforme al numeral 6.4.1.</w:t>
      </w:r>
    </w:p>
    <w:p w14:paraId="4C4E987B" w14:textId="77777777" w:rsidR="007F16B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6.4.3</w:t>
      </w:r>
      <w:r>
        <w:rPr>
          <w:rFonts w:ascii="Arial" w:eastAsia="Arial" w:hAnsi="Arial" w:cs="Arial"/>
          <w:color w:val="000000"/>
          <w:highlight w:val="green"/>
        </w:rPr>
        <w:tab/>
        <w:t>La Comisión de Gobierno de IA coordina la actualización de la EIA cuando se produzca un cambio significativo conforme al numeral 6.10.5. La EIA actualizada se revisa y se aprueba conforme al numeral 6.4.2, y su aprobación corresponde al CGTD conforme al numeral 6.4.1.</w:t>
      </w:r>
    </w:p>
    <w:p w14:paraId="7E3C720F"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1"/>
      </w:r>
      <w:r>
        <w:rPr>
          <w:rFonts w:ascii="Arial" w:eastAsia="Arial" w:hAnsi="Arial" w:cs="Arial"/>
          <w:color w:val="000000"/>
          <w:highlight w:val="yellow"/>
        </w:rPr>
        <w:t>.</w:t>
      </w:r>
    </w:p>
    <w:p w14:paraId="6FF09F4F"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D1C8F42" w14:textId="77777777" w:rsidR="00E67A73" w:rsidRDefault="00000000">
      <w:pPr>
        <w:pStyle w:val="SubtituloDONI"/>
        <w:spacing w:line="276" w:lineRule="auto"/>
        <w:ind w:left="851"/>
      </w:pPr>
      <w:r>
        <w:rPr>
          <w:highlight w:val="yellow"/>
        </w:rPr>
        <w:lastRenderedPageBreak/>
        <w:t>6.5</w:t>
      </w:r>
      <w:r>
        <w:rPr>
          <w:highlight w:val="yellow"/>
        </w:rPr>
        <w:tab/>
        <w:t>De la arquitectura y el software de los SBIA</w:t>
      </w:r>
    </w:p>
    <w:p w14:paraId="4BB0D707"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6.5.1</w:t>
      </w:r>
      <w:r>
        <w:rPr>
          <w:rFonts w:ascii="Arial" w:eastAsia="Arial" w:hAnsi="Arial" w:cs="Arial"/>
          <w:color w:val="000000"/>
          <w:highlight w:val="green"/>
        </w:rPr>
        <w:tab/>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A3611B7"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6.5.2</w:t>
      </w:r>
      <w:r>
        <w:rPr>
          <w:rFonts w:ascii="Arial" w:eastAsia="Arial" w:hAnsi="Arial" w:cs="Arial"/>
          <w:color w:val="000000"/>
          <w:highlight w:val="green"/>
        </w:rPr>
        <w:tab/>
        <w:t>El uso, la adquisición y la adecuación del software de los SBIA se sujetan a las disposiciones aplicables a las entidades de la Administración Pública, conforme al numeral 28.6 del artículo 28 del RLIA. Dichas disposiciones comprenden los estándares técnicos para la evaluación de software, los estándares técnicos sobre procesos del ciclo de vida del software y las evaluaciones del uso y aplicaciones del software de IA. Los estándares y documentos técnicos de arquitectura aplicables a los SBIA son los previstos en el numeral 6.5.3, y su cumplimiento se verifica en la aprobación del diseño de arquitectura de solución conforme al numeral 6.5.4.</w:t>
      </w:r>
    </w:p>
    <w:p w14:paraId="67528214" w14:textId="77777777" w:rsidR="00EE0817" w:rsidRDefault="00EE0817"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6.5.3</w:t>
      </w:r>
      <w:r>
        <w:rPr>
          <w:rFonts w:ascii="Arial" w:eastAsia="Arial" w:hAnsi="Arial" w:cs="Arial"/>
          <w:color w:val="000000"/>
          <w:highlight w:val="green"/>
        </w:rPr>
        <w:tab/>
        <w:t>El diseño de la arquitectura de los SBIA observa los Principios de Arquitectura de TI (AAT.PRAQ.01) y los Lineamientos de Arquitectura de TI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agénticos, e infraestructura 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635528FB" w14:textId="77777777" w:rsidR="005C3A70" w:rsidRDefault="005C3A70" w:rsidP="005C3A70">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green"/>
        </w:rPr>
        <w:t xml:space="preserve">6.5.4   Todo SBIA cuenta con la aprobación del diseño de su arquitectura de solución, previa al inicio del desarrollo, la adquisición o el entrenamiento, conforme a la etapa 3 del numeral 6.1.1. Dicha aprobación corresponde a la División de Arquitectura de Información y de Aplicaciones y a la División de Arquitectura Tecnológica, cada una en el ámbito de su competencia conforme al literal a) de los artículos 132 y 134 del ROF, bajo la conducción de la Gerencia de Arquitectura. </w:t>
      </w:r>
      <w:r>
        <w:rPr>
          <w:rFonts w:ascii="Arial" w:eastAsia="Arial" w:hAnsi="Arial" w:cs="Arial"/>
          <w:color w:val="000000"/>
          <w:highlight w:val="lightGray"/>
        </w:rPr>
        <w:t>Los requisitos derivados del nivel de riesgo, incluidos los mecanismos de supervisión humana, explicabilidad y trazabilidad, se incorporan como requisitos no funcionales de la solución. Cuando la clasificación no cuenta aún con aprobación del CGTD, dichos requisitos se derivan de la clasificación propuesta conforme al numeral 6.2.2.</w:t>
      </w:r>
    </w:p>
    <w:p w14:paraId="55121EB7" w14:textId="77777777" w:rsidR="003173B4" w:rsidRPr="003173B4" w:rsidRDefault="003173B4" w:rsidP="003173B4">
      <w:pPr>
        <w:spacing w:after="6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6.5.5</w:t>
      </w:r>
      <w:r>
        <w:rPr>
          <w:rFonts w:ascii="Arial" w:eastAsia="Arial" w:hAnsi="Arial" w:cs="Arial"/>
          <w:color w:val="000000"/>
          <w:highlight w:val="green"/>
        </w:rPr>
        <w:tab/>
        <w:t xml:space="preserve">Los SBIA que ejecuten acciones sobre sistemas, datos o procesos con algún grado de autonomía incorporan mecanismos de autorización, restricción y registro de dichas acciones. Dichos mecanismos son proporcionales al nivel de </w:t>
      </w:r>
      <w:r>
        <w:rPr>
          <w:rFonts w:ascii="Arial" w:eastAsia="Arial" w:hAnsi="Arial" w:cs="Arial"/>
          <w:color w:val="000000"/>
          <w:highlight w:val="green"/>
        </w:rPr>
        <w:lastRenderedPageBreak/>
        <w:t>riesgo determinado conforme al numeral 6.2.2 y al grado de autonomía asignado. El propietario del caso de uso define el alcance de las acciones autorizadas; la División de Arquitectura de Información y de Aplicaciones aprueba el diseño de dichos mecanismos, conforme al literal a) del artículo 132 del ROF, y la División de Arquitectura Tecnológica valida los componentes de infraestructura tecnológica que los soportan, conforme al literal c) del artículo 134 del ROF, cada una en el ámbito de su competencia. Ambas validaciones se efectúan en la etapa 5 del numeral 6.1.1, con anterioridad al despliegue.</w:t>
      </w:r>
    </w:p>
    <w:p w14:paraId="33314426" w14:textId="77777777" w:rsidR="003173B4" w:rsidRPr="003173B4" w:rsidRDefault="003173B4" w:rsidP="003173B4">
      <w:pPr>
        <w:spacing w:after="60" w:line="276" w:lineRule="auto"/>
        <w:ind w:left="1276"/>
        <w:jc w:val="both"/>
        <w:rPr>
          <w:rFonts w:ascii="Arial" w:eastAsia="Arial" w:hAnsi="Arial" w:cs="Arial"/>
          <w:color w:val="000000"/>
          <w:highlight w:val="green"/>
        </w:rPr>
      </w:pPr>
      <w:r>
        <w:rPr>
          <w:rFonts w:ascii="Arial" w:eastAsia="Arial" w:hAnsi="Arial" w:cs="Arial"/>
          <w:color w:val="000000"/>
          <w:highlight w:val="green"/>
        </w:rPr>
        <w:t>El SBIA o el componente que ejecute las acciones a que se refiere el párrafo anterior cuenta con una identidad digital diferenciada. Su administración observa los controles de gestión de identidades y de control de acceso del Manual de Políticas del Sistema de Gestión de Seguridad de la Información (SGSI-MA-03).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04102E57" w14:textId="77777777" w:rsidR="003173B4" w:rsidRDefault="003173B4" w:rsidP="003173B4">
      <w:pPr>
        <w:spacing w:after="60" w:line="276" w:lineRule="auto"/>
        <w:ind w:left="1276"/>
        <w:jc w:val="both"/>
        <w:rPr>
          <w:rFonts w:ascii="Arial" w:eastAsia="Arial" w:hAnsi="Arial" w:cs="Arial"/>
          <w:color w:val="000000"/>
        </w:rPr>
      </w:pPr>
      <w:r>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7BCE6C7C" w14:textId="77777777" w:rsidR="005C3A70" w:rsidRPr="005C3A70" w:rsidRDefault="005C3A70" w:rsidP="003173B4">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3924C9AF"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6.5.7</w:t>
      </w:r>
      <w:r>
        <w:rPr>
          <w:rFonts w:ascii="Arial" w:eastAsia="Arial" w:hAnsi="Arial" w:cs="Arial"/>
          <w:color w:val="000000"/>
          <w:highlight w:val="green"/>
        </w:rPr>
        <w:tab/>
        <w:t>La publicación del código fuente de los SBIA financiados con fondos públicos, con licencia libre o abierta en la Plataforma Nacional de Software Público Peruano (PNSSP), se sujeta a la determinación previa de su publicabilidad. Esta obligación está prevista en el numeral 28.8 del artículo 28 del RLIA. Dicha determinación verifica que el código no revele información sujeta a reserva tributaria conforme al artículo 85 del TUO del Código Tributario. Verifica asimismo que no revele reglas de detección de riesgo cuya divulgación comprometa la función de control.</w:t>
      </w:r>
    </w:p>
    <w:p w14:paraId="535A0322"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6.5.8</w:t>
      </w:r>
      <w:r>
        <w:rPr>
          <w:rFonts w:ascii="Arial" w:eastAsia="Arial" w:hAnsi="Arial" w:cs="Arial"/>
          <w:color w:val="000000"/>
          <w:highlight w:val="green"/>
        </w:rPr>
        <w:tab/>
        <w:t xml:space="preserve">La GA conduce la determinación de publicabilidad prevista en el numeral 6.5.7. La efectúa antes de cada liberación mayor y, en todo caso, con ocasión de la revisión integral anual del Inventario Institucional de SBIA prevista en el numeral 6.3.2. La GA solicita para ello la opinión de la Oficina de Seguridad Informática y la de la INALI en materia de cumplimiento normativo. Cuando la determinación comprenda el sentido y el alcance de las normas tributarias o aduaneras, la GA solicita la opinión de la Intendencia Nacional Jurídico Tributaria o de la Intendencia Nacional Jurídico Aduanera, según la materia. La publicabilidad resulta de dichas opiniones. La determinación y su resultado constan en la Ficha de Registro de SBIA (Anexo N.° 1). Cuando el código no resulte publicable, se consigna igualmente la justificación legal de la restricción. La GDS pone a disposición el código fuente cuya publicación se haya </w:t>
      </w:r>
      <w:r>
        <w:rPr>
          <w:rFonts w:ascii="Arial" w:eastAsia="Arial" w:hAnsi="Arial" w:cs="Arial"/>
          <w:color w:val="000000"/>
          <w:highlight w:val="green"/>
        </w:rPr>
        <w:lastRenderedPageBreak/>
        <w:t>determinado procedente, conforme a los mecanismos que establezca la Plataforma Nacional de Software Público Peruano.</w:t>
      </w:r>
    </w:p>
    <w:p w14:paraId="3F3710E9" w14:textId="77777777" w:rsidR="003173B4" w:rsidRDefault="003173B4"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6.5.9 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Esta separación se sustenta en la arquitectura de solución aprobada conforme al numeral 6.5.4, y sus criterios técnicos se desarrollan conforme al numeral 6.5.3.</w:t>
      </w:r>
    </w:p>
    <w:p w14:paraId="3E908127" w14:textId="77777777" w:rsidR="00863A18" w:rsidRDefault="00863A18" w:rsidP="00B23382">
      <w:pPr>
        <w:pStyle w:val="SubtituloDONI"/>
        <w:spacing w:line="276" w:lineRule="auto"/>
        <w:ind w:left="851"/>
      </w:pPr>
      <w:r>
        <w:t>6.6</w:t>
      </w:r>
      <w:r>
        <w:tab/>
        <w:t>De la supervisión humana</w:t>
      </w:r>
    </w:p>
    <w:p w14:paraId="48B78C16"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6.6.1</w:t>
      </w:r>
      <w:r>
        <w:rPr>
          <w:rFonts w:ascii="Arial" w:eastAsia="Arial" w:hAnsi="Arial" w:cs="Arial"/>
          <w:color w:val="000000"/>
          <w:highlight w:val="green"/>
        </w:rPr>
        <w:tab/>
        <w:t>Todo SBIA cuenta con un mecanismo de supervisión humana proporcional a su nivel de riesgo, conforme al literal h) del artículo 7 del RLIA. La modalidad de supervisión humana exigible a cada SBIA es la siguiente. Los casos de uso que se mencionan son enunciativos y no sustituyen la clasificación de riesgo prevista en el numeral 6.2.1:</w:t>
      </w:r>
    </w:p>
    <w:p w14:paraId="4485F671" w14:textId="77777777" w:rsidR="00863A18" w:rsidRPr="00923C59" w:rsidRDefault="00863A18" w:rsidP="00D37B6E">
      <w:pPr>
        <w:pStyle w:val="Prrafodelista"/>
        <w:numPr>
          <w:ilvl w:val="0"/>
          <w:numId w:val="3"/>
        </w:numPr>
        <w:spacing w:before="0" w:after="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entre otros, a los SBIA que la clasificación de riesgo determine como de riesgo alto en materia de selección de contribuyentes para fiscalización, determinación de deuda o clasificación arancelaria.</w:t>
      </w:r>
    </w:p>
    <w:p w14:paraId="624C2DB5" w14:textId="77777777" w:rsidR="00790E37" w:rsidRPr="00790E37" w:rsidRDefault="00790E37">
      <w:pPr>
        <w:pStyle w:val="Prrafodelista"/>
        <w:numPr>
          <w:ilvl w:val="0"/>
          <w:numId w:val="3"/>
        </w:numPr>
        <w:spacing w:after="40" w:line="276" w:lineRule="auto"/>
        <w:ind w:left="1701"/>
        <w:rPr>
          <w:b w:val="0"/>
          <w:bCs w:val="0"/>
          <w:color w:val="000000"/>
          <w:highlight w:val="green"/>
        </w:rPr>
      </w:pPr>
      <w:r>
        <w:rPr>
          <w:b w:val="0"/>
          <w:bCs w:val="0"/>
          <w:color w:val="000000"/>
          <w:highlight w:val="green"/>
        </w:rPr>
        <w:t>Human-on-the-loop (obligatorio para los SBIA de riesgo aceptable que interactúan directamente con el administrado o cuyo resultado influye en la atención que este recibe): Un supervisor humano monitorea las operaciones del SBIA y puede intervenir ante anomalías, sin validar cada resultado individual. Aplica, entre otros, a chatbots de atención, asistentes de orientación y preclasificación.</w:t>
      </w:r>
    </w:p>
    <w:p w14:paraId="1F825EBC"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67790DF0"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La definición se efectúa conforme a la clasificación de riesgo determinada según el numeral 6.2.2. Dicha definición se documenta en la Ficha de Registro de SBIA (Anexo N.° 1) y en la EIA cuando corresponda. El mecanismo requiere la conformidad de la Comisión de Gobierno de IA en la etapa 5 del numeral 6.1.1, con anterioridad al despliegue.</w:t>
      </w:r>
    </w:p>
    <w:p w14:paraId="2A18A082"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6.6.3</w:t>
      </w:r>
      <w:r>
        <w:rPr>
          <w:rFonts w:ascii="Arial" w:eastAsia="Arial" w:hAnsi="Arial" w:cs="Arial"/>
          <w:color w:val="000000"/>
        </w:rPr>
        <w:tab/>
        <w:t>El propietario del caso de uso garantiza que el personal de supervisión cumple con las siguientes condiciones:</w:t>
      </w:r>
    </w:p>
    <w:p w14:paraId="0DD2596C"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9BD2E91"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2"/>
      </w:r>
      <w:r>
        <w:rPr>
          <w:b w:val="0"/>
          <w:bCs w:val="0"/>
          <w:color w:val="000000"/>
          <w:highlight w:val="yellow"/>
        </w:rPr>
        <w:t>.</w:t>
      </w:r>
    </w:p>
    <w:p w14:paraId="49B06291"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0EC2321D"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4B09496B" w14:textId="77777777" w:rsidR="002555BF" w:rsidRPr="002555BF" w:rsidRDefault="002555BF">
      <w:pPr>
        <w:pStyle w:val="Prrafodelista"/>
        <w:numPr>
          <w:ilvl w:val="0"/>
          <w:numId w:val="4"/>
        </w:numPr>
        <w:spacing w:after="40" w:line="276" w:lineRule="auto"/>
        <w:ind w:left="1701"/>
        <w:rPr>
          <w:b w:val="0"/>
          <w:bCs w:val="0"/>
          <w:highlight w:val="green"/>
        </w:rPr>
      </w:pPr>
      <w:r>
        <w:rPr>
          <w:b w:val="0"/>
          <w:bCs w:val="0"/>
          <w:highlight w:val="green"/>
        </w:rPr>
        <w:t>El cumplimiento de estas condiciones es verificado por el propietario del caso de uso como condición previa al despliegue del SBIA y consta en la Ficha de Registro de SBIA (Anexo N.° 1). La capacitación específica sobre el sistema supervisado es provista por el propietario del caso de uso, sin perjuicio de las acciones formativas de alcance institucional previstas en el numeral 6.13.2.</w:t>
      </w:r>
    </w:p>
    <w:p w14:paraId="3E526144" w14:textId="77777777"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literal a) del artículo 7 del RLIA y al compromiso 6 de la </w:t>
      </w:r>
      <w:r>
        <w:rPr>
          <w:rFonts w:ascii="Arial" w:hAnsi="Arial" w:cs="Arial"/>
          <w:highlight w:val="green"/>
        </w:rPr>
        <w:t>Política de IA</w:t>
      </w:r>
      <w:r>
        <w:rPr>
          <w:rFonts w:ascii="Arial" w:eastAsia="Arial" w:hAnsi="Arial" w:cs="Arial"/>
          <w:color w:val="000000"/>
          <w:highlight w:val="green"/>
        </w:rPr>
        <w:t>.</w:t>
      </w:r>
      <w:r>
        <w:rPr>
          <w:rFonts w:ascii="Arial" w:eastAsia="Arial" w:hAnsi="Arial" w:cs="Arial"/>
          <w:color w:val="000000"/>
        </w:rPr>
        <w:t xml:space="preserve"> </w:t>
      </w:r>
      <w:r>
        <w:rPr>
          <w:rFonts w:ascii="Arial" w:eastAsia="Arial" w:hAnsi="Arial" w:cs="Arial"/>
          <w:color w:val="000000"/>
          <w:highlight w:val="green"/>
        </w:rPr>
        <w:t>La Comisión de Gobierno de IA verifica la implementación de estas medidas en la etapa 5 del numeral 6.1.1, con anterioridad al despliegue.</w:t>
      </w:r>
    </w:p>
    <w:p w14:paraId="796A4DE8" w14:textId="77777777" w:rsidR="00863A18" w:rsidRPr="00923C59" w:rsidRDefault="00863A18" w:rsidP="00B23382">
      <w:pPr>
        <w:pStyle w:val="SubtituloDONI"/>
        <w:spacing w:line="276" w:lineRule="auto"/>
        <w:ind w:left="851"/>
      </w:pPr>
      <w:r>
        <w:t>6.7</w:t>
      </w:r>
      <w:r>
        <w:tab/>
        <w:t>De la seguridad y privacidad en SBIA</w:t>
      </w:r>
    </w:p>
    <w:p w14:paraId="7E3BC62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6.7.1</w:t>
      </w:r>
      <w:r>
        <w:rPr>
          <w:rFonts w:ascii="Arial" w:eastAsia="Arial" w:hAnsi="Arial" w:cs="Arial"/>
          <w:color w:val="000000"/>
          <w:highlight w:val="green"/>
        </w:rPr>
        <w:tab/>
        <w:t>Los SBIA cumplen la Política de Seguridad de la Información (SGSI-PO-01) y el Manual de Políticas del Sistema de Gestión de Seguridad de la Información (SGSI-MA-03) de la SUNAT, en sus versiones vigentes. El Manual de Políticas es de aplicación a todos los colaboradores, al personal de modalidades formativas y a los terceros vinculados que gestionen información de la institución. Cuando un SBIA constituya un activo de información de un proceso comprendido en el alcance del Sistema de Gestión de Seguridad de la Información, le son exigibles además los demás documentos normativos y lineamientos de dicho Sistema.</w:t>
      </w:r>
    </w:p>
    <w:p w14:paraId="562E80CA"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6.7.2</w:t>
      </w:r>
      <w:r>
        <w:rPr>
          <w:rFonts w:ascii="Arial" w:eastAsia="Arial" w:hAnsi="Arial" w:cs="Arial"/>
          <w:color w:val="000000"/>
          <w:highlight w:val="green"/>
        </w:rPr>
        <w:tab/>
        <w:t>Para los SBIA de riesgo alto y para los SBIA de riesgo aceptable que interactúen directamente con el administrado, incorporen componentes generativos o procesen datos personales o información sujeta a reserva tributaria, el custodio técnico implementa como mínimo:</w:t>
      </w:r>
    </w:p>
    <w:p w14:paraId="510FBA7F"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contención (guardrails) de entrada y salida.</w:t>
      </w:r>
    </w:p>
    <w:p w14:paraId="6372704D"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acceso basados en roles (RBAC).</w:t>
      </w:r>
    </w:p>
    <w:p w14:paraId="384B35D4"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Registro inmutable de auditoría (logs) de todas las interacciones.</w:t>
      </w:r>
    </w:p>
    <w:p w14:paraId="385CE985"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lastRenderedPageBreak/>
        <w:t>Evaluación de vulnerabilidades conforme al OWASP Top 10 para aplicaciones LLM, en la versión que determine el documento normativo del numeral 6.7.7.</w:t>
      </w:r>
    </w:p>
    <w:p w14:paraId="5F77758C"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Red teaming de los SBIA de riesgo alto, previo a su despliegue y con la periodicidad que establezca el documento normativo del numeral 6.7.7.</w:t>
      </w:r>
    </w:p>
    <w:p w14:paraId="04E55AB9"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Anonimización o seudonimización de datos personales antes del procesamiento.</w:t>
      </w:r>
    </w:p>
    <w:p w14:paraId="6DD61D08"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Su implementación se verifica en la etapa 5 del numeral 6.1.1, conforme al numeral 6.2.5. Se registra en la Ficha de Registro de SBIA (Anexo N.° 1). Estos controles constituyen medidas de seguridad digital conforme al artículo 29 del RLIA. Se implementan aplicando la NTP-ISO/IEC 27002 y la NTP-ISO 31000 vigentes, complementadas con mejores prácticas de seguridad para IA, conforme a la Sexta Disposición Complementaria Final del RLIA.</w:t>
      </w:r>
    </w:p>
    <w:p w14:paraId="4A24B417"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r>
      <w:r>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7D1DBDA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Pr>
          <w:rFonts w:ascii="Arial" w:eastAsia="Arial" w:hAnsi="Arial" w:cs="Arial"/>
          <w:color w:val="000000"/>
          <w:highlight w:val="green"/>
        </w:rPr>
        <w:t xml:space="preserve"> Los controles reforzados del numeral 6.7.2 aplican adicionalmente conforme al alcance previsto en dicho numeral.</w:t>
      </w:r>
    </w:p>
    <w:p w14:paraId="7902A88E"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3"/>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Los que se detecten durante el diseño, el desarrollo o las pruebas se tratan dentro del ciclo de vida previsto en el numeral 6.1.1 y se resuelven con anterioridad al hito de la etapa en que se detectan. El custodio técnico deja constancia de su tratamiento y lo comunica a la Comisión de Gobierno de IA. Estas reglas comprenden los incidentes derivados del diseño, del desarrollo, del uso y del funcionamiento del SBIA, conforme al literal </w:t>
      </w:r>
      <w:r>
        <w:rPr>
          <w:rFonts w:ascii="Arial" w:eastAsia="Arial" w:hAnsi="Arial" w:cs="Arial"/>
          <w:color w:val="000000"/>
          <w:highlight w:val="cyan"/>
        </w:rPr>
        <w:lastRenderedPageBreak/>
        <w:t xml:space="preserve">d) del artículo 29 del RLIA. </w:t>
      </w:r>
      <w:r>
        <w:rPr>
          <w:rFonts w:ascii="Arial" w:eastAsia="Arial" w:hAnsi="Arial" w:cs="Arial"/>
          <w:color w:val="000000"/>
          <w:highlight w:val="green"/>
        </w:rPr>
        <w:t>El propietario del caso de uso y las gerencias competentes de la INSI comunican los incidentes del uso y funcionamiento del SBIA por los canales que dichos procedimientos establecen. Son incidentes propios del SBIA, entre otros, la deriva del modelo, el resultado sistemáticamente erróneo o sesgado y el resultado que afecta la atención del administrado, aun cuando el servicio se mantenga operativo. Su atención concluye con la adopción de las medidas correctivas que correspondan conforme al numeral 6.10, y no con la sola recuperación del servicio. La Comisión de Gobierno de IA los consolida y los reporta en el informe trimestral del numeral 6.9.5.</w:t>
      </w:r>
      <w:r>
        <w:t xml:space="preserve"> </w:t>
      </w:r>
      <w:r>
        <w:rPr>
          <w:rFonts w:ascii="Arial" w:eastAsia="Arial" w:hAnsi="Arial" w:cs="Arial"/>
          <w:color w:val="000000"/>
          <w:highlight w:val="green"/>
        </w:rPr>
        <w:t>La Gerencia de Operaciones y Soporte a Usuarios adecúa el Procedimiento de Gestión de Incidentes (A-03.1.1-PR-002) para comprender los incidentes propios del SBIA y su criterio de cierre, conforme al numeral 7.6 de la presente directiva. En tanto no se apruebe dicha adecuación, estos incidentes se registran por dicho procedimiento y su atención se rige por el presente numeral.</w:t>
      </w:r>
    </w:p>
    <w:p w14:paraId="7609429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4"/>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5C4CE0E4" w14:textId="77777777" w:rsidR="0084436F" w:rsidRDefault="0084436F"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6.7.7</w:t>
      </w:r>
      <w:r>
        <w:rPr>
          <w:rFonts w:ascii="Arial" w:eastAsia="Arial" w:hAnsi="Arial" w:cs="Arial"/>
          <w:color w:val="000000"/>
          <w:highlight w:val="green"/>
        </w:rPr>
        <w:tab/>
        <w:t xml:space="preserve">La Oficina de Seguridad Informática elabora y propone el documento normativo de seguridad informática para SBIA, que desarrolla la forma de implementar y verificar los controles del numeral 6.7.2 y la periodicidad de las pruebas de vulnerabilidad y del red teaming, conforme al artículo 106, literales a) y c), del ROF. Su aprobación se efectúa conforme al numeral 7.6. </w:t>
      </w:r>
      <w:r>
        <w:rPr>
          <w:rFonts w:ascii="Arial" w:eastAsia="Arial" w:hAnsi="Arial" w:cs="Arial"/>
          <w:color w:val="000000"/>
          <w:highlight w:val="cyan"/>
        </w:rPr>
        <w:t>En tanto no se apruebe, los SBIA observan los controles mínimos del referido numeral. Las pruebas de vulnerabilidad y el red teaming se efectúan con anterioridad a cada despliegue. Durante la operación se efectúan con la frecuencia que la Comisión de Gobierno de IA determine en el plan de monitoreo del SBIA.</w:t>
      </w:r>
    </w:p>
    <w:p w14:paraId="0C5C67AB" w14:textId="77777777" w:rsidR="00AF13D8" w:rsidRDefault="003173B4"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6.7.8  El propietario del caso de uso, con el custodio técnico del SBIA, define el tratamiento de conservación y eliminación de las instrucciones (prompt), respuestas, contextos, representaciones vectoriales (embeddings), registros de interacción y demás información que el SBIA genere o procese durante su operación. El plazo de conservación se determina en función del nivel de riesgo del SBIA, del valor probatorio de la información, de su sensibilidad y de los requisitos de auditoría aplicables, y observa la normativa institucional de gestión documental y archivo que resulte aplicable. En tanto dicha normativa no comprenda la información que el SBIA genera, el plazo se fija en el plan de monitoreo del SBIA y no puede ser inferior al exigido por la normativa tributaria y aduanera para la actuación en que el SBIA interviene. Para determinar dicho mínimo, la Comisión de Gobierno de IA convoca a la Intendencia Nacional Jurídico Tributaria o a la Intendencia Nacional Jurídico Aduanera, según la materia. La conservación, el acceso y el uso de dicha información observan la </w:t>
      </w:r>
      <w:r>
        <w:rPr>
          <w:rFonts w:ascii="Arial" w:eastAsia="Arial" w:hAnsi="Arial" w:cs="Arial"/>
          <w:color w:val="000000"/>
          <w:highlight w:val="green"/>
        </w:rPr>
        <w:lastRenderedPageBreak/>
        <w:t>reserva tributaria conforme al artículo 85 del TUO del Código Tributario y la normativa sobre protección de datos personales. El respaldo de la infraestructura tecnológica en la que reside dicha información, así como la custodia y disponibilidad de los medios correspondientes, están a cargo de la División de Soporte y Operación de la Infraestructura Tecnológica, conforme al literal b) del artículo 138 del ROF, y observan lo dispuesto en el numeral 6.7.1.</w:t>
      </w:r>
    </w:p>
    <w:p w14:paraId="5001C09F" w14:textId="77777777" w:rsidR="00931E16" w:rsidRDefault="00931E16" w:rsidP="00AF13D8">
      <w:pPr>
        <w:pStyle w:val="SubtituloDONI"/>
        <w:spacing w:line="276" w:lineRule="auto"/>
        <w:ind w:left="851"/>
      </w:pPr>
      <w:r>
        <w:t>6.8</w:t>
      </w:r>
      <w:r>
        <w:tab/>
        <w:t>De los datos para los SBIA</w:t>
      </w:r>
    </w:p>
    <w:p w14:paraId="6E4761C2"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5"/>
      </w:r>
      <w:r>
        <w:rPr>
          <w:rFonts w:ascii="Arial" w:eastAsia="Arial" w:hAnsi="Arial" w:cs="Arial"/>
          <w:color w:val="000000"/>
          <w:highlight w:val="yellow"/>
        </w:rPr>
        <w:t>, y en concordancia con la ENGD.</w:t>
      </w:r>
    </w:p>
    <w:p w14:paraId="437E530D"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6"/>
      </w:r>
      <w:r>
        <w:rPr>
          <w:rFonts w:ascii="Arial" w:eastAsia="Arial" w:hAnsi="Arial" w:cs="Arial"/>
          <w:color w:val="000000"/>
          <w:highlight w:val="yellow"/>
        </w:rPr>
        <w:t xml:space="preserve"> y asegura su calidad e integridad</w:t>
      </w:r>
      <w:r>
        <w:rPr>
          <w:rStyle w:val="Refdenotaalpie"/>
        </w:rPr>
        <w:footnoteReference w:id="7"/>
      </w:r>
      <w:r>
        <w:rPr>
          <w:rFonts w:ascii="Arial" w:eastAsia="Arial" w:hAnsi="Arial" w:cs="Arial"/>
          <w:color w:val="000000"/>
          <w:highlight w:val="yellow"/>
        </w:rPr>
        <w:t>. Emite opinión sobre el uso de datos en la Ficha de Evaluación de Caso de Uso (Anexo N.° 4) y en la EIA, cuando corresponda.</w:t>
      </w:r>
    </w:p>
    <w:p w14:paraId="6044F210" w14:textId="77777777" w:rsidR="00863A18" w:rsidRPr="00EC79A5" w:rsidRDefault="00931E16" w:rsidP="001609F8">
      <w:pPr>
        <w:tabs>
          <w:tab w:val="left" w:pos="1276"/>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6.8.3</w:t>
      </w:r>
      <w:r>
        <w:rPr>
          <w:rFonts w:ascii="Arial" w:eastAsia="Arial" w:hAnsi="Arial" w:cs="Arial"/>
          <w:color w:val="000000"/>
          <w:highlight w:val="green"/>
        </w:rPr>
        <w:tab/>
        <w:t>El uso de datos protegidos por la reserva tributaria para el desarrollo, entrenamiento, validación u operación de un SBIA requiere la determinación previa de su base legal, conforme al artículo 85 del TUO del Código Tributario. La determinación es previa al inicio del desarrollo o adquisición y consta en la Ficha de Registro de SBIA (Anexo N.° 1). La determinación corresponde al propietario del caso de uso, y la Comisión de Gobierno de IA convoca a la Intendencia Nacional Jurídico Tributaria y, en materia aduanera, a la Intendencia Nacional Jurídico Aduanera, cuya opinión sustenta dicha determinación.</w:t>
      </w:r>
    </w:p>
    <w:p w14:paraId="50072F92"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que lo permita</w:t>
      </w:r>
      <w:r>
        <w:rPr>
          <w:rStyle w:val="Refdenotaalpie"/>
        </w:rPr>
        <w:footnoteReference w:id="8"/>
      </w:r>
      <w:r>
        <w:rPr>
          <w:rFonts w:ascii="Arial" w:eastAsia="Arial" w:hAnsi="Arial" w:cs="Arial"/>
          <w:color w:val="000000"/>
          <w:highlight w:val="yellow"/>
        </w:rPr>
        <w:t>.</w:t>
      </w:r>
    </w:p>
    <w:p w14:paraId="3EB8D320" w14:textId="77777777"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 xml:space="preserve">6.8.5   Los conjuntos de datos que la SUNAT genere o administre y que califiquen como datos de alto valor se ponen a disposición a través del Centro Nacional de Datos (CND), conforme al numeral 28.7 del artículo 28 del RLIA. La calificación se efectúa conforme a los lineamientos nacionales para la identificación de Datos de Alto Valor que emita la SGTD en aplicación de la Estrategia Nacional de Gobierno de Datos; en tanto no se emitan, el OGD aplica los criterios de priorización que dicha Estrategia enuncia para la publicación obligatoria de Datos de Alto Valor: carácter estratégico, interés nacional, planificación y gestión territorial o alto impacto social. El OGD identifica anualmente los conjuntos candidatos, determina su publicabilidad y propone al CGTD su publicación. La determinación de publicabilidad aplica la </w:t>
      </w:r>
      <w:r>
        <w:rPr>
          <w:rFonts w:ascii="Arial" w:eastAsia="Arial" w:hAnsi="Arial" w:cs="Arial"/>
          <w:color w:val="000000"/>
          <w:highlight w:val="green"/>
        </w:rPr>
        <w:lastRenderedPageBreak/>
        <w:t>reserva tributaria conforme al artículo 85 del TUO del Código Tributario, incluidas sus excepciones expresas (entre ellas la publicación de datos estadísticos de carácter global que no permita la individualización de declaraciones, informaciones, cuentas o personas), y la normativa sobre protección de datos personales. Cuando un conjunto no resulte publicable, la justificación legal de la restricción consta igualmente en el acuerdo del CGTD. Aprobada la publicación, el OGD coordina la puesta a disposición con la unidad de organización que administra el conjunto.</w:t>
      </w:r>
    </w:p>
    <w:p w14:paraId="5388395B" w14:textId="77777777" w:rsidR="00670027" w:rsidRPr="00641EAF" w:rsidRDefault="00670027" w:rsidP="005C3A70">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6.8.6   Los SBIA se construyen sobre conjuntos de datos certificados conforme a la normativa institucional de gobernanza de datos y analítica, cuando estos existan para la materia. El uso de fuentes no certificadas se justifica en la Ficha de Evaluación de Caso de Uso (Anexo N.° 4) y consta en la Ficha de Registro de SBIA (Anexo N.° 1). En tanto no exista normativa de certificación para la materia, el OGD emite opinión sobre la idoneidad de los conjuntos de datos, conforme al numeral 6.8.2.</w:t>
      </w:r>
    </w:p>
    <w:p w14:paraId="2C0D43E2"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13F1F731" w14:textId="77777777" w:rsidR="00863A18" w:rsidRPr="00923C59" w:rsidRDefault="00863A18" w:rsidP="00B23382">
      <w:pPr>
        <w:pStyle w:val="SubtituloDONI"/>
        <w:spacing w:line="276" w:lineRule="auto"/>
        <w:ind w:left="851"/>
      </w:pPr>
      <w:r>
        <w:t>6.9</w:t>
      </w:r>
      <w:r>
        <w:tab/>
        <w:t>De la transparencia, explicabilidad y rendición de cuentas</w:t>
      </w:r>
    </w:p>
    <w:p w14:paraId="44A4CE38" w14:textId="77777777"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9"/>
      </w:r>
      <w:r>
        <w:rPr>
          <w:rFonts w:ascii="Arial" w:eastAsia="Arial" w:hAnsi="Arial" w:cs="Arial"/>
          <w:color w:val="000000"/>
          <w:highlight w:val="yellow"/>
        </w:rPr>
        <w:t>. La descripción de dichos mecanismos consta en la Ficha de Registro de SBIA (Anexo N.° 1).</w:t>
      </w:r>
      <w:r>
        <w:rPr>
          <w:rFonts w:ascii="Times New Roman" w:eastAsia="Times New Roman" w:hAnsi="Times New Roman" w:cs="Times New Roman"/>
          <w:caps/>
          <w:sz w:val="24"/>
          <w:szCs w:val="24"/>
        </w:rPr>
        <w:t xml:space="preserve"> </w:t>
      </w:r>
      <w:r>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018815C3"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El etiquetado informa al usuario, con antelación, que el producto, servicio o contenido se opera con base en IA. Permite además comprender de manera general sus principales capacidades y limitaciones funcionales. El etiquetado alcanza también a todo SBIA que interactúe directamente con el administrado, cualquiera sea su nivel de riesgo.</w:t>
      </w:r>
      <w:r>
        <w:t xml:space="preserve"> </w:t>
      </w:r>
      <w:r>
        <w:rPr>
          <w:rFonts w:ascii="Arial" w:eastAsia="Arial" w:hAnsi="Arial" w:cs="Arial"/>
          <w:color w:val="000000"/>
          <w:highlight w:val="green"/>
        </w:rPr>
        <w:t>Este etiquetado se aplica cuando resulta relevante para la toma de decisión o la interacción del usuario, sea este un administrado o un trabajador de la SUNAT, conforme al numeral 25.2 del artículo 25 del RLIA. No es exigible cuando la IA apoya procesos administrativos internos sin impacto directo en la toma de decisiones que afecten derechos o servicios a las personas. La relevancia se determina para cada SBIA y su resultado consta en la Ficha de Registro de SBIA (Anexo N.° 1).</w:t>
      </w:r>
    </w:p>
    <w:p w14:paraId="5CB77E07" w14:textId="77777777" w:rsidR="00836DA1" w:rsidRPr="00E151B6" w:rsidRDefault="00000000" w:rsidP="005060AB">
      <w:pPr>
        <w:spacing w:after="60" w:line="276" w:lineRule="auto"/>
        <w:ind w:left="1276" w:hanging="709"/>
        <w:jc w:val="both"/>
      </w:pPr>
      <w:r>
        <w:rPr>
          <w:rFonts w:ascii="Arial" w:hAnsi="Arial" w:cs="Arial"/>
          <w:color w:val="000000"/>
          <w:highlight w:val="cyan"/>
        </w:rPr>
        <w:t>6.9.3</w:t>
      </w:r>
      <w:r>
        <w:rPr>
          <w:rFonts w:ascii="Arial" w:hAnsi="Arial" w:cs="Arial"/>
          <w:color w:val="000000"/>
          <w:highlight w:val="cyan"/>
        </w:rPr>
        <w:tab/>
        <w:t xml:space="preserve">Los SBIA de riesgo alto cuentan con mecanismos de explicabilidad que permitan comprender los factores que influyeron en un resultado. Cuando un </w:t>
      </w:r>
      <w:r>
        <w:rPr>
          <w:rFonts w:ascii="Arial" w:hAnsi="Arial" w:cs="Arial"/>
          <w:color w:val="000000"/>
          <w:highlight w:val="cyan"/>
        </w:rPr>
        <w:lastRenderedPageBreak/>
        <w:t>SBIA intervenga en decisiones que impacten en derechos humanos, las personas afectadas tienen derecho a recibir la explicación de los resultados, conforme al numeral 25.3 del artículo 25 del RLIA. La explicación se proporciona mediante mecanismos que permitan comprender los criterios y factores clave utilizados, en un lenguaje accesible.</w:t>
      </w:r>
      <w:r>
        <w:t xml:space="preserve"> </w:t>
      </w:r>
      <w:r>
        <w:rPr>
          <w:rFonts w:ascii="Arial" w:hAnsi="Arial" w:cs="Arial"/>
          <w:color w:val="000000"/>
          <w:highlight w:val="green"/>
        </w:rPr>
        <w:t>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de certificación y validación del numeral 6.1.1. La explicación se proporciona con el alcance que determina el numeral 25.3 del artículo 25 del RLIA y con las limitaciones que establecen las normas sobre reserva tributaria y sobre confidencialidad de la información aduanera. Los mecanismos exigibles por tipo de SBIA y el contenido mínimo de la documentación se desarrollan en la metodología prevista en el numeral 6.1.5.</w:t>
      </w:r>
    </w:p>
    <w:p w14:paraId="066AC87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4999F83D" w14:textId="77777777" w:rsidR="00ED522E" w:rsidRDefault="00ED522E">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6.9.5    La Comisión de Gobierno de IA reporta trimestralmente al CGTD el estado del Inventario Institucional de SBIA, los incidentes, los resultados del monitoreo, la verificación técnica de seguridad, el avance de la capacitación y el cumplimiento de los indicadores. El reporte comprende además el seguimiento de los encargos previsto en el numeral 7.6, el estado de las condiciones del PAIA previsto en el numeral 7.11 y el alineamiento previsto en el numeral 7.12. Dicho reporte constituye el informe trimestral de gobierno de IA. Da cuenta de la actividad de la Comisión de Gobierno de IA y no constituye avance del Plan de Gobierno Digital.</w:t>
      </w:r>
    </w:p>
    <w:p w14:paraId="32D52908"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6.9.6</w:t>
      </w:r>
      <w:r>
        <w:rPr>
          <w:rFonts w:ascii="Arial" w:eastAsia="Arial" w:hAnsi="Arial" w:cs="Arial"/>
          <w:color w:val="000000"/>
          <w:highlight w:val="green"/>
        </w:rPr>
        <w:tab/>
        <w:t>El estado del gobierno de IA institucional se informa como sección del informe de seguimiento del Plan de Gobierno Digital que presenta el CGTD, con la periodicidad y por el conducto que dicho instrumento establece. La inclusión de los proyectos de SBIA en el Plan de Gobierno Digital se efectúa conforme al numeral 28.10 del artículo 28 del RLIA y a los numerales 7.11 y 7.12 de la presente directiva. Dicha sección sustenta la información que la SUNAT remita a la SGTD en materia de inteligencia artificial. No se genera un informe institucional adicional por esta materia.</w:t>
      </w:r>
    </w:p>
    <w:p w14:paraId="3693EED3"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r>
      <w:r>
        <w:rPr>
          <w:rFonts w:ascii="Arial" w:eastAsia="Arial" w:hAnsi="Arial" w:cs="Arial"/>
          <w:color w:val="000000"/>
          <w:highlight w:val="yellow"/>
        </w:rPr>
        <w:tab/>
        <w:t>Los lineamientos sobre Transparencia Algorítmica que apruebe la SGTD</w:t>
      </w:r>
      <w:r>
        <w:rPr>
          <w:rStyle w:val="Refdenotaalpie"/>
        </w:rPr>
        <w:footnoteReference w:id="10"/>
      </w:r>
      <w:r>
        <w:rPr>
          <w:rFonts w:ascii="Arial" w:eastAsia="Arial" w:hAnsi="Arial" w:cs="Arial"/>
          <w:color w:val="000000"/>
          <w:highlight w:val="yellow"/>
        </w:rPr>
        <w:t xml:space="preserve"> se aplican en la SUNAT desde su entrada en vigencia. La Comisión de Gobierno de IA evalúa su impacto en la presente directiva y propone al CGTD los ajustes que correspondan.</w:t>
      </w:r>
    </w:p>
    <w:p w14:paraId="643DE31A" w14:textId="77777777" w:rsidR="00863A18" w:rsidRPr="00923C59" w:rsidRDefault="00863A18" w:rsidP="00B23382">
      <w:pPr>
        <w:pStyle w:val="SubtituloDONI"/>
        <w:spacing w:line="276" w:lineRule="auto"/>
        <w:ind w:left="851"/>
      </w:pPr>
      <w:r>
        <w:lastRenderedPageBreak/>
        <w:t>6.10</w:t>
      </w:r>
      <w:r>
        <w:tab/>
        <w:t>Del monitoreo, auditoría y mejora continua</w:t>
      </w:r>
    </w:p>
    <w:p w14:paraId="353E3D1B" w14:textId="77777777" w:rsidR="00975D3B" w:rsidRPr="00975D3B" w:rsidRDefault="00000000" w:rsidP="0034493F">
      <w:pPr>
        <w:spacing w:after="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6.10.1</w:t>
      </w:r>
      <w:r>
        <w:rPr>
          <w:rFonts w:ascii="Arial" w:eastAsia="Arial" w:hAnsi="Arial" w:cs="Arial"/>
          <w:color w:val="000000"/>
          <w:highlight w:val="green"/>
        </w:rPr>
        <w:tab/>
        <w:t>Todo SBIA en operación es objeto de monitoreo. La Comisión de Gobierno de IA determina la frecuencia y la profundidad del monitoreo de cada SBIA en función de su nivel de riesgo, del impacto que un resultado erróneo produciría en el administrado o en la institución, del volumen de operaciones que procesa y del grado de autonomía con que opera. La frecuencia determinada, los indicadores aplicables conforme al numeral 6.10.2, sus umbrales determinados conforme a dicho numeral y los responsables de la medición constan en el plan de monitoreo del SBIA, que la Comisión de Gobierno de IA aprueba con anterioridad a su puesta en producción.</w:t>
      </w:r>
    </w:p>
    <w:p w14:paraId="2FBAF46D"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alto el monitoreo comprende, como mínimo, una revisión humana de periodicidad no mayor a la semanal y una revisión integral trimestral. </w:t>
      </w:r>
    </w:p>
    <w:p w14:paraId="323FB53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aceptable comprende, como mínimo, una revisión de indicadores de periodicidad no mayor a la trimestral y una revisión integral anual. </w:t>
      </w:r>
    </w:p>
    <w:p w14:paraId="5118D57A" w14:textId="77777777" w:rsidR="00975D3B" w:rsidRPr="00975D3B" w:rsidRDefault="00975D3B" w:rsidP="00975D3B">
      <w:pPr>
        <w:spacing w:after="0" w:line="276" w:lineRule="auto"/>
        <w:ind w:left="1276"/>
        <w:jc w:val="both"/>
        <w:rPr>
          <w:rFonts w:ascii="Arial" w:eastAsia="Arial" w:hAnsi="Arial" w:cs="Arial"/>
          <w:color w:val="000000"/>
          <w:highlight w:val="green"/>
        </w:rPr>
      </w:pPr>
      <w:r>
        <w:rPr>
          <w:rFonts w:ascii="Arial" w:eastAsia="Arial" w:hAnsi="Arial" w:cs="Arial"/>
          <w:color w:val="000000"/>
          <w:highlight w:val="green"/>
        </w:rPr>
        <w:t>Cuando el plan de monitoreo prevea vigilancia automatizada, esta opera durante el horario de operación del SBIA, salvo que su criticidad justifique cobertura permanente, lo que se sustenta en el mismo plan.</w:t>
      </w:r>
    </w:p>
    <w:p w14:paraId="40C28DE0" w14:textId="77777777" w:rsidR="00975D3B" w:rsidRDefault="00975D3B" w:rsidP="00975D3B">
      <w:pPr>
        <w:spacing w:after="0" w:line="276" w:lineRule="auto"/>
        <w:ind w:left="1276"/>
        <w:jc w:val="both"/>
        <w:rPr>
          <w:rFonts w:ascii="Arial" w:eastAsia="Arial" w:hAnsi="Arial" w:cs="Arial"/>
          <w:color w:val="000000"/>
        </w:rPr>
      </w:pPr>
      <w:r>
        <w:rPr>
          <w:rFonts w:ascii="Arial" w:eastAsia="Arial" w:hAnsi="Arial" w:cs="Arial"/>
          <w:color w:val="000000"/>
          <w:highlight w:val="green"/>
        </w:rPr>
        <w:t>Los criterios de determinación de la frecuencia, los tipos de monitoreo aplicables y su desarrollo operativo se establecen en la metodología prevista en el numeral 6.1.5.</w:t>
      </w:r>
    </w:p>
    <w:p w14:paraId="02C99B14" w14:textId="77777777" w:rsidR="003173B4" w:rsidRDefault="003173B4" w:rsidP="00975D3B">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6.10.2</w:t>
      </w:r>
      <w:r>
        <w:rPr>
          <w:rFonts w:ascii="Arial" w:eastAsia="Arial" w:hAnsi="Arial" w:cs="Arial"/>
          <w:color w:val="000000"/>
          <w:highlight w:val="green"/>
        </w:rPr>
        <w:tab/>
        <w:t>La Comisión de Gobierno de IA define, para cada SBIA registrado en el Inventario, los indicadores de monitoreo que como mínimo incluyen: tasa de precisión, tasa de error, tiempo de respuesta, disponibilidad, detección de drift, indicadores de sesgo, tasa de intervención humana e indicadores de detección del uso irregular previstos en el numeral 6.10.6. Los umbrales de cada indicador, las alertas que su superación activa y las acciones de tratamiento correspondientes se definen con anterioridad a la puesta en producción del SBIA, conforme a la metodología prevista en el numeral 6.1.5. En tanto no se apruebe dicha metodología, se establecen en el plan de monitoreo que aprueba la Comisión de Gobierno de IA.</w:t>
      </w:r>
      <w:r>
        <w:rPr>
          <w:rFonts w:ascii="Arial" w:eastAsia="Arial" w:hAnsi="Arial" w:cs="Arial"/>
          <w:color w:val="000000"/>
        </w:rPr>
        <w:t xml:space="preserve"> </w:t>
      </w:r>
      <w:r>
        <w:rPr>
          <w:rFonts w:ascii="Arial" w:eastAsia="Arial" w:hAnsi="Arial" w:cs="Arial"/>
          <w:color w:val="000000"/>
          <w:highlight w:val="green"/>
        </w:rPr>
        <w:t>El propietario del caso de uso, con apoyo del custodio técnico, mide y reporta estos indicadores conforme a la frecuencia establecida en el numeral 6.10.1. La Comisión de Gobierno de IA consolida los resultados y los presenta al CGTD para su evaluación.</w:t>
      </w:r>
    </w:p>
    <w:p w14:paraId="0B4EF36F" w14:textId="77777777"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6EDDA065" w14:textId="77777777" w:rsidR="00532CB5" w:rsidRDefault="00D950D6" w:rsidP="00AE1F2D">
      <w:pPr>
        <w:spacing w:after="0" w:line="276" w:lineRule="auto"/>
        <w:ind w:left="1276"/>
        <w:jc w:val="both"/>
        <w:rPr>
          <w:rFonts w:ascii="Arial" w:eastAsia="Arial" w:hAnsi="Arial" w:cs="Arial"/>
          <w:color w:val="000000"/>
        </w:rPr>
      </w:pPr>
      <w:r>
        <w:rPr>
          <w:rFonts w:ascii="Arial" w:eastAsia="Arial" w:hAnsi="Arial" w:cs="Arial"/>
          <w:color w:val="000000"/>
          <w:highlight w:val="green"/>
        </w:rPr>
        <w:t xml:space="preserve">El análisis de riesgo y las pruebas de vulnerabilidad sobre la arquitectura de aplicaciones, de información y de infraestructura tecnológica que soporta cada SBIA corresponden a la Oficina de Seguridad Informática, conforme al literal b) </w:t>
      </w:r>
      <w:r>
        <w:rPr>
          <w:rFonts w:ascii="Arial" w:eastAsia="Arial" w:hAnsi="Arial" w:cs="Arial"/>
          <w:color w:val="000000"/>
          <w:highlight w:val="green"/>
        </w:rPr>
        <w:lastRenderedPageBreak/>
        <w:t>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y el red teaming previstos en el numeral 6.7.2, con anterioridad a la implementación del SBIA y con la periodicidad que establezca el documento normativo del numeral 6.7.7, y del monitoreo del numeral 6.10, que comprende los indicadores de sesgo del numeral 6.10.2 y las medidas del numeral 6.6.4, durante toda su operación. Los resultados de estas actividades alimentan el informe trimestral de la Comisión de Gobierno de IA al CGTD.</w:t>
      </w:r>
    </w:p>
    <w:p w14:paraId="475F46EE" w14:textId="77777777" w:rsidR="00532CB5" w:rsidRPr="00532CB5" w:rsidRDefault="00532CB5" w:rsidP="00532CB5">
      <w:pPr>
        <w:spacing w:after="0" w:line="276" w:lineRule="auto"/>
        <w:ind w:left="1276" w:hanging="709"/>
        <w:jc w:val="both"/>
        <w:rPr>
          <w:rFonts w:ascii="Arial" w:hAnsi="Arial" w:cs="Arial"/>
          <w:highlight w:val="lightGray"/>
        </w:rPr>
      </w:pPr>
      <w:r>
        <w:rPr>
          <w:rFonts w:ascii="Arial" w:hAnsi="Arial" w:cs="Arial"/>
          <w:highlight w:val="lightGray"/>
        </w:rPr>
        <w:t>6.10.4 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lo califica como significativo o no conforme al numeral 6.10.5 y lo comunica a la Comisión de Gobierno de IA. La Comisión valida dicha calificación.</w:t>
      </w:r>
    </w:p>
    <w:p w14:paraId="2D30F9F2" w14:textId="77777777" w:rsidR="00532CB5" w:rsidRDefault="00532CB5" w:rsidP="00532CB5">
      <w:pPr>
        <w:spacing w:after="0" w:line="276" w:lineRule="auto"/>
        <w:ind w:left="1276" w:hanging="709"/>
        <w:jc w:val="both"/>
        <w:rPr>
          <w:rFonts w:ascii="Arial" w:hAnsi="Arial" w:cs="Arial"/>
        </w:rPr>
      </w:pPr>
      <w:r>
        <w:rPr>
          <w:rFonts w:ascii="Arial" w:hAnsi="Arial" w:cs="Arial"/>
          <w:highlight w:val="lightGray"/>
        </w:rPr>
        <w:t>6.10.</w:t>
      </w:r>
      <w:r>
        <w:rPr>
          <w:rFonts w:ascii="Arial" w:hAnsi="Arial" w:cs="Arial"/>
          <w:highlight w:val="green"/>
        </w:rPr>
        <w:t xml:space="preserve">5 Es significativo el cambio que altera el nivel de riesgo del SBIA, su finalidad, la población objetivo o el contexto de aplicación. También lo es el que degrada su desempeño por debajo de los umbrales del plan de monitoreo. Los demás cambios se gestionan conforme al numeral 6.10.4, de manera proporcional a su nivel de riesgo. El </w:t>
      </w:r>
      <w:r>
        <w:rPr>
          <w:rFonts w:ascii="Arial" w:hAnsi="Arial" w:cs="Arial"/>
          <w:highlight w:val="lightGray"/>
        </w:rPr>
        <w:t>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4AF17874" w14:textId="77777777" w:rsidR="00975D3B" w:rsidRDefault="00975D3B" w:rsidP="00532CB5">
      <w:pPr>
        <w:spacing w:after="0" w:line="276" w:lineRule="auto"/>
        <w:ind w:left="1276" w:hanging="709"/>
        <w:jc w:val="both"/>
        <w:rPr>
          <w:rFonts w:ascii="Arial" w:hAnsi="Arial" w:cs="Arial"/>
        </w:rPr>
      </w:pPr>
      <w:r>
        <w:rPr>
          <w:rFonts w:ascii="Arial" w:hAnsi="Arial" w:cs="Arial"/>
          <w:highlight w:val="green"/>
        </w:rPr>
        <w:t>6.10.6 El monitoreo comprende la detección del uso irregular del SBIA por parte de quienes lo operan o interactúan con él, con independencia del nivel de riesgo que tenga asignado. El uso irregular se distingue del uso indebido a que se refiere el artículo 23 del RLIA, que es una categoría de clasificación del SBIA. Constituyen indicios de uso irregular, entre otros, la manipulación de los datos de entrada para inducir un resultado determinado, el empleo del SBIA para una finalidad distinta de la registrada en el Inventario Institucional de SBIA y los patrones de uso incompatibles con la operación normal del proceso. La Comisión de Gobierno de IA define los indicadores que permitan detectar dichos patrones, conforme al numeral 6.10.2, y los incorpora al plan de monitoreo. Los efectos del uso irregular sobre el funcionamiento del SBIA se tratan conforme al numeral 6.7.5. La conducta se comunica a la Oficina de Integridad Institucional y se trata conforme a las normas de integridad institucional.</w:t>
      </w:r>
    </w:p>
    <w:p w14:paraId="2CA6D52E" w14:textId="77777777" w:rsidR="00FC0075" w:rsidRDefault="00FC0075" w:rsidP="00532CB5">
      <w:pPr>
        <w:spacing w:after="0" w:line="276" w:lineRule="auto"/>
        <w:ind w:left="1276" w:hanging="709"/>
        <w:jc w:val="both"/>
        <w:rPr>
          <w:rFonts w:ascii="Arial" w:hAnsi="Arial" w:cs="Arial"/>
        </w:rPr>
      </w:pPr>
    </w:p>
    <w:p w14:paraId="174D13CA" w14:textId="77777777" w:rsidR="00D02E5D" w:rsidRDefault="00D02E5D" w:rsidP="00532CB5">
      <w:pPr>
        <w:spacing w:after="0" w:line="276" w:lineRule="auto"/>
        <w:ind w:left="1276" w:hanging="709"/>
        <w:jc w:val="both"/>
        <w:rPr>
          <w:rFonts w:ascii="Arial" w:hAnsi="Arial" w:cs="Arial"/>
        </w:rPr>
      </w:pPr>
    </w:p>
    <w:p w14:paraId="02FCEA34"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 y ético, de las capacidades y proveedores</w:t>
      </w:r>
    </w:p>
    <w:p w14:paraId="3BB17ABF" w14:textId="77777777" w:rsidR="00863A18" w:rsidRPr="00923C59" w:rsidRDefault="00863A18" w:rsidP="00B23382">
      <w:pPr>
        <w:pStyle w:val="SubtituloDONI"/>
        <w:spacing w:line="276" w:lineRule="auto"/>
        <w:ind w:left="851"/>
      </w:pPr>
      <w:r>
        <w:t>6.11</w:t>
      </w:r>
      <w:r>
        <w:tab/>
        <w:t>Del uso responsable de herramientas de IA</w:t>
      </w:r>
    </w:p>
    <w:p w14:paraId="22BED18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0D78CDE3" w14:textId="77777777" w:rsidR="000C7600" w:rsidRPr="000C7600" w:rsidRDefault="000C7600">
      <w:pPr>
        <w:pStyle w:val="Prrafodelista"/>
        <w:numPr>
          <w:ilvl w:val="0"/>
          <w:numId w:val="5"/>
        </w:numPr>
        <w:spacing w:after="40" w:line="276" w:lineRule="auto"/>
        <w:ind w:left="1701"/>
        <w:rPr>
          <w:b w:val="0"/>
          <w:bCs w:val="0"/>
          <w:highlight w:val="green"/>
        </w:rPr>
      </w:pPr>
      <w:r>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6E7F2686" w14:textId="77777777"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1EF5D134"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5767685E"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1BCBFF"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066DB40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6.11.2</w:t>
      </w:r>
      <w:r>
        <w:rPr>
          <w:rFonts w:ascii="Arial" w:eastAsia="Arial" w:hAnsi="Arial" w:cs="Arial"/>
          <w:color w:val="000000"/>
          <w:highlight w:val="green"/>
        </w:rPr>
        <w:tab/>
        <w:t>El catálogo de herramientas de IA autorizadas para uso institucional, en adelante el catálogo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información sujeta a reserva tributaria, conforme al numeral 6.7.3. La INSI lo publica y lo mantiene actualizado.</w:t>
      </w:r>
    </w:p>
    <w:p w14:paraId="39A13C53"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6.11.3</w:t>
      </w:r>
      <w:r>
        <w:rPr>
          <w:rFonts w:ascii="Arial" w:eastAsia="Arial" w:hAnsi="Arial" w:cs="Arial"/>
          <w:color w:val="000000"/>
          <w:highlight w:val="green"/>
        </w:rPr>
        <w:tab/>
        <w:t xml:space="preserve">Los lineamientos técnicos que regulan el uso de LLM open source en la infraestructura institucional integran los documentos técnicos de arquitectura previstos en el numeral 6.5.3. La División de Arquitectura de Información y de Aplicaciones los elabora y propone en lo referido al modelo y a la arquitectura de aplicaciones, conforme al literal b) del artículo 132 del ROF, y la División de Arquitectura Tecnológica en lo referido a la infraestructura especializada que los soporta, conforme a los literales c) y d) del artículo 134 del ROF. Su aprobación se efectúa conforme al numeral 6.5.3. Las unidades de organización los cumplen como condición para el despliegue de estos modelos. En tanto no se aprueben, el despliegue de estos modelos requiere la autorización previa de la Gerencia de Arquitectura y observa los controles del numeral 6.7.2. </w:t>
      </w:r>
      <w:r>
        <w:rPr>
          <w:rFonts w:ascii="Arial" w:eastAsia="Arial" w:hAnsi="Arial" w:cs="Arial"/>
          <w:color w:val="000000"/>
          <w:highlight w:val="cyan"/>
        </w:rPr>
        <w:t>El despliegue de estos modelos observa, en lo que corresponda, el Procedimiento para el Registro, Control y Retiro de Software de la SUNAT (A-03.3.2-PR-01).</w:t>
      </w:r>
    </w:p>
    <w:p w14:paraId="799421AD" w14:textId="77777777" w:rsidR="0018147B" w:rsidRDefault="00000000" w:rsidP="00454C03">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6.11.4</w:t>
      </w:r>
      <w:r>
        <w:rPr>
          <w:rFonts w:ascii="Arial" w:eastAsia="Arial" w:hAnsi="Arial" w:cs="Arial"/>
          <w:color w:val="000000"/>
          <w:highlight w:val="green"/>
        </w:rPr>
        <w:tab/>
        <w:t xml:space="preserve">Ninguna unidad de organización desarrolla, adquiere, contrata, implementa u opera SBIA fuera del límite de la presente directiva, independientemente de su </w:t>
      </w:r>
      <w:r>
        <w:rPr>
          <w:rFonts w:ascii="Arial" w:eastAsia="Arial" w:hAnsi="Arial" w:cs="Arial"/>
          <w:color w:val="000000"/>
          <w:highlight w:val="green"/>
        </w:rPr>
        <w:lastRenderedPageBreak/>
        <w:t>complejidad, presupuesto o ámbito geográfico. En particular: (a) toda iniciativa de SBIA como proyecto se sujeta al ciclo de vida del numeral 6.1, incluidos sus hitos de aprobación, y se registra en el Inventario Institucional de SBIA; (b) toda herramienta de IA que se contrate como servicio (suscripciones, APIs, plataformas SaaS) cuenta previamente con la aprobación prevista en el numeral 6.11.5 y con su inclusión en el catálogo institucional (numeral 6.11.2). Cuando la herramienta constituya además un SBIA, le son aplicables las verificaciones del numeral 6.12 que correspondan. Los colaboradores utilizan exclusivamente las herramientas de IA que figuran en dicho catálogo. La Comisión de Gobierno de IA promueve la regularización mediante el registro y el acompañamiento proporcional a la unidad involucrada, y comunica al CGTD y, según corresponda, a la OII, los incumplimientos reiterados. Cuando de la regularización resulte que el SBIA corresponde a la categoría de uso indebido prevista en el artículo 23 del RLIA, no procede su regularización y se aplica lo dispuesto en los numerales 6.2.1, 6.2.3 y 6.2.6.</w:t>
      </w:r>
    </w:p>
    <w:p w14:paraId="42DCEEC5" w14:textId="77777777"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 xml:space="preserve">La GA aprueba las herramientas de IA que pueden emplearse en la SUNAT, conforme a sus funciones (artículo 130, literal c, del ROF), y las registra en el catálogo institucional. </w:t>
      </w:r>
      <w:r>
        <w:rPr>
          <w:rFonts w:ascii="Arial" w:hAnsi="Arial" w:cs="Arial"/>
          <w:color w:val="000000"/>
          <w:highlight w:val="green"/>
        </w:rPr>
        <w:t xml:space="preserve">La División de Gestión de Infraestructura Tecnológica y la División de Atención a Usuarios administran el inventario de software, cada una en el ámbito de su competencia, conforme al literal b) del artículo 140 y al literal e) del artículo 142 del ROF. A través de dicho inventario se verifica que los equipos informáticos tengan instalado únicamente software autorizado. </w:t>
      </w:r>
      <w:r>
        <w:rPr>
          <w:rFonts w:ascii="Arial" w:hAnsi="Arial" w:cs="Arial"/>
          <w:color w:val="000000"/>
          <w:highlight w:val="cyan"/>
        </w:rPr>
        <w:t>El catálogo institucional constituye el subconjunto de inteligencia artificial del inventario de software autorizado; ambos se distinguen del Inventario Institucional de SBIA, que registra los SBIA y no las herramientas.</w:t>
      </w:r>
      <w:r>
        <w:rPr>
          <w:rFonts w:ascii="Arial" w:eastAsia="Arial" w:hAnsi="Arial" w:cs="Arial"/>
          <w:color w:val="000000"/>
          <w:highlight w:val="cyan"/>
        </w:rPr>
        <w:t xml:space="preserve"> </w:t>
      </w:r>
      <w:r>
        <w:rPr>
          <w:rFonts w:ascii="Arial" w:eastAsia="Arial" w:hAnsi="Arial" w:cs="Arial"/>
          <w:color w:val="000000"/>
          <w:highlight w:val="green"/>
        </w:rPr>
        <w:t>El registro, el control y el retiro de las herramientas de IA que requieren instalación en los equipos informáticos se rigen por el Procedimiento para el Registro, Control y Retiro de Software de la SUNAT (A-03.3.2-PR-01). La Gerencia de Operaciones y Soporte a Usuarios adecúa dicho procedimiento para 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30C0DE66" w14:textId="77777777" w:rsidR="00863A18" w:rsidRPr="00923C59" w:rsidRDefault="00863A18" w:rsidP="00B23382">
      <w:pPr>
        <w:pStyle w:val="SubtituloDONI"/>
        <w:spacing w:line="276" w:lineRule="auto"/>
        <w:ind w:left="851"/>
      </w:pPr>
      <w:r>
        <w:t>6.12</w:t>
      </w:r>
      <w:r>
        <w:tab/>
        <w:t>De la gestión de proveedores de IA</w:t>
      </w:r>
    </w:p>
    <w:p w14:paraId="7220B8EE"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6.12.1</w:t>
      </w:r>
      <w:r>
        <w:rPr>
          <w:rFonts w:ascii="Arial" w:eastAsia="Arial" w:hAnsi="Arial" w:cs="Arial"/>
          <w:color w:val="000000"/>
          <w:highlight w:val="green"/>
        </w:rPr>
        <w:tab/>
        <w:t>La unidad de organización que formula los términos de referencia o las especificaciones técnicas para la adquisición de un SBIA incorpora en ellos los requisitos de cumplimiento de la presente directiva y de la normativa aplicable. La Gerencia de Arquitectura verifica su incorporación con anterioridad a la aprobación de los términos de referencia o de las especificaciones técnicas, conforme al literal c) del artículo 130 del ROF. El resultado de la verificación consta en el expediente de contratación.</w:t>
      </w:r>
    </w:p>
    <w:p w14:paraId="6C638668" w14:textId="77777777" w:rsidR="003173B4" w:rsidRDefault="003173B4"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6.12.2</w:t>
      </w:r>
      <w:r>
        <w:rPr>
          <w:rFonts w:ascii="Arial" w:eastAsia="Arial" w:hAnsi="Arial" w:cs="Arial"/>
          <w:color w:val="000000"/>
          <w:highlight w:val="green"/>
        </w:rPr>
        <w:tab/>
        <w:t xml:space="preserve">La unidad de organización que formula los términos de referencia o las especificaciones técnicas incorpora en ellos las cláusulas que el contrato debe contener sobre: (a) protección de datos y reserva tributaria; (b) transparencia </w:t>
      </w:r>
      <w:r>
        <w:rPr>
          <w:rFonts w:ascii="Arial" w:eastAsia="Arial" w:hAnsi="Arial" w:cs="Arial"/>
          <w:color w:val="000000"/>
          <w:highlight w:val="green"/>
        </w:rPr>
        <w:lastRenderedPageBreak/>
        <w:t>del modelo; (c) comunicación de vulnerabilidades e incidentes; (d) derecho de auditoría, incluida la realización de auditorías éticas y de sesgo sobre el modelo; (e) transferencia de conocimiento; (f) cumplimiento de estándares técnicos; y (g) la identificación de los subprocesadores autorizados y las condiciones de recuperación de la información institucional a la conclusión del contrato. El plazo de notificación de vulnerabilidades se define en los TDR o EETT de cada contratación, según la criticidad del SBIA.</w:t>
      </w:r>
    </w:p>
    <w:p w14:paraId="41283F0A"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6.12.3</w:t>
      </w:r>
      <w:r>
        <w:rPr>
          <w:rFonts w:ascii="Arial" w:eastAsia="Arial" w:hAnsi="Arial" w:cs="Arial"/>
          <w:color w:val="000000"/>
          <w:highlight w:val="green"/>
        </w:rPr>
        <w:tab/>
        <w:t>Para SBIA SaaS, la INSI verifica que las condiciones técnicas y operativas del servicio se ajusten a la restricción del numeral 6.7.3. La compatibilidad de los términos de uso con las obligaciones de la SUNAT en materia de datos es materia de la opinión previa de la INALI prevista en el numeral 5.4. Estos SBIA no procesan información sujeta a reserva tributaria.</w:t>
      </w:r>
    </w:p>
    <w:p w14:paraId="400734D4"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6.12.4</w:t>
      </w:r>
      <w:r>
        <w:rPr>
          <w:rFonts w:ascii="Arial" w:eastAsia="Arial" w:hAnsi="Arial" w:cs="Arial"/>
          <w:color w:val="000000"/>
          <w:highlight w:val="green"/>
        </w:rPr>
        <w:tab/>
        <w:t>La unidad de organización que formula los términos de referencia o las especificaciones técnicas incorpora en ellos la cláusula que prohíbe al proveedor y a su personal emplear la información de la SUNAT a la que accedan en ejecución del contrato, las instrucciones que se les remitan y los resultados derivados de su tratamiento, para entrenar, ajustar o mejorar sus modelos o para cualquier fin distinto de la ejecución del contrato. Tratándose de información sujeta a reserva tributaria, la prohibición se sustenta en el artículo 85 del Código Tributario, que extiende la obligación de reserva a quienes accedan a dicha información.</w:t>
      </w:r>
    </w:p>
    <w:p w14:paraId="6F828CD1" w14:textId="77777777" w:rsidR="0018147B" w:rsidRDefault="00000000" w:rsidP="009A1F1B">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6.12.5</w:t>
      </w:r>
      <w:r>
        <w:rPr>
          <w:rFonts w:ascii="Arial" w:eastAsia="Arial" w:hAnsi="Arial" w:cs="Arial"/>
          <w:color w:val="000000"/>
          <w:highlight w:val="green"/>
        </w:rPr>
        <w:tab/>
        <w:t>Para los SBIA de riesgo alto, los contratos obligan al proveedor a entregar la documentación técnica sobre los principios de funcionamiento del sistema, las fuentes de datos utilizadas y la lógica del algoritmo, conforme al numeral 31.1 del artículo 31 del RLIA, en la medida necesaria para el cumplimiento de las obligaciones de transparencia y explicabilidad de la SUNAT y con respeto del secreto industrial y comercial, conforme al numeral 25.1 del artículo 25 del RLIA. La Comisión de Gobierno de IA determina el alcance de la documentación exigible al evaluar el componente de IA del caso de uso. No se admiten soluciones de caja negra no auditables.</w:t>
      </w:r>
    </w:p>
    <w:p w14:paraId="7E612C07" w14:textId="77777777" w:rsidR="00863A18" w:rsidRPr="00641EAF" w:rsidRDefault="00863A18" w:rsidP="00B23382">
      <w:pPr>
        <w:pStyle w:val="SubtituloDONI"/>
        <w:spacing w:line="276" w:lineRule="auto"/>
        <w:ind w:left="851"/>
        <w:rPr>
          <w:highlight w:val="green"/>
        </w:rPr>
      </w:pPr>
      <w:r>
        <w:rPr>
          <w:highlight w:val="green"/>
        </w:rPr>
        <w:t>6.13</w:t>
      </w:r>
      <w:r>
        <w:rPr>
          <w:highlight w:val="green"/>
        </w:rPr>
        <w:tab/>
        <w:t>De la sensibilización, la capacitación y la gestión del cambio</w:t>
      </w:r>
    </w:p>
    <w:p w14:paraId="70E2FD5B"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conduce el proceso de elaboración de las acciones de sensibilización y capacitación vinculadas al uso de sistemas basados en inteligencia artificial, conforme a los literales a) y f) del artículo 197 del ROF. Las conduce con el apoyo técnico de la Comisión de Gobierno de IA y eleva la propuesta para su aprobación.</w:t>
      </w:r>
    </w:p>
    <w:p w14:paraId="4F1E6CCA"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6.13.1 Sensibilización</w:t>
      </w:r>
    </w:p>
    <w:p w14:paraId="5D406E67" w14:textId="77777777" w:rsidR="00641EAF"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Todo el personal de la SUNAT vinculado al diseño, desarrollo, implementación, evaluación o uso de SBIA es sensibilizado respecto del uso seguro, responsable y ético de dichos sistemas, así como de los riesgos asociados y de las disposiciones establecidas en la Política de IA.</w:t>
      </w:r>
    </w:p>
    <w:p w14:paraId="0BD84A46" w14:textId="77777777" w:rsidR="00462A57" w:rsidRPr="00833CDE"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Las acciones de sensibilización consideran, como mínimo:</w:t>
      </w:r>
    </w:p>
    <w:p w14:paraId="03A625A4"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lastRenderedPageBreak/>
        <w:t>La finalidad y los principios institucionales aplicables a los SBIA</w:t>
      </w:r>
    </w:p>
    <w:p w14:paraId="17FEBFA0"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Los riesgos derivados de su diseño, desarrollo, implementación y uso.</w:t>
      </w:r>
    </w:p>
    <w:p w14:paraId="230A15B3"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los derechos fundamentales de los administrados y la prevención de sesgos o resultados discriminatorios.</w:t>
      </w:r>
    </w:p>
    <w:p w14:paraId="54EF2CD2"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la reserva tributaria, secreto comercial y demás obligaciones de confidencialidad aplicables.</w:t>
      </w:r>
    </w:p>
    <w:p w14:paraId="7697685A"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El impacto social y ambiental de los SBIA.</w:t>
      </w:r>
    </w:p>
    <w:p w14:paraId="298B2C66" w14:textId="77777777"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Pr>
          <w:rFonts w:ascii="Arial" w:eastAsia="Arial" w:hAnsi="Arial" w:cs="Arial"/>
          <w:color w:val="000000"/>
          <w:highlight w:val="green"/>
        </w:rPr>
        <w:t>Esta disposición desarrolla el principio rector de sensibilización y educación en IA establecido en el literal f) del artículo 7 del RLIA, en concordancia con el numeral 7.3 de la NTP-ISO/IEC 42001:2025.</w:t>
      </w:r>
    </w:p>
    <w:p w14:paraId="5B330784"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6.13.2 Capacitación y fortalecimiento de capacidades</w:t>
      </w:r>
    </w:p>
    <w:p w14:paraId="4FB43136"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SBIA mediante acciones formativas. </w:t>
      </w:r>
    </w:p>
    <w:p w14:paraId="4ED0D1CA"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 La Intendencia Nacional de Recursos Humanos las incorpora en dicho instrumento a propuesta de la Comisión de Gobierno de IA. En tanto no se incorporen, las acciones formativas en materia de IA se ejecutan conforme al presente numeral.</w:t>
      </w:r>
    </w:p>
    <w:p w14:paraId="3C0CFECF"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Estas acciones consideran, como mínimo:</w:t>
      </w:r>
    </w:p>
    <w:p w14:paraId="59982F87"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Los fundamentos y el ciclo de vida de los SBIA.</w:t>
      </w:r>
    </w:p>
    <w:p w14:paraId="3E643033" w14:textId="42A966C2"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gestión de los riesgos de IA.</w:t>
      </w:r>
    </w:p>
    <w:p w14:paraId="2499EC6C"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ética, integridad y responsabilidad en el uso de la IA.</w:t>
      </w:r>
    </w:p>
    <w:p w14:paraId="400FA12F"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datos personales.</w:t>
      </w:r>
    </w:p>
    <w:p w14:paraId="32A75986"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la reserva tributaria cuando los sistemas procesen información de los administrados.</w:t>
      </w:r>
    </w:p>
    <w:p w14:paraId="59222E2A"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 disposición se implementa conforme al numeral 28.5 del artículo 28 del RLIA y en concordancia con el numeral 7.2 y el Anexo A.4 de la NTP</w:t>
      </w:r>
      <w:r>
        <w:rPr>
          <w:rFonts w:ascii="Arial" w:eastAsia="Arial" w:hAnsi="Arial" w:cs="Arial"/>
          <w:color w:val="000000"/>
          <w:highlight w:val="lightGray"/>
        </w:rPr>
        <w:noBreakHyphen/>
        <w:t>ISO/IEC 42001:2025.</w:t>
      </w:r>
    </w:p>
    <w:p w14:paraId="0F51DBD9"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6.13.3 Gestión del cambio</w:t>
      </w:r>
    </w:p>
    <w:p w14:paraId="526BDE76"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0F422B6A" w14:textId="77777777"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Las acciones de gestión del cambio facilitan la consolidación de la Política de IA y del sistema de gestión de IA, promoviendo su integración en la gestión institucional y favoreciendo las condiciones organizacionales necesarias para </w:t>
      </w:r>
      <w:r>
        <w:rPr>
          <w:rFonts w:ascii="Arial" w:eastAsia="Arial" w:hAnsi="Arial" w:cs="Arial"/>
          <w:color w:val="000000"/>
          <w:highlight w:val="lightGray"/>
        </w:rPr>
        <w:lastRenderedPageBreak/>
        <w:t>su sostenibilidad y mejora continua, en concordancia con los numerales 28.1 y 28.2 del artículo 28 del RLIA.</w:t>
      </w:r>
    </w:p>
    <w:p w14:paraId="78882D1D"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1B37A6CD"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En el desarrollo, la implementación y el uso de los SBIA, la SUNAT observa las acciones previstas en el numeral 27.1 del artículo 27 del RLIA. Promueve la participación de equipos diversos y multidisciplinarios. Garantiza el pleno respeto de los derechos humanos y evita que se generen resultados injustos o discriminatorios. Considera el impacto social y ambiental. Implementa las mejores prácticas, estándares y normas técnicas para identificar y minimizar los sesgos de los algoritmos y de las bases de datos utilizados</w:t>
      </w:r>
      <w:r>
        <w:rPr>
          <w:rStyle w:val="Refdenotaalpie"/>
        </w:rPr>
        <w:footnoteReference w:id="11"/>
      </w:r>
      <w:r>
        <w:rPr>
          <w:rFonts w:ascii="Arial" w:eastAsia="Arial" w:hAnsi="Arial" w:cs="Arial"/>
          <w:color w:val="000000"/>
          <w:highlight w:val="yellow"/>
        </w:rPr>
        <w:t>.</w:t>
      </w:r>
    </w:p>
    <w:p w14:paraId="4106C44A" w14:textId="77777777"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r>
      <w:r>
        <w:rPr>
          <w:rFonts w:ascii="Arial" w:eastAsia="Arial" w:hAnsi="Arial" w:cs="Arial"/>
          <w:color w:val="000000"/>
          <w:highlight w:val="green"/>
        </w:rPr>
        <w:t xml:space="preserve">La SUNAT promueve que su personal cumpla, en el desarrollo, la implementación y el uso de los SBIA, las normas del Código de Ética de la Función Pública, su Reglamento y las normas de integridad, así como las recomendaciones internacionales y los principios éticos de la Organización para la Cooperación y el Desarrollo Económico (OCDE) en materia de inteligencia artificial, conforme al numeral 28.9 del artículo 28 del RLIA. La OII supervisa en los SBIA el cumplimiento de los principios rectores establecidos en el artículo 7 del RLIA y de los compromisos de la Política de IA; evalúa los riesgos de sesgo y discriminación y administra el canal de consultas éticas en materia de IA. </w:t>
      </w:r>
      <w:r>
        <w:rPr>
          <w:rFonts w:ascii="Arial" w:eastAsia="Arial" w:hAnsi="Arial" w:cs="Arial"/>
          <w:color w:val="000000"/>
          <w:highlight w:val="yellow"/>
        </w:rPr>
        <w:t>Su opinión sobre la clasificación de riesgo consta conforme al numeral 6.2.2.</w:t>
      </w:r>
      <w:r>
        <w:t xml:space="preserve"> </w:t>
      </w:r>
      <w:r>
        <w:rPr>
          <w:rFonts w:ascii="Arial" w:eastAsia="Arial" w:hAnsi="Arial" w:cs="Arial"/>
          <w:color w:val="000000"/>
          <w:highlight w:val="green"/>
        </w:rPr>
        <w:t>Esta disposición desarrolla el numeral 28.9 del artículo 28 del RLIA.</w:t>
      </w:r>
    </w:p>
    <w:p w14:paraId="3BA51F1A"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2"/>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48A70894" w14:textId="77777777" w:rsidR="00326739" w:rsidRDefault="00326739" w:rsidP="002D136C">
      <w:pPr>
        <w:pStyle w:val="SubtituloDONI"/>
        <w:spacing w:line="276" w:lineRule="auto"/>
        <w:ind w:left="851"/>
        <w:rPr>
          <w:highlight w:val="lightGray"/>
        </w:rPr>
      </w:pPr>
      <w:r>
        <w:rPr>
          <w:highlight w:val="lightGray"/>
        </w:rPr>
        <w:t>6.15 De la articulación con la formulación de iniciativas, proyectos e inversiones</w:t>
      </w:r>
    </w:p>
    <w:p w14:paraId="4B00F154" w14:textId="77777777" w:rsidR="00B10C11" w:rsidRDefault="00B10C11" w:rsidP="00B10C11">
      <w:pPr>
        <w:tabs>
          <w:tab w:val="left" w:pos="567"/>
        </w:tabs>
        <w:spacing w:after="60" w:line="276" w:lineRule="auto"/>
        <w:ind w:left="567"/>
        <w:jc w:val="both"/>
        <w:rPr>
          <w:rFonts w:ascii="Arial" w:eastAsia="Arial" w:hAnsi="Arial" w:cs="Arial"/>
          <w:color w:val="000000"/>
        </w:rPr>
      </w:pPr>
      <w:r>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7E36FC01" w14:textId="77777777" w:rsidR="006D44AB" w:rsidRPr="006D44AB" w:rsidRDefault="00326739" w:rsidP="006D44AB">
      <w:pPr>
        <w:tabs>
          <w:tab w:val="left" w:pos="1276"/>
        </w:tabs>
        <w:spacing w:after="60" w:line="276" w:lineRule="auto"/>
        <w:ind w:left="1276" w:hanging="709"/>
        <w:jc w:val="both"/>
        <w:rPr>
          <w:rFonts w:ascii="Arial" w:hAnsi="Arial" w:cs="Arial"/>
          <w:highlight w:val="green"/>
        </w:rPr>
      </w:pPr>
      <w:r>
        <w:rPr>
          <w:rFonts w:ascii="Arial" w:hAnsi="Arial" w:cs="Arial"/>
          <w:highlight w:val="green"/>
        </w:rPr>
        <w:t xml:space="preserve">6.15.1 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 La opinión comprende la pertinencia del uso de inteligencia artificial y la clasificación de riesgo del componente, conforme al Anexo N.° 2 y a los artículos 22 a 24 del RLIA. </w:t>
      </w:r>
      <w:r>
        <w:rPr>
          <w:rFonts w:ascii="Arial" w:hAnsi="Arial" w:cs="Arial"/>
          <w:highlight w:val="green"/>
        </w:rPr>
        <w:lastRenderedPageBreak/>
        <w:t>Determinar la pertinencia es establecer si el resultado esperado requiere inteligencia artificial o se alcanza sin ella, conforme al numeral 5.1.4. Los controles aplicables se determinan a partir de la clasificación, conforme al numeral 6.2.5. La opinión no comprende la generación de valor, el costo, la prioridad ni la viabilidad presupuestal de la iniciativa, que corresponden a los instrumentos de gestión respectivos y a las instancias competentes. La opinión adopta uno de los siguientes pronunciamientos:</w:t>
      </w:r>
    </w:p>
    <w:p w14:paraId="1E6EA010" w14:textId="77777777"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Pr>
          <w:b w:val="0"/>
          <w:bCs w:val="0"/>
          <w:highlight w:val="green"/>
        </w:rPr>
        <w:t>Favorable.</w:t>
      </w:r>
    </w:p>
    <w:p w14:paraId="14FF364B" w14:textId="77777777" w:rsidR="006D44AB" w:rsidRPr="006D44AB" w:rsidRDefault="00617198"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Favorable con condiciones, que identifica los controles que corresponden conforme al numeral 6.2.5 y cuya implementación se verifica en la etapa 5 del numeral 6.1.1. Los SBIA clasificados de riesgo alto reciben este pronunciamiento.</w:t>
      </w:r>
    </w:p>
    <w:p w14:paraId="1DD2A2BB" w14:textId="77777777"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No favorable, cuando el uso es indebido conforme al artículo 23 del RLIA, contraviene la Política de IA o la normativa vigente, o el resultado esperado se alcanza sin inteligencia artificial. En este último caso la iniciativa puede continuar sin el componente de IA.</w:t>
      </w:r>
    </w:p>
    <w:p w14:paraId="34B99E5A" w14:textId="77777777" w:rsidR="006D44AB" w:rsidRDefault="006B7D44" w:rsidP="006D44AB">
      <w:pPr>
        <w:tabs>
          <w:tab w:val="left" w:pos="1276"/>
        </w:tabs>
        <w:spacing w:after="60" w:line="276" w:lineRule="auto"/>
        <w:ind w:left="1276"/>
        <w:jc w:val="both"/>
        <w:rPr>
          <w:rFonts w:ascii="Arial" w:hAnsi="Arial" w:cs="Arial"/>
        </w:rPr>
      </w:pPr>
      <w:r>
        <w:rPr>
          <w:rFonts w:ascii="Arial" w:hAnsi="Arial" w:cs="Arial"/>
          <w:highlight w:val="green"/>
        </w:rPr>
        <w:t>6.15.2 El uso indebido está prohibido por el artículo 23 del RLIA y el sometimiento de los SBIA de riesgo alto a condiciones y controles es obligatorio conforme al literal b) del numeral 22.1 del artículo 22 del RLIA, a sus artículos 25, 29 y 30 y al numeral 28.11 de su artículo 28: en ambos casos obliga la norma, no la opinión. En 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4FFCA1EF" w14:textId="77777777" w:rsidR="00326739" w:rsidRPr="002D136C" w:rsidRDefault="00326739" w:rsidP="006D44AB">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6.15.3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29DD335B" w14:textId="77777777" w:rsidR="001E5BAD" w:rsidRPr="001E5BAD" w:rsidRDefault="00326739"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6.15.4 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2607E242" w14:textId="77777777"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Pr>
          <w:b w:val="0"/>
          <w:bCs w:val="0"/>
          <w:highlight w:val="green"/>
        </w:rPr>
        <w:t>en el caso de negocio en su conceptualización inicial, antes de que el Superintendente Nacional Adjunto autorice su presentación al Superintendente Nacional;</w:t>
      </w:r>
    </w:p>
    <w:p w14:paraId="177FBA4C"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caso de negocio detallado y en el plan de gestión del proyecto, cuando el detalle de los componentes funcionales revele un componente de IA no previsto;</w:t>
      </w:r>
    </w:p>
    <w:p w14:paraId="1A1AB18E"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lastRenderedPageBreak/>
        <w:t>en el modelamiento del proceso de negocio, antes de su remisión a la INSI para desarrollo, cuando este revele un componente de IA no declarado en el alcance inicial;</w:t>
      </w:r>
    </w:p>
    <w:p w14:paraId="0D1A540E"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 actualización del caso de negocio prevista en el MGPP, cuando esta incorpore un componente de IA;</w:t>
      </w:r>
    </w:p>
    <w:p w14:paraId="46174ACB"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las solicitudes de cambio que incorporen, sustituyan o modifiquen un componente de IA, impacten o no los entregables y los hitos de control.</w:t>
      </w:r>
    </w:p>
    <w:p w14:paraId="069D1FF2" w14:textId="77777777" w:rsidR="00326739" w:rsidRPr="002D136C" w:rsidRDefault="00326739" w:rsidP="002D136C">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6.15.5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54DF445B" w14:textId="77777777" w:rsidR="00670027" w:rsidRDefault="00326739" w:rsidP="00EF2B54">
      <w:pPr>
        <w:spacing w:after="60" w:line="276" w:lineRule="auto"/>
        <w:ind w:left="1276" w:hanging="709"/>
        <w:jc w:val="both"/>
        <w:rPr>
          <w:rFonts w:ascii="Arial" w:hAnsi="Arial" w:cs="Arial"/>
        </w:rPr>
      </w:pPr>
      <w:r>
        <w:rPr>
          <w:rFonts w:ascii="Arial" w:hAnsi="Arial" w:cs="Arial"/>
          <w:highlight w:val="green"/>
        </w:rPr>
        <w:t>6.15.6 Las unidades de organización competentes de cada instrumento de gestión incorporan en sus documentos normativos la verificación del componente de IA y la opinión de la Comisión de Gobierno de IA, conforme al numeral 7.6. Esta incorporación alcanza al Modelo de Gobernabilidad de Programas y Proyectos y a la gestión de la demanda informática. La presente directiva no sustituye dichos instrumentos.</w:t>
      </w:r>
    </w:p>
    <w:p w14:paraId="144E2ECD" w14:textId="77777777" w:rsidR="000153F0" w:rsidRPr="00A72414" w:rsidRDefault="00670027" w:rsidP="00A72414">
      <w:pPr>
        <w:spacing w:after="60" w:line="276" w:lineRule="auto"/>
        <w:ind w:left="1276" w:hanging="709"/>
        <w:jc w:val="both"/>
        <w:rPr>
          <w:rFonts w:ascii="Arial" w:eastAsia="Arial" w:hAnsi="Arial" w:cs="Arial"/>
          <w:color w:val="000000"/>
          <w:highlight w:val="yellow"/>
        </w:rPr>
      </w:pPr>
      <w:r>
        <w:rPr>
          <w:rFonts w:ascii="Arial" w:hAnsi="Arial" w:cs="Arial"/>
          <w:highlight w:val="lightGray"/>
        </w:rPr>
        <w:t>6.15.7 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institucional de gobernanza de datos y analítica. En tanto dicha normativa no se apruebe, esas materias se rigen por el numeral 6.8 de la presente directiva.</w:t>
      </w:r>
      <w:r>
        <w:rPr>
          <w:rFonts w:ascii="Arial" w:hAnsi="Arial" w:cs="Arial"/>
        </w:rPr>
        <w:br w:type="page"/>
      </w:r>
    </w:p>
    <w:p w14:paraId="16663CDA" w14:textId="77777777"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lastRenderedPageBreak/>
        <w:tab/>
      </w:r>
      <w:r>
        <w:rPr>
          <w:rFonts w:ascii="Arial" w:hAnsi="Arial" w:cs="Arial"/>
          <w:highlight w:val="green"/>
        </w:rPr>
        <w:t>6.15.8 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6B392A85" w14:textId="77777777"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tab/>
      </w:r>
      <w:r>
        <w:rPr>
          <w:rFonts w:ascii="Arial" w:hAnsi="Arial" w:cs="Arial"/>
          <w:highlight w:val="green"/>
        </w:rPr>
        <w:t>6.15.9 Cuando se requiera sustentar la opinión de la Comisión ante el Comité de Proyecto, concurre a la sesión el Coordinador de la Comisión de Gobierno de IA o el miembro que esta designe. Su concurrencia no altera la composición ni las competencias del Comité de Proyecto.</w:t>
      </w:r>
    </w:p>
    <w:p w14:paraId="0B211A6B" w14:textId="77777777" w:rsidR="00326739"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tab/>
      </w:r>
      <w:r>
        <w:rPr>
          <w:rFonts w:ascii="Arial" w:hAnsi="Arial" w:cs="Arial"/>
          <w:highlight w:val="green"/>
        </w:rPr>
        <w:t>6.15.10 La unidad de organización competente del MGPP incorpora en dicho instrumento el momento y la instancia ante la que se recaba la opinión, conforme al numeral 7.6.</w:t>
      </w:r>
    </w:p>
    <w:p w14:paraId="0FFF3625"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t>DISPOSICIONES FINALES</w:t>
      </w:r>
      <w:bookmarkEnd w:id="7"/>
    </w:p>
    <w:p w14:paraId="4CCCD08E"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6869AA61"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38BA406D" w14:textId="77777777"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w:t>
      </w:r>
      <w:r>
        <w:rPr>
          <w:rFonts w:asciiTheme="minorHAnsi" w:eastAsiaTheme="minorEastAsia" w:hAnsiTheme="minorHAnsi" w:cstheme="minorBidi"/>
          <w:b w:val="0"/>
          <w:bCs w:val="0"/>
        </w:rPr>
        <w:t xml:space="preserve"> </w:t>
      </w:r>
      <w:r>
        <w:rPr>
          <w:b w:val="0"/>
          <w:bCs w:val="0"/>
          <w:highlight w:val="yellow"/>
        </w:rPr>
        <w:t>El CGTD adopta el acuerdo de propuesta de conformación en su primera sesión posterior a la entrada en vigencia de la presente directiva. En esa misma sesión, el CGTD designa al Coordinador de la Comisión de Gobierno de IA. La designación del Coordinador no requiere que la Comisión se encuentre conformada. En tanto la Comisión de Gobierno de IA no se conforme, el CGTD ejerce las funciones que la presente directiva asigna a aquella. La INSI prepara y eleva las propuestas correspondientes, y recaba previamente la opinión de las unidades de organización a las que el numeral 5.4 asigna una materia. Durante ese periodo, el Coordinador designado ejerce las funciones de coordinación que la presente directiva le atribuye.</w:t>
      </w:r>
    </w:p>
    <w:p w14:paraId="5C4672BB" w14:textId="77777777" w:rsidR="00CB040E" w:rsidRPr="0094125C" w:rsidRDefault="00CB040E" w:rsidP="00180A95">
      <w:pPr>
        <w:pStyle w:val="SubtituloDONI"/>
        <w:spacing w:line="276" w:lineRule="auto"/>
        <w:ind w:left="851"/>
        <w:rPr>
          <w:b w:val="0"/>
          <w:bCs w:val="0"/>
          <w:highlight w:val="green"/>
        </w:rPr>
      </w:pPr>
      <w:r>
        <w:rPr>
          <w:b w:val="0"/>
          <w:bCs w:val="0"/>
          <w:highlight w:val="green"/>
        </w:rPr>
        <w:t>7.4</w:t>
      </w:r>
      <w:r>
        <w:rPr>
          <w:b w:val="0"/>
          <w:bCs w:val="0"/>
          <w:highlight w:val="green"/>
        </w:rPr>
        <w:tab/>
        <w:t>El Sistema de Gestión de Inteligencia Artificial (SGIA) de la SUNAT se rige por la NTP-ISO/IEC 42001:2025, de uso obligatorio conforme al numeral 28.2 del artículo 28 del RLIA. Los límites y la aplicabilidad del SGIA se determinan conforme al capítulo 4.3 de la referida norma técnica, considerando el alcance, la complejidad y el contexto institucional, y su implementación se gradúa con un enfoque basado en riesgos. La Comisión de Gobierno de IA propone al CGTD el plan de implementación del SGIA, con hitos y responsables. El CGTD lo aprueba. La Comisión coordina los lineamientos técnicos que correspondan, que se aprueban conforme al numeral 7.6.</w:t>
      </w:r>
      <w:r>
        <w:rPr>
          <w:b w:val="0"/>
          <w:bCs w:val="0"/>
        </w:rPr>
        <w:t xml:space="preserve"> Las Normas Técnicas Peruanas que apruebe el Instituto Nacional de Calidad en el marco de la línea de acción 3.2 de la ENIA se toman como referencia en los documentos normativos del numeral 7.6. La Comisión de Gobierno de IA evalúa su impacto en la presente directiva y propone al CGTD los ajustes que correspondan.</w:t>
      </w:r>
    </w:p>
    <w:p w14:paraId="15AC67AC"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1211EF01" w14:textId="77777777" w:rsidR="00836DA1" w:rsidRDefault="00000000">
      <w:pPr>
        <w:pStyle w:val="SubtituloDONI"/>
        <w:spacing w:line="276" w:lineRule="auto"/>
        <w:ind w:left="851"/>
        <w:rPr>
          <w:b w:val="0"/>
          <w:bCs w:val="0"/>
        </w:rPr>
      </w:pPr>
      <w:r>
        <w:rPr>
          <w:b w:val="0"/>
          <w:bCs w:val="0"/>
          <w:color w:val="000000"/>
          <w:highlight w:val="green"/>
        </w:rPr>
        <w:lastRenderedPageBreak/>
        <w:t>7.6</w:t>
      </w:r>
      <w:r>
        <w:rPr>
          <w:color w:val="000000"/>
          <w:highlight w:val="green"/>
        </w:rPr>
        <w:tab/>
      </w:r>
      <w:r>
        <w:rPr>
          <w:b w:val="0"/>
          <w:bCs w:val="0"/>
          <w:color w:val="000000"/>
          <w:highlight w:val="green"/>
        </w:rPr>
        <w:t>Las unidades de organización a las que la presente directiva asigna una responsabilidad formulan los documentos normativos institucionales de menor rango (metodologías, guías metodológicas, procedimientos, instructivos y lineamientos temporales) que establecen la forma de ejecutar dicha responsabilidad. Su aprobación corresponde a la unidad de organización normativa que determina la METDONI conforme a las competencias del ROF; cuando la unidad que formula no cuenta con esa potestad, eleva la propuesta a la que sí la tiene.</w:t>
      </w:r>
      <w:r>
        <w:rPr>
          <w:b w:val="0"/>
          <w:bCs w:val="0"/>
          <w:color w:val="000000"/>
        </w:rPr>
        <w:t xml:space="preserve"> </w:t>
      </w:r>
      <w:r>
        <w:rPr>
          <w:b w:val="0"/>
          <w:bCs w:val="0"/>
          <w:color w:val="000000"/>
          <w:highlight w:val="lightGray"/>
        </w:rPr>
        <w:t xml:space="preserve">Dichos documentos desarrollan la aplicación de lo dispuesto en la presente directiva y no modifican sus disposiciones ni las competencias de aprobación que establece. Respecto de los Anexos, se sujetan a lo previsto en el numeral 7.9. </w:t>
      </w:r>
      <w:r>
        <w:rPr>
          <w:b w:val="0"/>
          <w:bCs w:val="0"/>
          <w:color w:val="000000"/>
          <w:highlight w:val="green"/>
        </w:rPr>
        <w:t>Constituyen encargos de la presente directiva las disposiciones que remiten expresamente al presente numeral para el desarrollo de un documento normativo institucional de menor rango. Su plazo se establece mediante acuerdo del Comité de Gobierno y Transformación Digital, adoptado en su primera sesión posterior a la entrada en vigencia de la presente directiva.</w:t>
      </w:r>
      <w:r>
        <w:rPr>
          <w:rFonts w:asciiTheme="minorHAnsi" w:eastAsiaTheme="minorEastAsia" w:hAnsiTheme="minorHAnsi" w:cstheme="minorBidi"/>
          <w:b w:val="0"/>
          <w:bCs w:val="0"/>
          <w:highlight w:val="green"/>
        </w:rPr>
        <w:t xml:space="preserve"> </w:t>
      </w:r>
      <w:r>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550AB1B5"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16505D60" w14:textId="77777777" w:rsidR="0018147B" w:rsidRDefault="00000000">
      <w:pPr>
        <w:pStyle w:val="SubtituloDONI"/>
        <w:spacing w:line="276" w:lineRule="auto"/>
        <w:ind w:left="851"/>
        <w:rPr>
          <w:b w:val="0"/>
          <w:bCs w:val="0"/>
        </w:rPr>
      </w:pPr>
      <w:r>
        <w:rPr>
          <w:b w:val="0"/>
          <w:bCs w:val="0"/>
        </w:rPr>
        <w:t>7.8</w:t>
      </w:r>
      <w:r>
        <w:rPr>
          <w:b w:val="0"/>
          <w:bCs w:val="0"/>
        </w:rPr>
        <w:tab/>
      </w:r>
      <w:r>
        <w:rPr>
          <w:b w:val="0"/>
          <w:bCs w:val="0"/>
          <w:highlight w:val="green"/>
        </w:rPr>
        <w:t>Las referencias a normas técnicas, a procedimientos, a metodologías y a instrumentos de gestión institucionales aplican a sus versiones vigentes o a las que las sustituyan. Las referencias a artículos y literales del Reglamento de Organización y Funciones se entienden hechas a su versión vigente. Tampoco alcanza a los casos en que una norma de rango superior fija la versión aplicable. Cuando la versión vigente modifique la numeración interna citada, la referencia se entiende hecha a la disposición equivalente.</w:t>
      </w:r>
    </w:p>
    <w:p w14:paraId="241ADF94" w14:textId="77777777" w:rsidR="0018147B" w:rsidRDefault="00000000" w:rsidP="00174519">
      <w:pPr>
        <w:pStyle w:val="SubtituloDONI"/>
        <w:spacing w:line="276" w:lineRule="auto"/>
        <w:ind w:left="851"/>
        <w:rPr>
          <w:b w:val="0"/>
          <w:bCs w:val="0"/>
        </w:rPr>
      </w:pPr>
      <w:r>
        <w:rPr>
          <w:b w:val="0"/>
          <w:bCs w:val="0"/>
          <w:highlight w:val="green"/>
        </w:rPr>
        <w:t>7.9</w:t>
      </w:r>
      <w:r>
        <w:rPr>
          <w:b w:val="0"/>
          <w:bCs w:val="0"/>
          <w:highlight w:val="green"/>
        </w:rPr>
        <w:tab/>
        <w:t>El detalle de aplicación de los Anexos (los formatos, los criterios de registro, los catálogos de valores y los indicadores operativos, así como los campos adicionales que resulten necesarios) se establece en los documentos normativos institucionales de menor rango previstos en el numeral 7.6, que las unidades competentes actualizan sin requerir la modificación de la presente directiva. Dichos documentos no suprimen ni reducen los campos ni los contenidos mínimos que los Anexos establecen.</w:t>
      </w:r>
    </w:p>
    <w:p w14:paraId="35FFF0FB" w14:textId="77777777" w:rsidR="00E67A73" w:rsidRDefault="00000000">
      <w:pPr>
        <w:pStyle w:val="SubtituloDONI"/>
        <w:spacing w:line="276" w:lineRule="auto"/>
        <w:ind w:left="851"/>
        <w:rPr>
          <w:b w:val="0"/>
          <w:bCs w:val="0"/>
        </w:rPr>
      </w:pPr>
      <w:r>
        <w:rPr>
          <w:b w:val="0"/>
          <w:bCs w:val="0"/>
          <w:highlight w:val="yellow"/>
        </w:rPr>
        <w:t>7.10</w:t>
      </w:r>
      <w:r>
        <w:rPr>
          <w:b w:val="0"/>
          <w:bCs w:val="0"/>
          <w:highlight w:val="yellow"/>
        </w:rPr>
        <w:tab/>
        <w:t xml:space="preserve">El Oficial de Inteligencia Artificial (OIA) de la SUNAT, previsto en el artículo 6 de la Resolución Ministerial N.° 152-2026-PCM, que aprueba la ENIA,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 en aplicación de la Primera Disposición Complementaria Final de la citada Resolución Ministerial. </w:t>
      </w:r>
      <w:r>
        <w:rPr>
          <w:b w:val="0"/>
          <w:bCs w:val="0"/>
          <w:highlight w:val="green"/>
        </w:rPr>
        <w:t xml:space="preserve">En tanto no se emitan dichos lineamientos y no se designe al OIA, el Coordinador designado conforme al numeral 7.3 ejerce las funciones de coordinación técnica en materia de IA. Designado el OIA, la coordinación de la Comisión de Gobierno de IA recae en él, </w:t>
      </w:r>
      <w:r>
        <w:rPr>
          <w:b w:val="0"/>
          <w:bCs w:val="0"/>
          <w:highlight w:val="green"/>
        </w:rPr>
        <w:lastRenderedPageBreak/>
        <w:t>salvo que los lineamientos de la SGTD dispongan una articulación distinta. La Comisión de Gobierno de IA evalúa su articulación conforme a dichos lineamientos y propone al CGTD los ajustes que correspondan.</w:t>
      </w:r>
      <w:r>
        <w:rPr>
          <w:b w:val="0"/>
          <w:bCs w:val="0"/>
        </w:rPr>
        <w:t xml:space="preserve"> El OIA ejerce sus funciones en el ámbito de sus competencias técnicas, sin asumir responsabilidad por las decisiones de gestión institucional que corresponden a los órganos competentes. Así lo establece el numeral 6.6 del artículo 6 de la citada Resolución Ministerial.</w:t>
      </w:r>
    </w:p>
    <w:p w14:paraId="36CC9A36" w14:textId="77777777" w:rsidR="000153F0" w:rsidRDefault="00000000">
      <w:pPr>
        <w:pStyle w:val="SubtituloDONI"/>
        <w:spacing w:line="276" w:lineRule="auto"/>
        <w:ind w:left="851"/>
        <w:rPr>
          <w:b w:val="0"/>
          <w:bCs w:val="0"/>
        </w:rPr>
      </w:pPr>
      <w:r>
        <w:rPr>
          <w:b w:val="0"/>
          <w:bCs w:val="0"/>
          <w:highlight w:val="yellow"/>
        </w:rPr>
        <w:t>7.11</w:t>
      </w:r>
      <w:r>
        <w:rPr>
          <w:b w:val="0"/>
          <w:bCs w:val="0"/>
          <w:highlight w:val="yellow"/>
        </w:rPr>
        <w:tab/>
        <w:t xml:space="preserve">El Plan de Acción de Inteligencia Artificial (PAIA) forma parte del Portafolio de Proyectos del PGD, conforme al numeral 5.5 del artículo 5 de la Resolución Ministerial N.° 152-2026-PCM. Su aprobación requiere que la SUNAT haya aprobado o implementado previamente su Plan de Acción de Gobierno de Datos (PAGD), conforme al numeral 5.4 del mismo artículo de dicha Resolución Ministerial;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Resolución Ministerial y al numeral 28.10 del artículo 28 del RLIA. </w:t>
      </w:r>
      <w:r>
        <w:rPr>
          <w:b w:val="0"/>
          <w:bCs w:val="0"/>
          <w:highlight w:val="green"/>
        </w:rPr>
        <w:t>La formulación del PAIA corresponde al OIA, conforme al numeral 6.4 del artículo 6 de la citada Resolución Ministerial, una vez designado según el numeral 7.10 y aprobado o implementado el PAGD. Aprobado el PAIA, el CGTD aprueba la conformación del Equipo Técnico de Datos e Inteligencia Artificial (ETDIA), conforme al artículo 7 de la citada Resolución Ministerial. La Comisión de Gobierno de IA informa al CGTD, en el informe trimestral del numeral 6.9.5, el estado de las condiciones previstas en el presente numeral.</w:t>
      </w:r>
    </w:p>
    <w:p w14:paraId="6244D8F7" w14:textId="77777777" w:rsidR="002555BF" w:rsidRPr="002555BF" w:rsidRDefault="002555BF" w:rsidP="002555BF">
      <w:pPr>
        <w:pStyle w:val="SubtituloDONI"/>
        <w:spacing w:line="276" w:lineRule="auto"/>
        <w:ind w:left="851" w:hanging="709"/>
        <w:rPr>
          <w:b w:val="0"/>
          <w:bCs w:val="0"/>
          <w:highlight w:val="green"/>
        </w:rPr>
      </w:pPr>
      <w:r>
        <w:rPr>
          <w:b w:val="0"/>
          <w:bCs w:val="0"/>
          <w:highlight w:val="green"/>
        </w:rPr>
        <w:t>7.12    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6446349" w14:textId="77777777" w:rsidR="00B10861" w:rsidRDefault="00000000">
      <w:pPr>
        <w:pStyle w:val="SubtituloDONI"/>
        <w:spacing w:line="276" w:lineRule="auto"/>
        <w:ind w:left="851"/>
        <w:rPr>
          <w:b w:val="0"/>
          <w:bCs w:val="0"/>
        </w:rPr>
      </w:pPr>
      <w:r>
        <w:rPr>
          <w:b w:val="0"/>
          <w:bCs w:val="0"/>
        </w:rPr>
        <w:t>7.13</w:t>
      </w:r>
      <w:r>
        <w:rPr>
          <w:b w:val="0"/>
          <w:bCs w:val="0"/>
        </w:rPr>
        <w:tab/>
        <w:t>El OIA reporta trimestralmente al CGTD el seguimiento de la implementación del PAIA, conforme al numeral 8.3 del artículo 8 de la Resolución Ministerial N.° 152-2026-PCM. Dicho reporte se integra al informe trimestral de gobierno de IA previsto en el numeral 6.9.5. Asimismo, el OIA registra los avances de la implementación del PAIA en la Plataforma de Cumplimiento Digital, en el último trimestre de cada año, conforme al numeral 8.4 del mismo artículo. La Comisión de Gobierno de IA le proporciona la información institucional que requiera para ambos fines.</w:t>
      </w:r>
    </w:p>
    <w:p w14:paraId="08A19C0C"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AEC3880"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13404C90"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24C5DD6C"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55CC390C"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16B55FC6" w14:textId="77777777" w:rsidR="00863A18" w:rsidRPr="00923C59" w:rsidRDefault="004F49BB" w:rsidP="0029383A">
      <w:pPr>
        <w:spacing w:line="276" w:lineRule="auto"/>
        <w:rPr>
          <w:rFonts w:ascii="Arial" w:hAnsi="Arial" w:cs="Arial"/>
        </w:rPr>
      </w:pPr>
      <w:r>
        <w:rPr>
          <w:rFonts w:ascii="Arial" w:eastAsia="Arial" w:hAnsi="Arial" w:cs="Arial"/>
          <w:b/>
          <w:bCs/>
          <w:color w:val="000000"/>
        </w:rPr>
        <w:br w:type="page"/>
      </w:r>
      <w:r>
        <w:rPr>
          <w:rFonts w:ascii="Arial" w:eastAsia="Arial" w:hAnsi="Arial" w:cs="Arial"/>
          <w:b/>
          <w:bCs/>
          <w:color w:val="000000"/>
        </w:rPr>
        <w:lastRenderedPageBreak/>
        <w:t>Anexo N.° 1: Ficha de Registro de SBIA (Campos mínimos del Inventario). Constituye el contenido mínimo del registro y se actualiza conforme al numeral 7.9.</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7E4899D7"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727DD4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F620A3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F2FF7F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5930530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42C883"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1329BA"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3479C5"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6C6FEAF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EF2DC8"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BC287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6A7DFC"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0647717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95C4F9"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B2439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D90953"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067FA68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D8EAE5"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B85F6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3006C0"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036C98B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254EE7"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50F266"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6FFDE9" w14:textId="77777777" w:rsidR="0018147B" w:rsidRDefault="003E2526">
            <w:pPr>
              <w:spacing w:before="20" w:after="20" w:line="276" w:lineRule="auto"/>
              <w:rPr>
                <w:rFonts w:ascii="Arial" w:hAnsi="Arial" w:cs="Arial"/>
              </w:rPr>
            </w:pPr>
            <w:r>
              <w:rPr>
                <w:rFonts w:ascii="Arial" w:eastAsia="Arial" w:hAnsi="Arial" w:cs="Arial"/>
              </w:rPr>
              <w:t>Uso indebido (Art. 23), Alto (Art. 24) o Aceptable (Art. 22.2). Se consigna el acuerdo del CGTD que aprueba la clasificación, su fecha y, cuando corresponda, la calificación de estratégico prevista en el numeral 5.2.1.</w:t>
            </w:r>
          </w:p>
        </w:tc>
      </w:tr>
      <w:tr w:rsidR="00863A18" w:rsidRPr="00923C59" w14:paraId="0751CBB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2C038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90BB85"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76B6DC"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3F5BD96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013BB7"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5CC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6D90E2"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5C1E514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B06A89"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3D7F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B21D63"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565FB3" w14:paraId="460EAA8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21FE39"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227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69B9ED"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Human-in-the-loop, on-the-loop o in-command.</w:t>
            </w:r>
          </w:p>
        </w:tc>
      </w:tr>
      <w:tr w:rsidR="00863A18" w:rsidRPr="00923C59" w14:paraId="33DA764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B14A46"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7B26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851DF0" w14:textId="77777777" w:rsidR="00863A18" w:rsidRPr="00923C59" w:rsidRDefault="00863A18" w:rsidP="00B23382">
            <w:pPr>
              <w:spacing w:before="20" w:after="20" w:line="276" w:lineRule="auto"/>
              <w:rPr>
                <w:rFonts w:ascii="Arial" w:hAnsi="Arial" w:cs="Arial"/>
              </w:rPr>
            </w:pPr>
            <w:r>
              <w:rPr>
                <w:rFonts w:ascii="Arial" w:eastAsia="Arial" w:hAnsi="Arial" w:cs="Arial"/>
              </w:rPr>
              <w:t>Etapa en curso conforme al numeral 6.1.1: ideación; evaluación de viabilidad; diseño; desarrollo o adquisición; certificación y validación; despliegue; operación y monitoreo; retiro.</w:t>
            </w:r>
          </w:p>
        </w:tc>
      </w:tr>
      <w:tr w:rsidR="00863A18" w:rsidRPr="00923C59" w14:paraId="7F0DC99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F83F75"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A75826"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ED922E"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53318BF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FBD915"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C3E70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83B132"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18066E4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D3D43B"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81B02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098E4"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 con la versión vigente y la fecha de sus actualizaciones conforme a los numerales 6.4.3 y 6.10.5.</w:t>
            </w:r>
          </w:p>
        </w:tc>
      </w:tr>
      <w:tr w:rsidR="00863A18" w:rsidRPr="00923C59" w14:paraId="59EDE1C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C12841" w14:textId="77777777" w:rsidR="00863A18" w:rsidRPr="007F4CB9" w:rsidRDefault="00863A18" w:rsidP="00B23382">
            <w:pPr>
              <w:spacing w:before="20" w:after="20" w:line="276" w:lineRule="auto"/>
              <w:rPr>
                <w:rFonts w:ascii="Arial" w:hAnsi="Arial" w:cs="Arial"/>
                <w:highlight w:val="green"/>
              </w:rPr>
            </w:pPr>
            <w:r>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3221A1" w14:textId="77777777" w:rsidR="00863A18" w:rsidRPr="007F4CB9" w:rsidRDefault="003A7976" w:rsidP="00B23382">
            <w:pPr>
              <w:spacing w:before="20" w:after="20" w:line="276" w:lineRule="auto"/>
              <w:rPr>
                <w:rFonts w:ascii="Arial" w:hAnsi="Arial" w:cs="Arial"/>
                <w:highlight w:val="green"/>
              </w:rPr>
            </w:pPr>
            <w:r>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40D310" w14:textId="77777777" w:rsidR="00863A18" w:rsidRPr="007F4CB9" w:rsidRDefault="003A7976" w:rsidP="00B23382">
            <w:pPr>
              <w:spacing w:before="20" w:after="20" w:line="276" w:lineRule="auto"/>
              <w:rPr>
                <w:rFonts w:ascii="Arial" w:hAnsi="Arial" w:cs="Arial"/>
                <w:highlight w:val="green"/>
              </w:rPr>
            </w:pPr>
            <w:r>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64E41F2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FB8EC0" w14:textId="77777777" w:rsidR="00863A18" w:rsidRPr="00E810C0" w:rsidRDefault="00863A18" w:rsidP="00B23382">
            <w:pPr>
              <w:spacing w:before="20" w:after="20" w:line="276" w:lineRule="auto"/>
              <w:rPr>
                <w:rFonts w:ascii="Arial" w:hAnsi="Arial" w:cs="Arial"/>
                <w:highlight w:val="green"/>
              </w:rPr>
            </w:pPr>
            <w:r>
              <w:rPr>
                <w:rFonts w:ascii="Arial" w:eastAsia="Arial" w:hAnsi="Arial" w:cs="Arial"/>
                <w:highlight w:val="green"/>
              </w:rPr>
              <w:lastRenderedPageBreak/>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00E19" w14:textId="77777777" w:rsidR="00863A18" w:rsidRPr="00E810C0" w:rsidRDefault="00E810C0" w:rsidP="00B23382">
            <w:pPr>
              <w:spacing w:before="20" w:after="20" w:line="276" w:lineRule="auto"/>
              <w:rPr>
                <w:rFonts w:ascii="Arial" w:hAnsi="Arial" w:cs="Arial"/>
                <w:highlight w:val="green"/>
              </w:rPr>
            </w:pPr>
            <w:r>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49D7AF" w14:textId="77777777" w:rsidR="00863A18" w:rsidRPr="00E810C0" w:rsidRDefault="00E810C0" w:rsidP="00B23382">
            <w:pPr>
              <w:spacing w:before="20" w:after="20" w:line="276" w:lineRule="auto"/>
              <w:rPr>
                <w:rFonts w:ascii="Arial" w:hAnsi="Arial" w:cs="Arial"/>
                <w:highlight w:val="green"/>
              </w:rPr>
            </w:pPr>
            <w:r>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75F39F5"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8B0491"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3ADE67"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730A4F"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4151A4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3F743A"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5A913C"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82A587"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2300DE9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9D5D99" w14:textId="77777777" w:rsidR="00206379" w:rsidRDefault="00206379" w:rsidP="00B23382">
            <w:pPr>
              <w:spacing w:before="20" w:after="20" w:line="276" w:lineRule="auto"/>
              <w:rPr>
                <w:rFonts w:ascii="Arial" w:eastAsia="Arial" w:hAnsi="Arial" w:cs="Arial"/>
              </w:rPr>
            </w:pPr>
            <w:r>
              <w:rPr>
                <w:rFonts w:ascii="Arial" w:eastAsia="Arial" w:hAnsi="Arial" w:cs="Arial"/>
              </w:rPr>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1C8794" w14:textId="77777777" w:rsidR="00206379" w:rsidRDefault="00206379" w:rsidP="00B23382">
            <w:pPr>
              <w:spacing w:before="20" w:after="20" w:line="276" w:lineRule="auto"/>
              <w:rPr>
                <w:rFonts w:ascii="Arial" w:eastAsia="Arial" w:hAnsi="Arial" w:cs="Arial"/>
                <w:b/>
                <w:bCs/>
              </w:rPr>
            </w:pPr>
            <w:r>
              <w:rPr>
                <w:rFonts w:ascii="Arial" w:eastAsia="Arial" w:hAnsi="Arial" w:cs="Arial"/>
                <w:b/>
                <w:bCs/>
              </w:rPr>
              <w:t>Versión vigente y último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A202A" w14:textId="77777777" w:rsidR="00206379" w:rsidRDefault="00206379" w:rsidP="00B23382">
            <w:pPr>
              <w:spacing w:before="20" w:after="20" w:line="276" w:lineRule="auto"/>
              <w:rPr>
                <w:rFonts w:ascii="Arial" w:eastAsia="Arial" w:hAnsi="Arial" w:cs="Arial"/>
              </w:rPr>
            </w:pPr>
            <w:r>
              <w:rPr>
                <w:rFonts w:ascii="Arial" w:eastAsia="Arial" w:hAnsi="Arial" w:cs="Arial"/>
              </w:rPr>
              <w:t>Identificación de la versión del SBIA en producción, fecha del último cambio y su calificación como significativo o no, conforme a los numerales 6.10.4 y 6.10.5.</w:t>
            </w:r>
          </w:p>
        </w:tc>
      </w:tr>
      <w:tr w:rsidR="00AC727E" w:rsidRPr="00923C59" w14:paraId="5883307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6775C8" w14:textId="77777777"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1E6554" w14:textId="77777777" w:rsidR="00AC727E" w:rsidRPr="00AC727E" w:rsidRDefault="00AC727E" w:rsidP="00B23382">
            <w:pPr>
              <w:spacing w:before="20" w:after="20" w:line="276" w:lineRule="auto"/>
              <w:rPr>
                <w:rFonts w:ascii="Arial" w:eastAsia="Arial" w:hAnsi="Arial" w:cs="Arial"/>
                <w:b/>
                <w:bCs/>
                <w:highlight w:val="green"/>
              </w:rPr>
            </w:pPr>
            <w:r>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22221B" w14:textId="77777777"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La verificación de estas medidas se efectúa en la etapa 5 del numeral 6.1.1, con anterioridad al despliegue.</w:t>
            </w:r>
          </w:p>
        </w:tc>
      </w:tr>
      <w:tr w:rsidR="002B0710" w:rsidRPr="00923C59" w14:paraId="484C475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E60F3B" w14:textId="77777777"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20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E31C69" w14:textId="77777777" w:rsidR="002B0710" w:rsidRPr="00AC727E"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Controles reforzados aplicados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590AE" w14:textId="77777777"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Controles del numeral 6.7.2 implementados en el SBIA y fecha de su verificación: controles de contención, control de acceso basado en roles, registro inmutable de auditoría, evaluación de vulnerabilidades y, para riesgo alto, red teaming, así como anonimización o seudonimización cuando se traten datos personales. La verificación es previa al despliegue, conforme al numeral 6.2.5.</w:t>
            </w:r>
          </w:p>
        </w:tc>
      </w:tr>
      <w:tr w:rsidR="002B0710" w:rsidRPr="00923C59" w14:paraId="3F55A2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58BBAE"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24C01A"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Determinación de publicabilidad del código fuente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EA80A3"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Resultado de la determinación prevista en los numerales 6.5.7 y 6.5.8, fecha en que se efectuó y, cuando el código no resulte publicable, la justificación legal de la restricción.</w:t>
            </w:r>
          </w:p>
        </w:tc>
      </w:tr>
      <w:tr w:rsidR="002B0710" w:rsidRPr="00923C59" w14:paraId="77D1652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55D439"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B6F24"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Equipo técnico multidisciplinario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A3892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Unidades de organización que integran el equipo técnico del SBIA conforme al numeral 6.1.6 y fecha de su conformación.</w:t>
            </w:r>
          </w:p>
        </w:tc>
      </w:tr>
      <w:tr w:rsidR="002B0710" w:rsidRPr="00923C59" w14:paraId="20F00B8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23382E"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2F0577"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Base legal del uso de datos protegidos por la reserva tributaria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F18E61"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Base legal determinada conforme al numeral 6.8.3 y fecha de la determinación, con referencia a la opinión de la Intendencia Nacional Jurídico Tributaria o de la Intendencia Nacional Jurídico Aduanera. Se consigna únicamente cuando el SBIA utiliza datos protegidos por la reserva tributaria.</w:t>
            </w:r>
          </w:p>
        </w:tc>
      </w:tr>
      <w:tr w:rsidR="002B0710" w:rsidRPr="00923C59" w14:paraId="7FD0F90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F66633"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BB828E"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Plan de monitoreo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C34C3"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Referencia al plan de monitoreo del SBIA aprobado conforme al numeral 6.10.1 y fecha de su aprobación.</w:t>
            </w:r>
          </w:p>
        </w:tc>
      </w:tr>
      <w:tr w:rsidR="002B0710" w:rsidRPr="00923C59" w14:paraId="45AE3315"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ED5EE1"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lastRenderedPageBreak/>
              <w:t>25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5D842D"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Conformidad del mecanismo de 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A4932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Conformidad de la Comisión de Gobierno de IA prevista en el numeral 6.6.2 y fecha en que se emitió.</w:t>
            </w:r>
          </w:p>
        </w:tc>
      </w:tr>
      <w:tr w:rsidR="002B0710" w:rsidRPr="00923C59" w14:paraId="66B79BF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EA8678"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357B44"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Condiciones del personal de supervisión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C6B91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Verificación del cumplimiento de las condiciones previstas en el numeral 6.6.3 y fecha en que se efectuó.</w:t>
            </w:r>
          </w:p>
        </w:tc>
      </w:tr>
      <w:tr w:rsidR="002B0710" w:rsidRPr="00923C59" w14:paraId="7EAC3D3F"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E65EAB"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A921A"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Certificación de los conjuntos de datos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53A9F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Certificación de los conjuntos de datos que alimentan el SBIA conforme al numeral 6.8.6 y fecha de su emisión.</w:t>
            </w:r>
          </w:p>
        </w:tc>
      </w:tr>
    </w:tbl>
    <w:p w14:paraId="30B695E5" w14:textId="77777777" w:rsidR="00863A18" w:rsidRPr="00923C59" w:rsidRDefault="00863A18" w:rsidP="00B23382">
      <w:pPr>
        <w:spacing w:line="276" w:lineRule="auto"/>
        <w:rPr>
          <w:rFonts w:ascii="Arial" w:hAnsi="Arial" w:cs="Arial"/>
        </w:rPr>
      </w:pPr>
      <w:r>
        <w:rPr>
          <w:rFonts w:ascii="Arial" w:hAnsi="Arial" w:cs="Arial"/>
        </w:rPr>
        <w:br w:type="page"/>
      </w:r>
    </w:p>
    <w:p w14:paraId="67A13D5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2FBB39ED"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3CAA1496"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74A17D22"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49003"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275B4E8" w14:textId="77777777" w:rsidR="003E2526" w:rsidRDefault="003E2526">
            <w:pPr>
              <w:spacing w:before="20" w:after="20" w:line="276" w:lineRule="auto"/>
              <w:rPr>
                <w:rFonts w:ascii="Arial" w:hAnsi="Arial" w:cs="Arial"/>
              </w:rPr>
            </w:pPr>
            <w:r>
              <w:rPr>
                <w:rFonts w:ascii="Arial" w:eastAsia="Arial" w:hAnsi="Arial" w:cs="Arial"/>
                <w:b/>
                <w:bCs/>
                <w:highlight w:val="yellow"/>
              </w:rPr>
              <w:t>Riesgo aceptable (Art.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8A9FEC1"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C9ED6C0"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4CDB3F81"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4A651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4A77A" w14:textId="77777777" w:rsidR="003E2526" w:rsidRPr="00923C59" w:rsidRDefault="003E2526" w:rsidP="00B23382">
            <w:pPr>
              <w:spacing w:before="20" w:after="20" w:line="276" w:lineRule="auto"/>
              <w:rPr>
                <w:rFonts w:ascii="Arial" w:hAnsi="Arial" w:cs="Arial"/>
              </w:rPr>
            </w:pPr>
            <w:r>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69CCDC"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E4F016"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3C34B4D2"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200498"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5CEEB1" w14:textId="77777777" w:rsidR="003E2526" w:rsidRPr="00923C59" w:rsidRDefault="003E2526" w:rsidP="00B23382">
            <w:pPr>
              <w:spacing w:before="20" w:after="20" w:line="276" w:lineRule="auto"/>
              <w:rPr>
                <w:rFonts w:ascii="Arial" w:hAnsi="Arial" w:cs="Arial"/>
              </w:rPr>
            </w:pPr>
            <w:r>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DF45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D360C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22EE92AE"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099FCD"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444834" w14:textId="77777777" w:rsidR="003E2526" w:rsidRPr="00923C59" w:rsidRDefault="003E2526" w:rsidP="00B23382">
            <w:pPr>
              <w:spacing w:before="20" w:after="20" w:line="276" w:lineRule="auto"/>
              <w:rPr>
                <w:rFonts w:ascii="Arial" w:hAnsi="Arial" w:cs="Arial"/>
              </w:rPr>
            </w:pPr>
            <w:r>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92A65E"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0535D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174ED51F"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7DEB70"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BDF371" w14:textId="77777777" w:rsidR="003E2526" w:rsidRPr="00923C59" w:rsidRDefault="003E2526" w:rsidP="00B23382">
            <w:pPr>
              <w:spacing w:before="20" w:after="20" w:line="276" w:lineRule="auto"/>
              <w:rPr>
                <w:rFonts w:ascii="Arial" w:hAnsi="Arial" w:cs="Arial"/>
              </w:rPr>
            </w:pPr>
            <w:r>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310208"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27A76E"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2D8CC03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52B58B"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0B6092" w14:textId="77777777" w:rsidR="003E2526" w:rsidRPr="00923C59" w:rsidRDefault="003E2526" w:rsidP="00B23382">
            <w:pPr>
              <w:spacing w:before="20" w:after="20" w:line="276" w:lineRule="auto"/>
              <w:rPr>
                <w:rFonts w:ascii="Arial" w:hAnsi="Arial" w:cs="Arial"/>
              </w:rPr>
            </w:pPr>
            <w:r>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84C164"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FBF904"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0BB67C1C" w14:textId="77777777" w:rsidR="00863A18" w:rsidRPr="00923C59" w:rsidRDefault="00863A18" w:rsidP="00B23382">
      <w:pPr>
        <w:spacing w:line="276" w:lineRule="auto"/>
        <w:rPr>
          <w:rFonts w:ascii="Arial" w:hAnsi="Arial" w:cs="Arial"/>
        </w:rPr>
      </w:pPr>
      <w:r>
        <w:rPr>
          <w:rFonts w:ascii="Arial" w:hAnsi="Arial" w:cs="Arial"/>
        </w:rPr>
        <w:br w:type="page"/>
      </w:r>
    </w:p>
    <w:p w14:paraId="72C40341" w14:textId="77777777" w:rsidR="00641EAF" w:rsidRDefault="00641EAF">
      <w:pPr>
        <w:spacing w:after="60" w:line="276" w:lineRule="auto"/>
        <w:jc w:val="both"/>
        <w:rPr>
          <w:rFonts w:ascii="Arial" w:eastAsia="Arial" w:hAnsi="Arial" w:cs="Arial"/>
          <w:b/>
          <w:bCs/>
          <w:color w:val="000000"/>
        </w:rPr>
      </w:pPr>
      <w:r>
        <w:rPr>
          <w:rFonts w:ascii="Arial" w:eastAsia="Arial" w:hAnsi="Arial" w:cs="Arial"/>
          <w:b/>
          <w:bCs/>
          <w:color w:val="000000"/>
        </w:rPr>
        <w:lastRenderedPageBreak/>
        <w:t>Anexo N.° 3: Estructura mínima de la Evaluación de Impacto Algorítmico (EIA)</w:t>
      </w:r>
    </w:p>
    <w:p w14:paraId="64BDC09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5E920A9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23AD235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44327ED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60384EE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6B37BD1F"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545F39D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Impacto en los derechos fundamentales: derechos que el SBIA puede afectar, personas o grupos alcanzados y gravedad del efecto, conforme al numeral 30.1 del artículo 30 del RLIA.</w:t>
      </w:r>
    </w:p>
    <w:p w14:paraId="643B807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9BC436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2671942A"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6E4DE46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D3F1DE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RLIA, protección de datos personales y reserva tributaria.</w:t>
      </w:r>
    </w:p>
    <w:p w14:paraId="396AF77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57A4742F" w14:textId="77777777" w:rsidR="00EC21E7" w:rsidRPr="00EC21E7" w:rsidRDefault="00863A18" w:rsidP="00B23382">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B0A14C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Versión de la EIA y fecha de su elaboración o actualización, conforme a los numerales 6.4.3 y 6.10.5.</w:t>
      </w:r>
    </w:p>
    <w:p w14:paraId="2CCAF63F" w14:textId="77777777" w:rsidR="00863A18" w:rsidRPr="00EC21E7" w:rsidRDefault="00EC79A5" w:rsidP="00B23382">
      <w:pPr>
        <w:pStyle w:val="Prrafodelista"/>
        <w:numPr>
          <w:ilvl w:val="0"/>
          <w:numId w:val="7"/>
        </w:numPr>
        <w:spacing w:after="40" w:line="276" w:lineRule="auto"/>
        <w:ind w:left="567"/>
        <w:rPr>
          <w:b w:val="0"/>
          <w:bCs w:val="0"/>
        </w:rPr>
      </w:pPr>
      <w:r>
        <w:rPr>
          <w:b w:val="0"/>
          <w:bCs w:val="0"/>
          <w:color w:val="000000"/>
          <w:highlight w:val="green"/>
        </w:rPr>
        <w:t>Revisiones y aprobación: firma del propietario del caso de uso en señal de elaboración; firmas de la Comisión de Gobierno de IA, de la OII, de la INALI, esta última en materia de cumplimiento normativo, y del OGD, en señal de revisión conforme al numeral 6.4.2; referencia a la opinión de la Intendencia Nacional Jurídico Tributaria o de la Intendencia Nacional Jurídico Aduanera cuando se hubiera convocado conforme al numeral 6.4.2; y referencia al acuerdo del CGTD que aprueba la EIA, conforme al numeral 6.4.1.</w:t>
      </w:r>
      <w:r>
        <w:rPr>
          <w:b w:val="0"/>
          <w:bCs w:val="0"/>
        </w:rPr>
        <w:br w:type="page"/>
      </w:r>
    </w:p>
    <w:p w14:paraId="0155A954" w14:textId="77777777" w:rsidR="00863A18" w:rsidRDefault="00863A18" w:rsidP="00B23382">
      <w:pPr>
        <w:spacing w:before="200" w:after="120" w:line="276" w:lineRule="auto"/>
        <w:rPr>
          <w:rFonts w:ascii="Arial" w:eastAsia="Arial" w:hAnsi="Arial" w:cs="Arial"/>
          <w:b/>
          <w:bCs/>
          <w:color w:val="000000"/>
        </w:rPr>
      </w:pPr>
      <w:r>
        <w:rPr>
          <w:rFonts w:ascii="Arial" w:eastAsia="Arial" w:hAnsi="Arial" w:cs="Arial"/>
          <w:b/>
          <w:bCs/>
          <w:color w:val="000000"/>
          <w:highlight w:val="green"/>
        </w:rPr>
        <w:lastRenderedPageBreak/>
        <w:t>Anexo N.° 4: Ficha de Evaluación de Caso de Uso de SBIA</w:t>
      </w:r>
    </w:p>
    <w:p w14:paraId="4E4DB835" w14:textId="77777777" w:rsidR="00174519" w:rsidRPr="00923C59" w:rsidRDefault="00174519" w:rsidP="00174519">
      <w:pPr>
        <w:spacing w:before="200" w:after="120" w:line="276" w:lineRule="auto"/>
        <w:jc w:val="both"/>
        <w:rPr>
          <w:rFonts w:ascii="Arial" w:hAnsi="Arial" w:cs="Arial"/>
        </w:rPr>
      </w:pPr>
      <w:r>
        <w:rPr>
          <w:rFonts w:ascii="Arial" w:hAnsi="Arial" w:cs="Arial"/>
          <w:highlight w:val="green"/>
        </w:rPr>
        <w:t>Constituye el contenido mínimo de la evaluación del caso de uso y recoge los datos y las evidencias del problema que sustentan la iniciativa, conforme al numeral 28.4 del artículo 28 del RLIA. Se adecúa a la naturaleza y magnitud de la iniciativa, requerimiento o proyecto, conforme al numeral 6.15.1. Se actualiza conforme al numeral 7.9. Los campos cuya información ya figura en el caso de negocio, en la ficha de necesidad de la gestión de demanda informática o en otro instrumento previo se completan indicando el documento y la sección donde consta. No se transcribe información ya contenida en dichas fuentes. Los controles aplicables al SBIA se determinan a partir de su clasificación de riesgo y se registran en la Ficha de Registro de SBIA (Anexo N.° 1); no forman parte de esta ficha.</w:t>
      </w:r>
    </w:p>
    <w:p w14:paraId="16A0A80B" w14:textId="77777777" w:rsidR="00863A18" w:rsidRPr="00EF2B54" w:rsidRDefault="00863A18" w:rsidP="00B23382">
      <w:pPr>
        <w:spacing w:after="40" w:line="276" w:lineRule="auto"/>
        <w:jc w:val="both"/>
        <w:rPr>
          <w:rFonts w:ascii="Arial" w:hAnsi="Arial" w:cs="Arial"/>
          <w:highlight w:val="green"/>
        </w:rPr>
      </w:pPr>
      <w:r>
        <w:rPr>
          <w:rFonts w:ascii="Arial" w:eastAsia="Arial" w:hAnsi="Arial" w:cs="Arial"/>
          <w:b/>
          <w:bCs/>
          <w:color w:val="000000"/>
          <w:highlight w:val="green"/>
        </w:rPr>
        <w:t>Sección 1 — Identificación:</w:t>
      </w:r>
    </w:p>
    <w:p w14:paraId="2C5B6452"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Denominación del caso de uso.</w:t>
      </w:r>
    </w:p>
    <w:p w14:paraId="49246BB7"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solicitante (propietario del caso de uso) y responsable funcional.</w:t>
      </w:r>
    </w:p>
    <w:p w14:paraId="154521B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responsable de la operación y del monitoreo posteriores al</w:t>
      </w:r>
    </w:p>
    <w:p w14:paraId="182B92AC"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despliegue.</w:t>
      </w:r>
    </w:p>
    <w:p w14:paraId="5AA689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Instrumento de gestión bajo el cual se formula la iniciativa y documento al que se remite</w:t>
      </w:r>
    </w:p>
    <w:p w14:paraId="41F5FC78"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la información no consignada en esta ficha.</w:t>
      </w:r>
    </w:p>
    <w:p w14:paraId="14E362EF"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Fecha de presentación.</w:t>
      </w:r>
    </w:p>
    <w:p w14:paraId="72572E68" w14:textId="77777777" w:rsidR="00863A18" w:rsidRPr="000F3595" w:rsidRDefault="00863A18"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2 — Necesidad y pertinencia del uso de IA:</w:t>
      </w:r>
    </w:p>
    <w:p w14:paraId="159C45D8" w14:textId="77777777" w:rsidR="0037497B" w:rsidRPr="0037497B" w:rsidRDefault="0037497B"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Descripción sintética del problema o necesidad, con los datos y evidencias que lo sustentan, o remisión al documento y sección donde constan. Cuando no se cuente con datos o evidencias suficientes, se consigna expresamente y se indica cómo se obtendrán antes del inicio del desarrollo o adquisición.</w:t>
      </w:r>
    </w:p>
    <w:p w14:paraId="27301EE6"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Alternativa sin inteligencia artificial: describir la solución basada en reglas, automatización o análisis convencional que se evaluó, y por qué no satisface la necesidad.</w:t>
      </w:r>
    </w:p>
    <w:p w14:paraId="7C1E369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Mejora esperada del uso de IA frente a esa alternativa, expresada en un indicador medible.</w:t>
      </w:r>
    </w:p>
    <w:p w14:paraId="2E2050C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Disponibilidad y suficiencia de los datos requeridos para el aprendizaje o la inferencia.</w:t>
      </w:r>
    </w:p>
    <w:p w14:paraId="28C80F74"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Costo de gobernanza previsto (monitoreo, reentrenamiento, supervisión humana y evaluación periódica) y por qué la mejora esperada lo justifica.</w:t>
      </w:r>
    </w:p>
    <w:p w14:paraId="1E05A637"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En qué caso el componente de IA dejaría de ser necesario.</w:t>
      </w:r>
    </w:p>
    <w:p w14:paraId="59C653FC" w14:textId="77777777" w:rsidR="00EF2B54" w:rsidRDefault="00000000" w:rsidP="00EF2B54">
      <w:pPr>
        <w:spacing w:before="120" w:after="40" w:line="276" w:lineRule="auto"/>
        <w:jc w:val="both"/>
        <w:rPr>
          <w:rFonts w:ascii="Arial" w:eastAsia="Arial" w:hAnsi="Arial" w:cs="Arial"/>
          <w:b/>
          <w:bCs/>
          <w:color w:val="000000"/>
        </w:rPr>
      </w:pPr>
      <w:r>
        <w:rPr>
          <w:rFonts w:ascii="Arial" w:eastAsia="Arial" w:hAnsi="Arial" w:cs="Arial"/>
          <w:b/>
          <w:bCs/>
          <w:color w:val="000000"/>
          <w:highlight w:val="green"/>
        </w:rPr>
        <w:t>Sección 3 — Descripción funcional y autonomía:</w:t>
      </w:r>
    </w:p>
    <w:p w14:paraId="2890D9BE"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Descripción de lo que el SBIA hace y del resultado que produce.</w:t>
      </w:r>
    </w:p>
    <w:p w14:paraId="57FE16C7"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Tipo de IA previsto.</w:t>
      </w:r>
    </w:p>
    <w:p w14:paraId="49BCB871"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Grado de autonomía previsto: asistencia al funcionario, interacción directa con el</w:t>
      </w:r>
    </w:p>
    <w:p w14:paraId="67FCB352"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administrado, influencia en la decisión o decisión sin intervención humana.</w:t>
      </w:r>
    </w:p>
    <w:p w14:paraId="64783CAF"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Punto del proceso en que interviene el SBIA y momento en que un funcionario conoce su resultado.</w:t>
      </w:r>
    </w:p>
    <w:p w14:paraId="73BCF4FD" w14:textId="77777777" w:rsidR="0018147B" w:rsidRDefault="00000000" w:rsidP="00EF2B54">
      <w:pPr>
        <w:spacing w:before="120" w:after="40" w:line="276" w:lineRule="auto"/>
        <w:jc w:val="both"/>
        <w:rPr>
          <w:rFonts w:ascii="Arial" w:hAnsi="Arial" w:cs="Arial"/>
        </w:rPr>
      </w:pPr>
      <w:r>
        <w:rPr>
          <w:rFonts w:ascii="Arial" w:eastAsia="Arial" w:hAnsi="Arial" w:cs="Arial"/>
          <w:b/>
          <w:bCs/>
          <w:color w:val="000000"/>
          <w:highlight w:val="green"/>
        </w:rPr>
        <w:t>Sección 4 — Datos:</w:t>
      </w:r>
    </w:p>
    <w:p w14:paraId="330F91EF"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lastRenderedPageBreak/>
        <w:t>Datos requeridos: fuentes, tipos y presencia de datos personales, de datos sensibles, de datos biométricos o de información sujeta a reserva tributaria.</w:t>
      </w:r>
    </w:p>
    <w:p w14:paraId="775E59C2"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Base legal que habilita el uso de dichos datos para la finalidad del SBIA, conforme al</w:t>
      </w:r>
    </w:p>
    <w:p w14:paraId="79A662CE" w14:textId="77777777" w:rsidR="000F3595" w:rsidRPr="00CA521D" w:rsidRDefault="00CA521D" w:rsidP="00CA521D">
      <w:pPr>
        <w:pStyle w:val="Prrafodelista"/>
        <w:spacing w:before="120" w:after="40" w:line="276" w:lineRule="auto"/>
        <w:ind w:left="426" w:firstLine="0"/>
        <w:rPr>
          <w:b w:val="0"/>
          <w:bCs w:val="0"/>
          <w:color w:val="000000"/>
          <w:highlight w:val="green"/>
        </w:rPr>
      </w:pPr>
      <w:r>
        <w:rPr>
          <w:b w:val="0"/>
          <w:bCs w:val="0"/>
          <w:color w:val="000000"/>
          <w:highlight w:val="green"/>
        </w:rPr>
        <w:t>numeral 6.8.3 de la presente directiva, y restricciones aplicables.</w:t>
      </w:r>
    </w:p>
    <w:p w14:paraId="7F29786F" w14:textId="77777777" w:rsidR="0018147B" w:rsidRPr="00DE4308" w:rsidRDefault="00000000"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5 — Efecto sobre las personas y los procesos:</w:t>
      </w:r>
    </w:p>
    <w:p w14:paraId="74FE4769"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Efecto del resultado del SBIA en derechos, obligaciones o en la atención de los administrados.</w:t>
      </w:r>
    </w:p>
    <w:p w14:paraId="5A06888B"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Alcance estimado: personas, contribuyentes u operaciones comprendidas, y volumen previsto.</w:t>
      </w:r>
    </w:p>
    <w:p w14:paraId="47B13102"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Posibilidad de revertir o corregir un resultado erróneo, y cómo se haría.</w:t>
      </w:r>
    </w:p>
    <w:p w14:paraId="73B204DF"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Procesos, unidades de organización y puestos involucrados.</w:t>
      </w:r>
    </w:p>
    <w:p w14:paraId="0F71D57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Clasificación de riesgo preliminar sugerida por el propietario del caso de uso conforme al Anexo N.° 2. Es referencial y no vincula a la Comisión de Gobierno de IA.</w:t>
      </w:r>
    </w:p>
    <w:p w14:paraId="1D17638B" w14:textId="77777777" w:rsidR="0018147B" w:rsidRPr="00DE4308" w:rsidRDefault="00000000">
      <w:pPr>
        <w:spacing w:before="120" w:after="40" w:line="276" w:lineRule="auto"/>
        <w:jc w:val="both"/>
        <w:rPr>
          <w:rFonts w:ascii="Arial" w:hAnsi="Arial" w:cs="Arial"/>
          <w:highlight w:val="green"/>
        </w:rPr>
      </w:pPr>
      <w:r>
        <w:rPr>
          <w:rFonts w:ascii="Arial" w:eastAsia="Arial" w:hAnsi="Arial" w:cs="Arial"/>
          <w:b/>
          <w:bCs/>
          <w:color w:val="000000"/>
          <w:highlight w:val="green"/>
        </w:rPr>
        <w:t>Sección 6 — Firmas:</w:t>
      </w:r>
    </w:p>
    <w:p w14:paraId="25528425" w14:textId="77777777" w:rsidR="00CA74AD" w:rsidRPr="00CA74AD" w:rsidRDefault="00863A18" w:rsidP="00CA74AD">
      <w:pPr>
        <w:pStyle w:val="Prrafodelista"/>
        <w:numPr>
          <w:ilvl w:val="0"/>
          <w:numId w:val="36"/>
        </w:numPr>
        <w:spacing w:after="40" w:line="276" w:lineRule="auto"/>
        <w:ind w:left="426"/>
        <w:rPr>
          <w:b w:val="0"/>
          <w:bCs w:val="0"/>
          <w:highlight w:val="green"/>
        </w:rPr>
      </w:pPr>
      <w:r>
        <w:rPr>
          <w:b w:val="0"/>
          <w:bCs w:val="0"/>
          <w:color w:val="000000"/>
          <w:highlight w:val="green"/>
        </w:rPr>
        <w:t>Firma del propietario del caso de uso.</w:t>
      </w:r>
    </w:p>
    <w:p w14:paraId="69A43F34" w14:textId="77777777" w:rsidR="00ED2DC8" w:rsidRPr="0037497B" w:rsidRDefault="00CA74AD" w:rsidP="00CA74AD">
      <w:pPr>
        <w:pStyle w:val="Prrafodelista"/>
        <w:numPr>
          <w:ilvl w:val="0"/>
          <w:numId w:val="36"/>
        </w:numPr>
        <w:spacing w:after="40" w:line="276" w:lineRule="auto"/>
        <w:ind w:left="426"/>
        <w:rPr>
          <w:b w:val="0"/>
          <w:bCs w:val="0"/>
          <w:highlight w:val="green"/>
        </w:rPr>
      </w:pPr>
      <w:r>
        <w:rPr>
          <w:b w:val="0"/>
          <w:bCs w:val="0"/>
          <w:color w:val="000000"/>
          <w:highlight w:val="green"/>
        </w:rPr>
        <w:t>Visto bueno del titular de la unidad de organización solicitante.</w:t>
      </w:r>
    </w:p>
    <w:p w14:paraId="5D199DD5" w14:textId="77777777" w:rsidR="0037497B" w:rsidRPr="00CA74AD" w:rsidRDefault="0037497B" w:rsidP="00CA74AD">
      <w:pPr>
        <w:pStyle w:val="Prrafodelista"/>
        <w:numPr>
          <w:ilvl w:val="0"/>
          <w:numId w:val="36"/>
        </w:numPr>
        <w:spacing w:after="40" w:line="276" w:lineRule="auto"/>
        <w:ind w:left="426"/>
        <w:rPr>
          <w:b w:val="0"/>
          <w:bCs w:val="0"/>
          <w:highlight w:val="green"/>
        </w:rPr>
      </w:pPr>
      <w:r>
        <w:rPr>
          <w:b w:val="0"/>
          <w:bCs w:val="0"/>
          <w:highlight w:val="green"/>
        </w:rPr>
        <w:t>Constancia del pronunciamiento de la Comisión de Gobierno de IA conforme al numeral 6.15.1, con indicación de la sesión y del acta en que se adoptó.</w:t>
      </w:r>
    </w:p>
    <w:sectPr w:rsidR="0037497B" w:rsidRPr="00CA74AD"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949008" w14:textId="77777777" w:rsidR="00543036" w:rsidRDefault="00543036">
      <w:pPr>
        <w:spacing w:after="0" w:line="240" w:lineRule="auto"/>
      </w:pPr>
      <w:r>
        <w:separator/>
      </w:r>
    </w:p>
  </w:endnote>
  <w:endnote w:type="continuationSeparator" w:id="0">
    <w:p w14:paraId="6D0D3617" w14:textId="77777777" w:rsidR="00543036" w:rsidRDefault="005430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387CF"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75BDAC" w14:textId="77777777" w:rsidR="00543036" w:rsidRDefault="00543036">
      <w:pPr>
        <w:spacing w:after="0" w:line="240" w:lineRule="auto"/>
      </w:pPr>
      <w:r>
        <w:separator/>
      </w:r>
    </w:p>
  </w:footnote>
  <w:footnote w:type="continuationSeparator" w:id="0">
    <w:p w14:paraId="1C8253D1" w14:textId="77777777" w:rsidR="00543036" w:rsidRDefault="00543036">
      <w:pPr>
        <w:spacing w:after="0" w:line="240" w:lineRule="auto"/>
      </w:pPr>
      <w:r>
        <w:continuationSeparator/>
      </w:r>
    </w:p>
  </w:footnote>
  <w:footnote w:id="1">
    <w:p w14:paraId="7B7C9986"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2">
    <w:p w14:paraId="761AA10A"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3">
    <w:p w14:paraId="76A0E41B"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4">
    <w:p w14:paraId="155BDA2B"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5">
    <w:p w14:paraId="7FCD6EE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6">
    <w:p w14:paraId="072542A2"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7">
    <w:p w14:paraId="3B79EDBC"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8">
    <w:p w14:paraId="4FA21791"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9">
    <w:p w14:paraId="186F0074"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0">
    <w:p w14:paraId="75710F65"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1">
    <w:p w14:paraId="0D688ACF"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2">
    <w:p w14:paraId="7EA1D713"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18CA3765" w14:textId="77777777" w:rsidTr="00BE16A3">
      <w:trPr>
        <w:trHeight w:val="474"/>
        <w:jc w:val="right"/>
      </w:trPr>
      <w:tc>
        <w:tcPr>
          <w:tcW w:w="4492" w:type="pct"/>
          <w:tcBorders>
            <w:right w:val="single" w:sz="6" w:space="0" w:color="000000"/>
          </w:tcBorders>
        </w:tcPr>
        <w:p w14:paraId="0DB6E896"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3D058B9F"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0BBCEFF"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1298561635">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1298561635">
    <w:abstractNumId w:val="8"/>
  </w:num>
  <w:num w:numId="36" w16cid:durableId="955452418">
    <w:abstractNumId w:val="30"/>
  </w:num>
  <w:num w:numId="37" w16cid:durableId="856163588">
    <w:abstractNumId w:val="6"/>
  </w:num>
  <w:num w:numId="38" w16cid:durableId="1298561635">
    <w:abstractNumId w:val="18"/>
    <w:lvlOverride w:ilvl="0">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activeWritingStyle w:appName="MSWord" w:lang="es-PE" w:vendorID="64" w:dllVersion="0" w:nlCheck="1" w:checkStyle="0"/>
  <w:activeWritingStyle w:appName="MSWord" w:lang="en-US" w:vendorID="64" w:dllVersion="0" w:nlCheck="1" w:checkStyle="0"/>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0718"/>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1A1"/>
    <w:rsid w:val="000F3595"/>
    <w:rsid w:val="001164EE"/>
    <w:rsid w:val="001222E1"/>
    <w:rsid w:val="00141E9A"/>
    <w:rsid w:val="001437F1"/>
    <w:rsid w:val="00153C2B"/>
    <w:rsid w:val="001556C1"/>
    <w:rsid w:val="001609F8"/>
    <w:rsid w:val="00164552"/>
    <w:rsid w:val="00166F8B"/>
    <w:rsid w:val="00171767"/>
    <w:rsid w:val="00174519"/>
    <w:rsid w:val="00180A95"/>
    <w:rsid w:val="0018147B"/>
    <w:rsid w:val="0018222F"/>
    <w:rsid w:val="001A5262"/>
    <w:rsid w:val="001B791A"/>
    <w:rsid w:val="001C5C4D"/>
    <w:rsid w:val="001D0B85"/>
    <w:rsid w:val="001E0BE5"/>
    <w:rsid w:val="001E5BAD"/>
    <w:rsid w:val="001F00B9"/>
    <w:rsid w:val="001F1383"/>
    <w:rsid w:val="001F16B0"/>
    <w:rsid w:val="001F28C5"/>
    <w:rsid w:val="00206379"/>
    <w:rsid w:val="002102ED"/>
    <w:rsid w:val="00215BA9"/>
    <w:rsid w:val="002222E3"/>
    <w:rsid w:val="00226840"/>
    <w:rsid w:val="00236A5F"/>
    <w:rsid w:val="002555BF"/>
    <w:rsid w:val="00261D87"/>
    <w:rsid w:val="0026375D"/>
    <w:rsid w:val="0026696B"/>
    <w:rsid w:val="002711BE"/>
    <w:rsid w:val="00272134"/>
    <w:rsid w:val="00274362"/>
    <w:rsid w:val="00275B9B"/>
    <w:rsid w:val="002840F0"/>
    <w:rsid w:val="0029383A"/>
    <w:rsid w:val="002950F6"/>
    <w:rsid w:val="002A5658"/>
    <w:rsid w:val="002B0710"/>
    <w:rsid w:val="002D136C"/>
    <w:rsid w:val="002D1BB4"/>
    <w:rsid w:val="002D4E18"/>
    <w:rsid w:val="003071B9"/>
    <w:rsid w:val="003173B4"/>
    <w:rsid w:val="003204D8"/>
    <w:rsid w:val="00325777"/>
    <w:rsid w:val="00325F1C"/>
    <w:rsid w:val="00326739"/>
    <w:rsid w:val="003320CB"/>
    <w:rsid w:val="003325F7"/>
    <w:rsid w:val="003327C9"/>
    <w:rsid w:val="0033689D"/>
    <w:rsid w:val="0034493F"/>
    <w:rsid w:val="00344C8A"/>
    <w:rsid w:val="00352D87"/>
    <w:rsid w:val="003530CE"/>
    <w:rsid w:val="00361346"/>
    <w:rsid w:val="003636BC"/>
    <w:rsid w:val="003665C6"/>
    <w:rsid w:val="00366BA4"/>
    <w:rsid w:val="0037497B"/>
    <w:rsid w:val="003758C8"/>
    <w:rsid w:val="003922D5"/>
    <w:rsid w:val="003A6AB9"/>
    <w:rsid w:val="003A7976"/>
    <w:rsid w:val="003B242A"/>
    <w:rsid w:val="003B6E7C"/>
    <w:rsid w:val="003B7D61"/>
    <w:rsid w:val="003C1E3F"/>
    <w:rsid w:val="003D4DEA"/>
    <w:rsid w:val="003E2526"/>
    <w:rsid w:val="003E4730"/>
    <w:rsid w:val="003F591A"/>
    <w:rsid w:val="00444444"/>
    <w:rsid w:val="004503ED"/>
    <w:rsid w:val="0045319E"/>
    <w:rsid w:val="00454C03"/>
    <w:rsid w:val="00462A57"/>
    <w:rsid w:val="00463CDC"/>
    <w:rsid w:val="00467C46"/>
    <w:rsid w:val="0047575A"/>
    <w:rsid w:val="00485890"/>
    <w:rsid w:val="004A0CE8"/>
    <w:rsid w:val="004A50A6"/>
    <w:rsid w:val="004A6881"/>
    <w:rsid w:val="004B3330"/>
    <w:rsid w:val="004C17C6"/>
    <w:rsid w:val="004C4F5D"/>
    <w:rsid w:val="004C7B15"/>
    <w:rsid w:val="004D01A4"/>
    <w:rsid w:val="004E204E"/>
    <w:rsid w:val="004F49BB"/>
    <w:rsid w:val="004F7F7E"/>
    <w:rsid w:val="00500518"/>
    <w:rsid w:val="00502E18"/>
    <w:rsid w:val="005060AB"/>
    <w:rsid w:val="0050738A"/>
    <w:rsid w:val="00512CEC"/>
    <w:rsid w:val="00521B40"/>
    <w:rsid w:val="00524301"/>
    <w:rsid w:val="00532CB5"/>
    <w:rsid w:val="00535686"/>
    <w:rsid w:val="00537E02"/>
    <w:rsid w:val="0054144C"/>
    <w:rsid w:val="00543036"/>
    <w:rsid w:val="00553A03"/>
    <w:rsid w:val="00554995"/>
    <w:rsid w:val="00565AB1"/>
    <w:rsid w:val="00565FB3"/>
    <w:rsid w:val="00567233"/>
    <w:rsid w:val="00567C78"/>
    <w:rsid w:val="00570612"/>
    <w:rsid w:val="00577C4C"/>
    <w:rsid w:val="00590BAB"/>
    <w:rsid w:val="00594919"/>
    <w:rsid w:val="005B30EE"/>
    <w:rsid w:val="005B3F5B"/>
    <w:rsid w:val="005C21BA"/>
    <w:rsid w:val="005C3A70"/>
    <w:rsid w:val="005C4042"/>
    <w:rsid w:val="005C67EA"/>
    <w:rsid w:val="005D216F"/>
    <w:rsid w:val="005D5880"/>
    <w:rsid w:val="005D754C"/>
    <w:rsid w:val="005F24C2"/>
    <w:rsid w:val="005F3265"/>
    <w:rsid w:val="0060099A"/>
    <w:rsid w:val="00603B7D"/>
    <w:rsid w:val="00617198"/>
    <w:rsid w:val="00641EAF"/>
    <w:rsid w:val="00651CD0"/>
    <w:rsid w:val="0065257C"/>
    <w:rsid w:val="00662A54"/>
    <w:rsid w:val="00663503"/>
    <w:rsid w:val="006653DD"/>
    <w:rsid w:val="00665F3F"/>
    <w:rsid w:val="00670027"/>
    <w:rsid w:val="00677324"/>
    <w:rsid w:val="006806C8"/>
    <w:rsid w:val="00682244"/>
    <w:rsid w:val="00691FB4"/>
    <w:rsid w:val="00697B72"/>
    <w:rsid w:val="006B3AF5"/>
    <w:rsid w:val="006B4241"/>
    <w:rsid w:val="006B7D44"/>
    <w:rsid w:val="006C344B"/>
    <w:rsid w:val="006D44AB"/>
    <w:rsid w:val="006E0C91"/>
    <w:rsid w:val="006F5C22"/>
    <w:rsid w:val="006F6A67"/>
    <w:rsid w:val="00714044"/>
    <w:rsid w:val="007216B6"/>
    <w:rsid w:val="00722166"/>
    <w:rsid w:val="007324DC"/>
    <w:rsid w:val="00736724"/>
    <w:rsid w:val="0074173E"/>
    <w:rsid w:val="0075082A"/>
    <w:rsid w:val="007536D0"/>
    <w:rsid w:val="007614B5"/>
    <w:rsid w:val="007718AA"/>
    <w:rsid w:val="00771AB8"/>
    <w:rsid w:val="007808CA"/>
    <w:rsid w:val="00790E37"/>
    <w:rsid w:val="007B626B"/>
    <w:rsid w:val="007C33C4"/>
    <w:rsid w:val="007C4F40"/>
    <w:rsid w:val="007D181A"/>
    <w:rsid w:val="007F16BF"/>
    <w:rsid w:val="007F4CB9"/>
    <w:rsid w:val="0080335D"/>
    <w:rsid w:val="0080359D"/>
    <w:rsid w:val="00806D68"/>
    <w:rsid w:val="00807C98"/>
    <w:rsid w:val="0081311B"/>
    <w:rsid w:val="008133DB"/>
    <w:rsid w:val="00814A4B"/>
    <w:rsid w:val="008326EA"/>
    <w:rsid w:val="00833450"/>
    <w:rsid w:val="00833CDE"/>
    <w:rsid w:val="00834FEE"/>
    <w:rsid w:val="00836DA1"/>
    <w:rsid w:val="0084436F"/>
    <w:rsid w:val="008540A5"/>
    <w:rsid w:val="00863A18"/>
    <w:rsid w:val="0087077E"/>
    <w:rsid w:val="008776A6"/>
    <w:rsid w:val="00877B5B"/>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4125C"/>
    <w:rsid w:val="00950EB9"/>
    <w:rsid w:val="00951287"/>
    <w:rsid w:val="009576CD"/>
    <w:rsid w:val="009577DC"/>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13B62"/>
    <w:rsid w:val="00A149DD"/>
    <w:rsid w:val="00A15156"/>
    <w:rsid w:val="00A154AA"/>
    <w:rsid w:val="00A2302D"/>
    <w:rsid w:val="00A3530D"/>
    <w:rsid w:val="00A402D8"/>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0B3B"/>
    <w:rsid w:val="00AA2DB4"/>
    <w:rsid w:val="00AB0407"/>
    <w:rsid w:val="00AB5DBB"/>
    <w:rsid w:val="00AC727E"/>
    <w:rsid w:val="00AD458B"/>
    <w:rsid w:val="00AD5F7D"/>
    <w:rsid w:val="00AE1F2D"/>
    <w:rsid w:val="00AE3DBA"/>
    <w:rsid w:val="00AE6854"/>
    <w:rsid w:val="00AF13D8"/>
    <w:rsid w:val="00AF2BA4"/>
    <w:rsid w:val="00B065C5"/>
    <w:rsid w:val="00B10861"/>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0D18"/>
    <w:rsid w:val="00C14706"/>
    <w:rsid w:val="00C1489A"/>
    <w:rsid w:val="00C23E72"/>
    <w:rsid w:val="00C34A71"/>
    <w:rsid w:val="00C462BD"/>
    <w:rsid w:val="00C47FC1"/>
    <w:rsid w:val="00C5632E"/>
    <w:rsid w:val="00C5723D"/>
    <w:rsid w:val="00C603B3"/>
    <w:rsid w:val="00C66B57"/>
    <w:rsid w:val="00C71A9A"/>
    <w:rsid w:val="00C733EA"/>
    <w:rsid w:val="00C736D9"/>
    <w:rsid w:val="00C77327"/>
    <w:rsid w:val="00C817F2"/>
    <w:rsid w:val="00C868D8"/>
    <w:rsid w:val="00C93D4C"/>
    <w:rsid w:val="00CA521D"/>
    <w:rsid w:val="00CA74AD"/>
    <w:rsid w:val="00CB040E"/>
    <w:rsid w:val="00CC6721"/>
    <w:rsid w:val="00CD5098"/>
    <w:rsid w:val="00CD5536"/>
    <w:rsid w:val="00CE10DF"/>
    <w:rsid w:val="00CE3C2A"/>
    <w:rsid w:val="00CE6C00"/>
    <w:rsid w:val="00CF07E5"/>
    <w:rsid w:val="00CF1187"/>
    <w:rsid w:val="00CF4842"/>
    <w:rsid w:val="00D02E5D"/>
    <w:rsid w:val="00D108CB"/>
    <w:rsid w:val="00D12015"/>
    <w:rsid w:val="00D16977"/>
    <w:rsid w:val="00D35170"/>
    <w:rsid w:val="00D37B6E"/>
    <w:rsid w:val="00D42CEC"/>
    <w:rsid w:val="00D443F8"/>
    <w:rsid w:val="00D44574"/>
    <w:rsid w:val="00D601EF"/>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DF4730"/>
    <w:rsid w:val="00E151B6"/>
    <w:rsid w:val="00E160DD"/>
    <w:rsid w:val="00E207DD"/>
    <w:rsid w:val="00E22438"/>
    <w:rsid w:val="00E22CB4"/>
    <w:rsid w:val="00E22E28"/>
    <w:rsid w:val="00E3106C"/>
    <w:rsid w:val="00E34945"/>
    <w:rsid w:val="00E4189E"/>
    <w:rsid w:val="00E51968"/>
    <w:rsid w:val="00E62105"/>
    <w:rsid w:val="00E67A73"/>
    <w:rsid w:val="00E75696"/>
    <w:rsid w:val="00E810C0"/>
    <w:rsid w:val="00E87621"/>
    <w:rsid w:val="00E9145B"/>
    <w:rsid w:val="00E950CF"/>
    <w:rsid w:val="00EA5536"/>
    <w:rsid w:val="00EB62D4"/>
    <w:rsid w:val="00EC1C5F"/>
    <w:rsid w:val="00EC21E7"/>
    <w:rsid w:val="00EC2CB2"/>
    <w:rsid w:val="00EC79A5"/>
    <w:rsid w:val="00ED2DC8"/>
    <w:rsid w:val="00ED3F92"/>
    <w:rsid w:val="00ED522E"/>
    <w:rsid w:val="00EE0817"/>
    <w:rsid w:val="00EF2B54"/>
    <w:rsid w:val="00EF6D32"/>
    <w:rsid w:val="00F0082B"/>
    <w:rsid w:val="00F0156C"/>
    <w:rsid w:val="00F0441E"/>
    <w:rsid w:val="00F12B33"/>
    <w:rsid w:val="00F2135B"/>
    <w:rsid w:val="00F2227C"/>
    <w:rsid w:val="00F33348"/>
    <w:rsid w:val="00F36D39"/>
    <w:rsid w:val="00F378B6"/>
    <w:rsid w:val="00F4172E"/>
    <w:rsid w:val="00F45DDD"/>
    <w:rsid w:val="00F50B2B"/>
    <w:rsid w:val="00F80506"/>
    <w:rsid w:val="00F9075F"/>
    <w:rsid w:val="00F91DE2"/>
    <w:rsid w:val="00F931FB"/>
    <w:rsid w:val="00F936FD"/>
    <w:rsid w:val="00FA09F7"/>
    <w:rsid w:val="00FA4DEA"/>
    <w:rsid w:val="00FA5FEB"/>
    <w:rsid w:val="00FB439A"/>
    <w:rsid w:val="00FB7434"/>
    <w:rsid w:val="00FC0075"/>
    <w:rsid w:val="00FD6C8C"/>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5503FE"/>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2.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4.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10571</TotalTime>
  <Pages>55</Pages>
  <Words>18852</Words>
  <Characters>103692</Characters>
  <Application>Microsoft Office Word</Application>
  <DocSecurity>0</DocSecurity>
  <Lines>864</Lines>
  <Paragraphs>244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247</cp:revision>
  <dcterms:created xsi:type="dcterms:W3CDTF">2026-03-23T21:09:00Z</dcterms:created>
  <dcterms:modified xsi:type="dcterms:W3CDTF">2026-08-31T17:52:00Z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