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77777777" w:rsidR="0033689D" w:rsidRPr="00923C59" w:rsidRDefault="0033689D">
      <w:pPr>
        <w:pStyle w:val="Prrafodelista"/>
        <w:numPr>
          <w:ilvl w:val="1"/>
          <w:numId w:val="8"/>
        </w:numPr>
        <w:spacing w:after="0" w:line="276" w:lineRule="auto"/>
        <w:ind w:left="709" w:hanging="709"/>
        <w:rPr>
          <w:b w:val="0"/>
          <w:bCs w:val="0"/>
          <w:color w:val="000000"/>
        </w:rPr>
      </w:pPr>
      <w:commentRangeStart w:id="5"/>
      <w:r>
        <w:rPr>
          <w:color w:val="000000"/>
          <w:highlight w:val="cyan"/>
        </w:rPr>
        <w:t xml:space="preserve">Propietario de caso de uso: </w:t>
      </w:r>
      <w:r>
        <w:rPr>
          <w:b w:val="0"/>
          <w:bCs w:val="0"/>
          <w:color w:val="000000"/>
          <w:highlight w:val="cyan"/>
        </w:rPr>
        <w:t>Responsable de la unidad de organización que identifica la necesidad de negocio (el caso de uso) susceptible de ser atendida mediante un SBIA, y que asume la responsabilidad funcional sobre sus resultados a lo largo de todo el ciclo de vida. Es el mismo responsable funcional del SBIA que materializa el caso de uso, y se distingue del custodio técnico a cargo de su arquitectura y operación. [NTP-ISO/IEC 42001:2025, cláusula 5.3]</w:t>
      </w:r>
      <w:commentRangeEnd w:id="5"/>
      <w:r w:rsidR="00F378B6" w:rsidRPr="00923C59">
        <w:rPr>
          <w:rStyle w:val="Refdecomentario"/>
          <w:b w:val="0"/>
          <w:bCs w:val="0"/>
          <w:color w:val="000000"/>
          <w:sz w:val="22"/>
          <w:szCs w:val="22"/>
        </w:rPr>
        <w:commentReference w:id="5"/>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6" w:name="_Toc235003965"/>
      <w:r>
        <w:rPr>
          <w:rFonts w:cs="Arial"/>
          <w:bCs/>
          <w:color w:val="000000"/>
          <w:szCs w:val="22"/>
        </w:rPr>
        <w:lastRenderedPageBreak/>
        <w:t>DISPOSICIONES GENERALES</w:t>
      </w:r>
      <w:bookmarkEnd w:id="6"/>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7"/>
            <w:r>
              <w:rPr>
                <w:b w:val="0"/>
                <w:bCs w:val="0"/>
                <w:highlight w:val="yellow"/>
              </w:rPr>
              <w:t>Audita los procesos del Sistema de Gestión de Seguridad de la Información que soportan a los SBIA (GSI).</w:t>
            </w:r>
            <w:commentRangeEnd w:id="7"/>
            <w:r w:rsidR="00DE41F6">
              <w:rPr>
                <w:rStyle w:val="Refdecomentario"/>
                <w:b w:val="0"/>
                <w:bCs w:val="0"/>
                <w:sz w:val="22"/>
                <w:szCs w:val="22"/>
              </w:rPr>
              <w:commentReference w:id="7"/>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77777777" w:rsidR="00B34A74" w:rsidRPr="00923C59" w:rsidRDefault="00B34A74" w:rsidP="00904C72">
            <w:pPr>
              <w:spacing w:before="20" w:after="20" w:line="276" w:lineRule="auto"/>
              <w:rPr>
                <w:rFonts w:ascii="Arial" w:hAnsi="Arial" w:cs="Arial"/>
              </w:rPr>
            </w:pPr>
            <w:commentRangeStart w:id="8"/>
            <w:r>
              <w:rPr>
                <w:rFonts w:ascii="Arial" w:eastAsia="Arial" w:hAnsi="Arial" w:cs="Arial"/>
                <w:b/>
                <w:bCs/>
              </w:rPr>
              <w:t>Representante de Negocio</w:t>
            </w:r>
            <w:commentRangeEnd w:id="8"/>
            <w:r w:rsidR="00DE41F6" w:rsidRPr="00923C59">
              <w:rPr>
                <w:rStyle w:val="Refdecomentario"/>
                <w:rFonts w:ascii="Arial" w:hAnsi="Arial" w:cs="Arial"/>
                <w:sz w:val="22"/>
                <w:szCs w:val="22"/>
              </w:rPr>
              <w:commentReference w:id="8"/>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77777777" w:rsidR="00B34A74" w:rsidRPr="00923C59" w:rsidRDefault="00B34A74" w:rsidP="00904C72">
            <w:pPr>
              <w:spacing w:before="20" w:after="20" w:line="276" w:lineRule="auto"/>
              <w:rPr>
                <w:rFonts w:ascii="Arial" w:hAnsi="Arial" w:cs="Arial"/>
              </w:rPr>
            </w:pPr>
            <w:r>
              <w:rPr>
                <w:rFonts w:ascii="Arial" w:eastAsia="Arial" w:hAnsi="Arial" w:cs="Arial"/>
              </w:rPr>
              <w:t>Superintendencias Nacionales Adjuntas</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218E6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Aporta la visión de negocio a la Comisión de Gobierno de IA.</w:t>
            </w:r>
          </w:p>
          <w:p w14:paraId="14613D4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Identifica y prioriza las iniciativas de negocio susceptibles de generar valor mediante SBIA.</w:t>
            </w:r>
          </w:p>
          <w:p w14:paraId="71793657"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lastRenderedPageBreak/>
              <w:t>Participa en la evaluación de los casos de uso desde la perspectiva de negocio.</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9" w:name="_Toc235003966"/>
      <w:r>
        <w:rPr>
          <w:rFonts w:cs="Arial"/>
          <w:bCs/>
          <w:color w:val="000000"/>
          <w:szCs w:val="22"/>
        </w:rPr>
        <w:t>DISPOSICIONES ESPECÍFICAS</w:t>
      </w:r>
      <w:bookmarkEnd w:id="9"/>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 xml:space="preserve">En la evaluación de la generación de valor, el beneficio puede sustentarse a nivel de un conjunto o programa de SBIA cuando la iniciativa forme parte de un </w:t>
      </w:r>
      <w:r>
        <w:rPr>
          <w:rFonts w:ascii="Arial" w:eastAsia="Arial" w:hAnsi="Arial" w:cs="Arial"/>
          <w:color w:val="000000"/>
          <w:highlight w:val="yellow"/>
        </w:rPr>
        <w:lastRenderedPageBreak/>
        <w:t>portafolio, e incluir beneficios cualitativos y de control de procesos además de los cuantitativos.</w:t>
      </w:r>
    </w:p>
    <w:p w14:paraId="68622EF3" w14:textId="77777777" w:rsidR="00E67A73" w:rsidRDefault="00000000">
      <w:pPr>
        <w:spacing w:after="60" w:line="276" w:lineRule="auto"/>
        <w:ind w:left="1276" w:hanging="720"/>
        <w:jc w:val="both"/>
        <w:rPr>
          <w:rFonts w:ascii="Arial" w:eastAsia="Arial" w:hAnsi="Arial" w:cs="Arial"/>
          <w:color w:val="000000"/>
        </w:rPr>
      </w:pPr>
      <w:commentRangeStart w:id="10"/>
      <w:r>
        <w:rPr>
          <w:rFonts w:ascii="Arial" w:hAnsi="Arial" w:cs="Arial"/>
          <w:color w:val="000000"/>
          <w:highlight w:val="cyan"/>
        </w:rPr>
        <w:t>6.1.5</w:t>
      </w:r>
      <w:r>
        <w:rPr>
          <w:rFonts w:ascii="Arial" w:hAnsi="Arial" w:cs="Arial"/>
          <w:color w:val="000000"/>
          <w:highlight w:val="cyan"/>
        </w:rPr>
        <w:tab/>
        <w:t>La INSI aprueba, con opinión favorable del CGTD, la metodología del ciclo de vida del SBIA previsto en el numeral 6.1.1, conforme a sus competencias y a la METDONI. La metodología comprende, como mínimo: el desarrollo y la aplicación de la clasificación de riesgo (Anexo N.° 2) y de la evaluación de impacto algorítmico (Anexo N.° 3), los criterios técnicos de diseño de la arquitectura de los SBIA, el contenido de los entregables de cada etapa, los tipos y las técnicas de prueba aplicables según el nivel de riesgo, los controles de contención, las prácticas de monitoreo y las condiciones de retiro. En tanto no se apruebe, los SBIA siguen el ciclo de vida del numeral 6.1.1 y la normativa de desarrollo de sistemas vigente en la SUNAT.</w:t>
      </w:r>
      <w:commentRangeEnd w:id="10"/>
      <w:r w:rsidR="00C66B57">
        <w:rPr>
          <w:rStyle w:val="Refdecomentario"/>
          <w:rFonts w:ascii="Arial" w:eastAsia="Arial" w:hAnsi="Arial" w:cs="Arial"/>
          <w:color w:val="000000"/>
          <w:sz w:val="22"/>
          <w:szCs w:val="22"/>
        </w:rPr>
        <w:commentReference w:id="10"/>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w:t>
      </w:r>
      <w:r>
        <w:rPr>
          <w:rFonts w:ascii="Arial" w:eastAsia="Arial" w:hAnsi="Arial" w:cs="Arial"/>
          <w:color w:val="000000"/>
          <w:highlight w:val="yellow"/>
        </w:rPr>
        <w:lastRenderedPageBreak/>
        <w:t>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50AD7B0A"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 xml:space="preserve">Todo SBIA cuenta con un mecanismo de supervisión humana proporcional a su nivel de riesgo. En los SBIA de riesgo alto que intervengan en decisiones </w:t>
      </w:r>
      <w:r>
        <w:rPr>
          <w:rFonts w:ascii="Arial" w:eastAsia="Arial" w:hAnsi="Arial" w:cs="Arial"/>
          <w:color w:val="000000"/>
          <w:highlight w:val="yellow"/>
        </w:rPr>
        <w:lastRenderedPageBreak/>
        <w:t>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 xml:space="preserve">El Oficial de Datos Personales (ODP) asegura que en el desarrollo, la implementación y el uso de los SBIA se realice un tratamiento adecuado de los </w:t>
      </w:r>
      <w:r>
        <w:rPr>
          <w:rFonts w:ascii="Arial" w:eastAsia="Arial" w:hAnsi="Arial" w:cs="Arial"/>
          <w:color w:val="000000"/>
          <w:highlight w:val="yellow"/>
        </w:rPr>
        <w:lastRenderedPageBreak/>
        <w:t>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 xml:space="preserve">Los SBIA de riesgo alto cuentan con mecanismos de transparencia algorítmica que informan al usuario, de forma previa, clara y sencilla, la finalidad o uso del </w:t>
      </w:r>
      <w:r>
        <w:rPr>
          <w:rFonts w:ascii="Arial" w:eastAsia="Arial" w:hAnsi="Arial" w:cs="Arial"/>
          <w:color w:val="000000"/>
          <w:highlight w:val="yellow"/>
        </w:rPr>
        <w:lastRenderedPageBreak/>
        <w:t>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lastRenderedPageBreak/>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 xml:space="preserve">Los contratos incluyen cláusulas sobre: (a) protección de datos y reserva tributaria; (b) transparencia del modelo; (c) comunicación de vulnerabilidades e incidentes; (d) derecho de auditoría, incluida la realización de auditorías éticas </w:t>
      </w:r>
      <w:r>
        <w:rPr>
          <w:rFonts w:ascii="Arial" w:eastAsia="Arial" w:hAnsi="Arial" w:cs="Arial"/>
          <w:color w:val="000000"/>
          <w:highlight w:val="yellow"/>
        </w:rPr>
        <w:lastRenderedPageBreak/>
        <w:t>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incorpora los requerimientos establecidos en el numeral 28.9 del artículo 28 del Reglamento y adopta medidas adicionales de sensibilización </w:t>
      </w:r>
      <w:r w:rsidRPr="00833CDE">
        <w:rPr>
          <w:rFonts w:ascii="Arial" w:eastAsia="Arial" w:hAnsi="Arial" w:cs="Arial"/>
          <w:color w:val="000000"/>
          <w:highlight w:val="lightGray"/>
        </w:rPr>
        <w:lastRenderedPageBreak/>
        <w:t>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respeto de los derechos humanos y evita que se generen resultados injustos o </w:t>
      </w:r>
      <w:r>
        <w:rPr>
          <w:rFonts w:ascii="Arial" w:eastAsia="Arial" w:hAnsi="Arial" w:cs="Arial"/>
          <w:color w:val="000000"/>
          <w:highlight w:val="yellow"/>
        </w:rPr>
        <w:lastRenderedPageBreak/>
        <w:t>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326739" w:rsidRDefault="00326739" w:rsidP="00326739">
      <w:pPr>
        <w:pStyle w:val="SubtituloDONI"/>
        <w:spacing w:line="276" w:lineRule="auto"/>
        <w:ind w:left="851"/>
        <w:rPr>
          <w:color w:val="000000"/>
          <w:highlight w:val="lightGray"/>
        </w:rPr>
      </w:pPr>
      <w:r w:rsidRPr="00326739">
        <w:rPr>
          <w:highlight w:val="lightGray"/>
        </w:rPr>
        <w:t>6.15 De la articulación con la formulación de iniciativas, proyectos e inversiones</w:t>
      </w:r>
    </w:p>
    <w:p w14:paraId="0BD19C27" w14:textId="61BE8FE3"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11" w:name="_Toc235003967"/>
      <w:r>
        <w:rPr>
          <w:rFonts w:cs="Arial"/>
          <w:bCs/>
          <w:color w:val="000000"/>
          <w:szCs w:val="22"/>
        </w:rPr>
        <w:lastRenderedPageBreak/>
        <w:t>DISPOSICIONES FINALES</w:t>
      </w:r>
      <w:bookmarkEnd w:id="11"/>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77777777"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Los encargos son los previstos en las disposiciones específicas de la presente directiva; su plazo se establece mediante acuerdo del Comité de Gobierno y Transformación Digital. 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lastRenderedPageBreak/>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12" w:name="_Toc235003968"/>
      <w:r>
        <w:rPr>
          <w:rFonts w:cs="Arial"/>
          <w:bCs/>
          <w:color w:val="000000"/>
          <w:szCs w:val="22"/>
        </w:rPr>
        <w:t>ANEXOS</w:t>
      </w:r>
      <w:bookmarkEnd w:id="12"/>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Kut Castro Mario Fernando" w:date="2026-07-21T11:14:00Z" w:initials="MK">
    <w:p w14:paraId="1304144C" w14:textId="77777777" w:rsidR="00F378B6" w:rsidRDefault="00F378B6" w:rsidP="00F378B6">
      <w:pPr>
        <w:pStyle w:val="Textocomentario"/>
      </w:pPr>
      <w:r>
        <w:rPr>
          <w:rStyle w:val="Refdecomentario"/>
        </w:rPr>
        <w:annotationRef/>
      </w:r>
      <w:r>
        <w:t>Alinearlo de acuerdo al ROF referente a la competencia de formular iniciativas de SBIA, (unidades normativas de negocio y las unidades administrativas, TI), revisar competencias.</w:t>
      </w:r>
    </w:p>
  </w:comment>
  <w:comment w:id="7"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 w:id="8" w:author="Kut Castro Mario Fernando" w:date="2026-07-21T11:27:00Z" w:initials="MK">
    <w:p w14:paraId="2EB03F52" w14:textId="77777777" w:rsidR="00DE41F6" w:rsidRDefault="00DE41F6" w:rsidP="00DE41F6">
      <w:pPr>
        <w:pStyle w:val="Textocomentario"/>
      </w:pPr>
      <w:r>
        <w:rPr>
          <w:rStyle w:val="Refdecomentario"/>
        </w:rPr>
        <w:annotationRef/>
      </w:r>
      <w:r>
        <w:t>Representantes INGP, INER, INDIA, (Para revisión del ROF), a evaluar.</w:t>
      </w:r>
    </w:p>
  </w:comment>
  <w:comment w:id="10" w:author="Kut Castro Mario Fernando" w:date="2026-07-21T11:40:00Z" w:initials="MK">
    <w:p w14:paraId="7A362A96" w14:textId="77777777" w:rsidR="00C66B57" w:rsidRDefault="00C66B57" w:rsidP="00C66B57">
      <w:pPr>
        <w:pStyle w:val="Textocomentario"/>
      </w:pPr>
      <w:r>
        <w:rPr>
          <w:rStyle w:val="Refdecomentario"/>
        </w:rPr>
        <w:annotationRef/>
      </w:r>
      <w:r>
        <w:t>Analizar bajo METDONI.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04144C" w15:done="0"/>
  <w15:commentEx w15:paraId="3C0FED1C" w15:done="0"/>
  <w15:commentEx w15:paraId="2EB03F52" w15:done="0"/>
  <w15:commentEx w15:paraId="7A362A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BA2796" w16cex:dateUtc="2026-07-21T16:14:00Z"/>
  <w16cex:commentExtensible w16cex:durableId="6387E4DA" w16cex:dateUtc="2026-07-21T16:30:00Z"/>
  <w16cex:commentExtensible w16cex:durableId="2C51B84E" w16cex:dateUtc="2026-07-21T16:27:00Z"/>
  <w16cex:commentExtensible w16cex:durableId="29EDEAD0" w16cex:dateUtc="2026-07-21T1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04144C" w16cid:durableId="74BA2796"/>
  <w16cid:commentId w16cid:paraId="3C0FED1C" w16cid:durableId="6387E4DA"/>
  <w16cid:commentId w16cid:paraId="2EB03F52" w16cid:durableId="2C51B84E"/>
  <w16cid:commentId w16cid:paraId="7A362A96" w16cid:durableId="29EDEA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A4E93" w14:textId="77777777" w:rsidR="00D2646F" w:rsidRDefault="00D2646F">
      <w:pPr>
        <w:spacing w:after="0" w:line="240" w:lineRule="auto"/>
      </w:pPr>
      <w:r>
        <w:separator/>
      </w:r>
    </w:p>
  </w:endnote>
  <w:endnote w:type="continuationSeparator" w:id="0">
    <w:p w14:paraId="6C4163EC" w14:textId="77777777" w:rsidR="00D2646F" w:rsidRDefault="00D26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3557E" w14:textId="77777777" w:rsidR="00D2646F" w:rsidRDefault="00D2646F">
      <w:pPr>
        <w:spacing w:after="0" w:line="240" w:lineRule="auto"/>
      </w:pPr>
      <w:r>
        <w:separator/>
      </w:r>
    </w:p>
  </w:footnote>
  <w:footnote w:type="continuationSeparator" w:id="0">
    <w:p w14:paraId="7AF59D13" w14:textId="77777777" w:rsidR="00D2646F" w:rsidRDefault="00D2646F">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8147B"/>
    <w:rsid w:val="0018222F"/>
    <w:rsid w:val="001B791A"/>
    <w:rsid w:val="001C5C4D"/>
    <w:rsid w:val="001D0B85"/>
    <w:rsid w:val="001F16B0"/>
    <w:rsid w:val="002102ED"/>
    <w:rsid w:val="00215BA9"/>
    <w:rsid w:val="002222E3"/>
    <w:rsid w:val="00272134"/>
    <w:rsid w:val="002950F6"/>
    <w:rsid w:val="002A5658"/>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C3A70"/>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714044"/>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2646F"/>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4829</TotalTime>
  <Pages>34</Pages>
  <Words>10688</Words>
  <Characters>58787</Characters>
  <Application>Microsoft Office Word</Application>
  <DocSecurity>0</DocSecurity>
  <Lines>489</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129</cp:revision>
  <dcterms:created xsi:type="dcterms:W3CDTF">2026-03-23T21:09:00Z</dcterms:created>
  <dcterms:modified xsi:type="dcterms:W3CDTF">2026-07-29T06:12:00Z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