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3500C9E2"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7A4DB512"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122868CE"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334964A7"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21A72EE4"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25BE9A9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1C3DBB2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w:t>
            </w:r>
            <w:r>
              <w:rPr>
                <w:b w:val="0"/>
                <w:bCs w:val="0"/>
              </w:rPr>
              <w:lastRenderedPageBreak/>
              <w:t>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 xml:space="preserve">Aprobar los hitos del ciclo de vida que le corresponden conforme al </w:t>
            </w:r>
            <w:r>
              <w:rPr>
                <w:b w:val="0"/>
                <w:bCs w:val="0"/>
                <w:highlight w:val="green"/>
              </w:rPr>
              <w:lastRenderedPageBreak/>
              <w:t>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w:t>
            </w:r>
            <w:r>
              <w:rPr>
                <w:b w:val="0"/>
                <w:bCs w:val="0"/>
              </w:rPr>
              <w:lastRenderedPageBreak/>
              <w:t>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w:t>
            </w:r>
            <w:r>
              <w:rPr>
                <w:b w:val="0"/>
                <w:bCs w:val="0"/>
                <w:color w:val="000000"/>
                <w:highlight w:val="green"/>
              </w:rPr>
              <w:lastRenderedPageBreak/>
              <w:t>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 xml:space="preserve">Integración de programas y </w:t>
            </w:r>
            <w:r>
              <w:rPr>
                <w:rFonts w:ascii="Arial" w:eastAsia="Arial" w:hAnsi="Arial" w:cs="Arial"/>
                <w:b/>
                <w:bCs/>
                <w:highlight w:val="yellow"/>
              </w:rPr>
              <w:lastRenderedPageBreak/>
              <w:t>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lastRenderedPageBreak/>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 xml:space="preserve">Promueve un enfoque holístico, sistemático y con sinergia en el </w:t>
            </w:r>
            <w:r>
              <w:rPr>
                <w:b w:val="0"/>
                <w:bCs w:val="0"/>
                <w:highlight w:val="yellow"/>
              </w:rPr>
              <w:lastRenderedPageBreak/>
              <w:t>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lastRenderedPageBreak/>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Promueve la adopción de la inteligencia artificial en el ámbito de </w:t>
            </w:r>
            <w:r>
              <w:rPr>
                <w:b w:val="0"/>
                <w:bCs w:val="0"/>
                <w:highlight w:val="yellow"/>
              </w:rPr>
              <w:lastRenderedPageBreak/>
              <w:t>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Intendencia Nacional Jurídico </w:t>
            </w:r>
            <w:r>
              <w:rPr>
                <w:b w:val="0"/>
                <w:bCs w:val="0"/>
              </w:rPr>
              <w:lastRenderedPageBreak/>
              <w:t>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w:t>
            </w:r>
            <w:r>
              <w:rPr>
                <w:rFonts w:ascii="Arial" w:eastAsia="Arial" w:hAnsi="Arial" w:cs="Arial"/>
                <w:highlight w:val="green"/>
              </w:rPr>
              <w:lastRenderedPageBreak/>
              <w:t>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w:t>
            </w:r>
            <w:r>
              <w:rPr>
                <w:rFonts w:ascii="Arial" w:eastAsia="Arial" w:hAnsi="Arial" w:cs="Arial"/>
                <w:highlight w:val="green"/>
              </w:rPr>
              <w:lastRenderedPageBreak/>
              <w:t>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Conformidad de la </w:t>
            </w:r>
            <w:r>
              <w:rPr>
                <w:rFonts w:ascii="Arial" w:eastAsia="Arial" w:hAnsi="Arial" w:cs="Arial"/>
              </w:rPr>
              <w:lastRenderedPageBreak/>
              <w:t>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w:t>
            </w:r>
            <w:r>
              <w:rPr>
                <w:rFonts w:ascii="Arial" w:hAnsi="Arial" w:cs="Arial"/>
                <w:highlight w:val="green"/>
              </w:rPr>
              <w:lastRenderedPageBreak/>
              <w:t>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en los numerales 6.6 y 6.10. Los </w:t>
            </w:r>
            <w:r>
              <w:rPr>
                <w:rFonts w:ascii="Arial" w:eastAsia="Arial" w:hAnsi="Arial" w:cs="Arial"/>
                <w:highlight w:val="yellow"/>
              </w:rPr>
              <w:lastRenderedPageBreak/>
              <w:t>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w:t>
      </w:r>
      <w:r>
        <w:rPr>
          <w:rFonts w:ascii="Arial" w:eastAsia="Arial" w:hAnsi="Arial" w:cs="Arial"/>
          <w:color w:val="000000"/>
          <w:highlight w:val="green"/>
        </w:rPr>
        <w:lastRenderedPageBreak/>
        <w:t>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6.1.6  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lastRenderedPageBreak/>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6FF09F4F"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lastRenderedPageBreak/>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Dichos mecanismos son proporcionales al nivel de </w:t>
      </w:r>
      <w:r>
        <w:rPr>
          <w:rFonts w:ascii="Arial" w:eastAsia="Arial" w:hAnsi="Arial" w:cs="Arial"/>
          <w:color w:val="000000"/>
          <w:highlight w:val="green"/>
        </w:rPr>
        <w:lastRenderedPageBreak/>
        <w:t>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w:t>
      </w:r>
      <w:r>
        <w:rPr>
          <w:rFonts w:ascii="Arial" w:eastAsia="Arial" w:hAnsi="Arial" w:cs="Arial"/>
          <w:color w:val="000000"/>
          <w:highlight w:val="green"/>
        </w:rPr>
        <w:lastRenderedPageBreak/>
        <w:t>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w:t>
      </w:r>
      <w:r>
        <w:rPr>
          <w:rFonts w:ascii="Arial" w:eastAsia="Arial" w:hAnsi="Arial" w:cs="Arial"/>
          <w:color w:val="000000"/>
          <w:highlight w:val="cyan"/>
        </w:rPr>
        <w:lastRenderedPageBreak/>
        <w:t xml:space="preserve">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6.7.8  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w:t>
      </w:r>
      <w:r>
        <w:rPr>
          <w:rFonts w:ascii="Arial" w:eastAsia="Arial" w:hAnsi="Arial" w:cs="Arial"/>
          <w:color w:val="000000"/>
          <w:highlight w:val="green"/>
        </w:rPr>
        <w:lastRenderedPageBreak/>
        <w:t>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w:t>
      </w:r>
      <w:r>
        <w:rPr>
          <w:rFonts w:ascii="Arial" w:eastAsia="Arial" w:hAnsi="Arial" w:cs="Arial"/>
          <w:color w:val="000000"/>
          <w:highlight w:val="green"/>
        </w:rPr>
        <w:lastRenderedPageBreak/>
        <w:t>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w:t>
      </w:r>
      <w:r>
        <w:rPr>
          <w:rFonts w:ascii="Arial" w:hAnsi="Arial" w:cs="Arial"/>
          <w:color w:val="000000"/>
          <w:highlight w:val="cyan"/>
        </w:rPr>
        <w:lastRenderedPageBreak/>
        <w:t>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Pr>
          <w:rFonts w:ascii="Arial" w:eastAsia="Arial" w:hAnsi="Arial" w:cs="Arial"/>
          <w:color w:val="000000"/>
          <w:highlight w:val="green"/>
        </w:rPr>
        <w:lastRenderedPageBreak/>
        <w:t>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 xml:space="preserve">Ninguna unidad de organización desarrolla, adquiere, contrata, implementa u opera SBIA fuera del límite de la presente directiva, independientemente de su </w:t>
      </w:r>
      <w:r>
        <w:rPr>
          <w:rFonts w:ascii="Arial" w:eastAsia="Arial" w:hAnsi="Arial" w:cs="Arial"/>
          <w:color w:val="000000"/>
          <w:highlight w:val="green"/>
        </w:rPr>
        <w:lastRenderedPageBreak/>
        <w:t>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 xml:space="preserve">La unidad de organización que formula los términos de referencia o las especificaciones técnicas incorpora en ellos las cláusulas que el contrato debe contener sobre: (a) protección de datos y reserva tributaria; (b) transparencia </w:t>
      </w:r>
      <w:r>
        <w:rPr>
          <w:rFonts w:ascii="Arial" w:eastAsia="Arial" w:hAnsi="Arial" w:cs="Arial"/>
          <w:color w:val="000000"/>
          <w:highlight w:val="green"/>
        </w:rPr>
        <w:lastRenderedPageBreak/>
        <w:t>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w:t>
      </w:r>
      <w:r>
        <w:rPr>
          <w:rFonts w:ascii="Arial" w:eastAsia="Arial" w:hAnsi="Arial" w:cs="Arial"/>
          <w:color w:val="000000"/>
          <w:highlight w:val="lightGray"/>
        </w:rPr>
        <w:lastRenderedPageBreak/>
        <w:t>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w:t>
      </w:r>
      <w:r>
        <w:rPr>
          <w:rFonts w:ascii="Arial" w:hAnsi="Arial" w:cs="Arial"/>
          <w:highlight w:val="green"/>
        </w:rPr>
        <w:lastRenderedPageBreak/>
        <w:t>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lastRenderedPageBreak/>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 xml:space="preserve">En tanto no se emitan dichos lineamientos y no se designe al OIA, el Coordinador designado conforme al numeral 7.3 ejerce las funciones de coordinación técnica en materia de IA. Designado el OIA, la coordinación de la Comisión de Gobierno de IA recae en él, </w:t>
      </w:r>
      <w:r>
        <w:rPr>
          <w:b w:val="0"/>
          <w:bCs w:val="0"/>
          <w:highlight w:val="green"/>
        </w:rPr>
        <w:lastRenderedPageBreak/>
        <w:t>salvo que los lineamientos de la SGTD 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 xml:space="preserve">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w:t>
      </w:r>
      <w:r w:rsidR="00E41A15" w:rsidRPr="00E41A15">
        <w:rPr>
          <w:b w:val="0"/>
          <w:bCs w:val="0"/>
        </w:rPr>
        <w:t>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FC561" w14:textId="77777777" w:rsidR="004B73BA" w:rsidRDefault="004B73BA">
      <w:pPr>
        <w:spacing w:after="0" w:line="240" w:lineRule="auto"/>
      </w:pPr>
      <w:r>
        <w:separator/>
      </w:r>
    </w:p>
  </w:endnote>
  <w:endnote w:type="continuationSeparator" w:id="0">
    <w:p w14:paraId="284F6E90" w14:textId="77777777" w:rsidR="004B73BA" w:rsidRDefault="004B73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D89D0" w14:textId="77777777" w:rsidR="004B73BA" w:rsidRDefault="004B73BA">
      <w:pPr>
        <w:spacing w:after="0" w:line="240" w:lineRule="auto"/>
      </w:pPr>
      <w:r>
        <w:separator/>
      </w:r>
    </w:p>
  </w:footnote>
  <w:footnote w:type="continuationSeparator" w:id="0">
    <w:p w14:paraId="4B87567E" w14:textId="77777777" w:rsidR="004B73BA" w:rsidRDefault="004B73BA">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B73BA"/>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10580</TotalTime>
  <Pages>55</Pages>
  <Words>18837</Words>
  <Characters>103604</Characters>
  <Application>Microsoft Office Word</Application>
  <DocSecurity>0</DocSecurity>
  <Lines>863</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248</cp:revision>
  <dcterms:created xsi:type="dcterms:W3CDTF">2026-03-23T21:09:00Z</dcterms:created>
  <dcterms:modified xsi:type="dcterms:W3CDTF">2026-08-31T18:01:00Z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