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4D1B4210" w14:textId="77777777" w:rsidR="008E63B0" w:rsidRDefault="008E63B0" w:rsidP="008E63B0">
      <w:pPr>
        <w:spacing w:after="60" w:line="276" w:lineRule="auto"/>
        <w:ind w:left="1276" w:hanging="720"/>
        <w:jc w:val="both"/>
        <w:rPr>
          <w:rFonts w:ascii="Arial" w:eastAsia="Arial" w:hAnsi="Arial" w:cs="Arial"/>
          <w:color w:val="000000"/>
        </w:rPr>
      </w:pPr>
    </w:p>
    <w:p w14:paraId="1E6947F8" w14:textId="77777777" w:rsidR="008E63B0" w:rsidRDefault="008E63B0" w:rsidP="008E63B0">
      <w:pPr>
        <w:spacing w:after="60" w:line="276" w:lineRule="auto"/>
        <w:ind w:left="1276" w:hanging="720"/>
        <w:jc w:val="both"/>
        <w:rPr>
          <w:rFonts w:ascii="Arial" w:eastAsia="Arial" w:hAnsi="Arial" w:cs="Arial"/>
          <w:color w:val="000000"/>
        </w:rPr>
      </w:pPr>
    </w:p>
    <w:p w14:paraId="75CE5E75" w14:textId="77777777" w:rsidR="008E63B0" w:rsidRPr="008E63B0" w:rsidRDefault="008E63B0" w:rsidP="008E63B0">
      <w:pPr>
        <w:spacing w:after="60" w:line="276" w:lineRule="auto"/>
        <w:ind w:left="1276" w:hanging="720"/>
        <w:jc w:val="both"/>
        <w:rPr>
          <w:rFonts w:ascii="Arial" w:eastAsia="Arial" w:hAnsi="Arial" w:cs="Arial"/>
          <w:color w:val="000000"/>
        </w:rPr>
      </w:pPr>
    </w:p>
    <w:p w14:paraId="6F4FB7E8" w14:textId="77777777" w:rsidR="00863A18" w:rsidRPr="00923C59" w:rsidRDefault="00863A18" w:rsidP="00B23382">
      <w:pPr>
        <w:pStyle w:val="SubtituloDONI"/>
        <w:spacing w:line="276" w:lineRule="auto"/>
        <w:ind w:left="851"/>
      </w:pPr>
      <w:r>
        <w:lastRenderedPageBreak/>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50CF38CB" w14:textId="13D58962" w:rsidR="00DE4308" w:rsidRPr="00DE4308" w:rsidRDefault="00DE4308" w:rsidP="00DE4308">
            <w:pPr>
              <w:pStyle w:val="Prrafodelista"/>
              <w:numPr>
                <w:ilvl w:val="0"/>
                <w:numId w:val="13"/>
              </w:numPr>
              <w:spacing w:after="60" w:line="276" w:lineRule="auto"/>
              <w:ind w:left="269" w:hanging="269"/>
              <w:jc w:val="left"/>
              <w:rPr>
                <w:b w:val="0"/>
                <w:bCs w:val="0"/>
                <w:highlight w:val="green"/>
              </w:rPr>
            </w:pPr>
            <w:r w:rsidRPr="00DE4308">
              <w:rPr>
                <w:b w:val="0"/>
                <w:bCs w:val="0"/>
                <w:highlight w:val="green"/>
              </w:rPr>
              <w:t>Proponer la clasificación de riesgo de cada SBIA, previo al inicio del desarrollo o</w:t>
            </w:r>
            <w:r w:rsidRPr="00DE4308">
              <w:rPr>
                <w:b w:val="0"/>
                <w:bCs w:val="0"/>
                <w:highlight w:val="green"/>
              </w:rPr>
              <w:t xml:space="preserve"> </w:t>
            </w:r>
            <w:r w:rsidRPr="00DE4308">
              <w:rPr>
                <w:b w:val="0"/>
                <w:bCs w:val="0"/>
                <w:highlight w:val="green"/>
              </w:rPr>
              <w:t>adquisición; su aprobación corresponde conforme al numeral 6.2.2.</w:t>
            </w:r>
          </w:p>
          <w:p w14:paraId="7AA16B7C" w14:textId="1B1A08C5"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5D4FAD3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Supervisar el cumplimiento de los hitos de aprobación del ciclo de vida de los SBIA y consolidar los informes de monitoreo, auditoría e incidentes para conocimiento del CGTD.</w:t>
            </w:r>
          </w:p>
          <w:p w14:paraId="54B5BA3A"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lastRenderedPageBreak/>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BC999" w14:textId="77777777" w:rsidR="00DE4308" w:rsidRPr="00DE4308" w:rsidRDefault="00DE4308" w:rsidP="00DE4308">
            <w:pPr>
              <w:spacing w:before="20" w:after="20" w:line="276" w:lineRule="auto"/>
              <w:rPr>
                <w:rFonts w:ascii="Arial" w:eastAsia="Arial" w:hAnsi="Arial" w:cs="Arial"/>
                <w:highlight w:val="green"/>
              </w:rPr>
            </w:pPr>
            <w:r w:rsidRPr="00DE4308">
              <w:rPr>
                <w:rFonts w:ascii="Arial" w:eastAsia="Arial" w:hAnsi="Arial" w:cs="Arial"/>
                <w:highlight w:val="green"/>
              </w:rPr>
              <w:t>La Comisión de Gobierno de IA coordina la evaluación técnica, legal, ética y operativa</w:t>
            </w:r>
          </w:p>
          <w:p w14:paraId="447AE5C9" w14:textId="4EB1C7C6" w:rsidR="00E67A73" w:rsidRPr="00DE4308" w:rsidRDefault="00DE4308" w:rsidP="00DE4308">
            <w:pPr>
              <w:spacing w:before="20" w:after="20" w:line="276" w:lineRule="auto"/>
              <w:rPr>
                <w:rFonts w:ascii="Arial" w:hAnsi="Arial" w:cs="Arial"/>
                <w:highlight w:val="green"/>
              </w:rPr>
            </w:pPr>
            <w:r w:rsidRPr="00DE4308">
              <w:rPr>
                <w:rFonts w:ascii="Arial" w:eastAsia="Arial" w:hAnsi="Arial" w:cs="Arial"/>
                <w:highlight w:val="green"/>
              </w:rPr>
              <w:t>del componente de IA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608267C7" w:rsidR="00E67A73" w:rsidRPr="00DE4308" w:rsidRDefault="00DE4308">
            <w:pPr>
              <w:spacing w:before="20" w:after="20" w:line="276" w:lineRule="auto"/>
              <w:rPr>
                <w:rFonts w:ascii="Arial" w:hAnsi="Arial" w:cs="Arial"/>
                <w:highlight w:val="green"/>
              </w:rPr>
            </w:pPr>
            <w:r w:rsidRPr="00DE4308">
              <w:rPr>
                <w:rFonts w:ascii="Arial" w:eastAsia="Arial" w:hAnsi="Arial" w:cs="Arial"/>
                <w:highlight w:val="green"/>
              </w:rPr>
              <w:t>Aprobación de la clasificación de riesgo, 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La Gerencia de Calidad de Sistemas conduce las pruebas de verificación y validación de calidad, y la Oficina de Seguridad Informática efectúa el análisis de riesgo y las pruebas de vulnerabilidad, incluido el red teaming 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1C8859D"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w:t>
      </w:r>
      <w:r w:rsidR="00166F8B" w:rsidRPr="00166F8B">
        <w:rPr>
          <w:rFonts w:ascii="Arial" w:hAnsi="Arial" w:cs="Arial"/>
          <w:color w:val="000000"/>
          <w:highlight w:val="lightGray"/>
        </w:rPr>
        <w:lastRenderedPageBreak/>
        <w:t xml:space="preserve">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w:t>
      </w:r>
      <w:r>
        <w:rPr>
          <w:rFonts w:ascii="Arial" w:eastAsia="Arial" w:hAnsi="Arial" w:cs="Arial"/>
          <w:color w:val="000000"/>
          <w:highlight w:val="yellow"/>
        </w:rPr>
        <w:lastRenderedPageBreak/>
        <w:t>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modelos, conjuntos de datos, componentes generativos y agenticos,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w:t>
      </w:r>
      <w:r w:rsidRPr="005C3A70">
        <w:rPr>
          <w:rFonts w:ascii="Arial" w:eastAsia="Arial" w:hAnsi="Arial" w:cs="Arial"/>
          <w:color w:val="000000"/>
          <w:highlight w:val="lightGray"/>
        </w:rPr>
        <w:lastRenderedPageBreak/>
        <w:t xml:space="preserve">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 xml:space="preserve">El cumplimiento de estas condiciones es verificado por el propietario del caso de uso como condición previa al despliegue del SBIA y consta en la </w:t>
      </w:r>
      <w:r w:rsidRPr="002555BF">
        <w:rPr>
          <w:b w:val="0"/>
          <w:bCs w:val="0"/>
          <w:highlight w:val="green"/>
        </w:rPr>
        <w:lastRenderedPageBreak/>
        <w:t>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6FEA09F8" w14:textId="30858903" w:rsidR="00670027" w:rsidRP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 xml:space="preserve">Riesgo alto: monitoreo </w:t>
      </w:r>
      <w:proofErr w:type="gramStart"/>
      <w:r>
        <w:rPr>
          <w:b w:val="0"/>
          <w:bCs w:val="0"/>
          <w:color w:val="000000"/>
          <w:highlight w:val="yellow"/>
        </w:rPr>
        <w:t>continuo</w:t>
      </w:r>
      <w:proofErr w:type="gramEnd"/>
      <w:r>
        <w:rPr>
          <w:b w:val="0"/>
          <w:bCs w:val="0"/>
          <w:color w:val="000000"/>
          <w:highlight w:val="yellow"/>
        </w:rPr>
        <w:t xml:space="preserve">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0B9298C6" w14:textId="2FA1D904" w:rsidR="0018147B" w:rsidRDefault="00000000" w:rsidP="00AE1F2D">
      <w:pPr>
        <w:spacing w:after="0" w:line="276" w:lineRule="auto"/>
        <w:ind w:left="1276"/>
        <w:jc w:val="both"/>
        <w:rPr>
          <w:rFonts w:ascii="Arial" w:eastAsia="Arial" w:hAnsi="Arial" w:cs="Arial"/>
          <w:color w:val="000000"/>
        </w:rPr>
      </w:pPr>
      <w:r>
        <w:rPr>
          <w:rFonts w:ascii="Arial" w:eastAsia="Arial" w:hAnsi="Arial" w:cs="Arial"/>
          <w:color w:val="000000"/>
          <w:highlight w:val="yellow"/>
        </w:rPr>
        <w:t xml:space="preserve">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w:t>
      </w:r>
      <w:r>
        <w:rPr>
          <w:rFonts w:ascii="Arial" w:eastAsia="Arial" w:hAnsi="Arial" w:cs="Arial"/>
          <w:color w:val="000000"/>
          <w:highlight w:val="yellow"/>
        </w:rPr>
        <w:lastRenderedPageBreak/>
        <w:t>RLIA.</w:t>
      </w:r>
      <w:r w:rsidR="00532CB5">
        <w:rPr>
          <w:rFonts w:ascii="Arial" w:eastAsia="Arial" w:hAnsi="Arial" w:cs="Arial"/>
          <w:color w:val="000000"/>
          <w:highlight w:val="yellow"/>
        </w:rPr>
        <w:t xml:space="preserve"> </w:t>
      </w:r>
      <w:r>
        <w:rPr>
          <w:rFonts w:ascii="Arial" w:eastAsia="Arial" w:hAnsi="Arial" w:cs="Arial"/>
          <w:color w:val="000000"/>
          <w:highlight w:val="yellow"/>
        </w:rPr>
        <w:t>Los resultados de las auditorías alimentan el informe trimestral de la Comisión de Gobierno de IA al CGTD.</w:t>
      </w:r>
    </w:p>
    <w:p w14:paraId="38DF30B6" w14:textId="77777777" w:rsidR="00532CB5" w:rsidRDefault="00532CB5" w:rsidP="00AE1F2D">
      <w:pPr>
        <w:spacing w:after="0" w:line="276" w:lineRule="auto"/>
        <w:ind w:left="1276"/>
        <w:jc w:val="both"/>
        <w:rPr>
          <w:rFonts w:ascii="Arial" w:eastAsia="Arial" w:hAnsi="Arial" w:cs="Arial"/>
          <w:color w:val="000000"/>
        </w:rPr>
      </w:pP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 xml:space="preserve">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w:t>
      </w:r>
      <w:r>
        <w:rPr>
          <w:rFonts w:ascii="Arial" w:eastAsia="Arial" w:hAnsi="Arial" w:cs="Arial"/>
          <w:color w:val="000000"/>
          <w:highlight w:val="yellow"/>
        </w:rPr>
        <w:lastRenderedPageBreak/>
        <w:t>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 xml:space="preserve">Los contratos prohíben al proveedor emplear la información de la SUNAT (en particular la sujeta a reserva tributaria y los datos personales) para entrenar, </w:t>
      </w:r>
      <w:r>
        <w:rPr>
          <w:rFonts w:ascii="Arial" w:eastAsia="Arial" w:hAnsi="Arial" w:cs="Arial"/>
          <w:color w:val="000000"/>
          <w:highlight w:val="yellow"/>
        </w:rPr>
        <w:lastRenderedPageBreak/>
        <w:t>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69680126"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w:t>
      </w:r>
      <w:r w:rsidR="002555BF">
        <w:rPr>
          <w:rFonts w:ascii="Arial" w:eastAsia="Arial" w:hAnsi="Arial" w:cs="Arial"/>
          <w:color w:val="000000"/>
          <w:highlight w:val="yellow"/>
        </w:rPr>
        <w:t xml:space="preserve"> </w:t>
      </w:r>
      <w:r w:rsidR="002555BF" w:rsidRPr="002555BF">
        <w:rPr>
          <w:rFonts w:ascii="Arial" w:eastAsia="Arial" w:hAnsi="Arial" w:cs="Arial"/>
          <w:color w:val="000000"/>
          <w:highlight w:val="green"/>
        </w:rPr>
        <w:t xml:space="preserve">La OII supervisa en los SBIA el cumplimiento de los principios rectores establecidos en el artículo 7 del Reglamento y de los compromisos de la Política de uso seguro, responsable y </w:t>
      </w:r>
      <w:r w:rsidR="002555BF" w:rsidRPr="002555BF">
        <w:rPr>
          <w:rFonts w:ascii="Arial" w:eastAsia="Arial" w:hAnsi="Arial" w:cs="Arial"/>
          <w:color w:val="000000"/>
          <w:highlight w:val="green"/>
        </w:rPr>
        <w:lastRenderedPageBreak/>
        <w:t>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Favorable con condiciones, que identifica los controles que la clasificación de riesgo determina y cuya implementación se verifica en el hito de 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 xml:space="preserve">El uso indebido está prohibido por el artículo 23 del RLIA y los controles reforzados son obligatorios por su artículo 24: en ambos casos obliga la norma, no la opinión. En los demás casos la opinión sustenta la decisión, pero no la </w:t>
      </w:r>
      <w:r w:rsidRPr="006D44AB">
        <w:rPr>
          <w:rFonts w:ascii="Arial" w:hAnsi="Arial" w:cs="Arial"/>
          <w:highlight w:val="green"/>
        </w:rPr>
        <w:lastRenderedPageBreak/>
        <w:t>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 xml:space="preserve">6.15.4 Cuando un proyecto de inversión pública sujeto al Sistema Nacional de Programación Multianual y Gestión de Inversiones incorpore un componente basado en IA, la Unidad Formuladora considera la opinión de la Comisión como </w:t>
      </w:r>
      <w:r w:rsidRPr="002D136C">
        <w:rPr>
          <w:rFonts w:ascii="Arial" w:hAnsi="Arial" w:cs="Arial"/>
          <w:highlight w:val="lightGray"/>
        </w:rPr>
        <w:lastRenderedPageBreak/>
        <w:t>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58CEBE69"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Versión vigente y ultimo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26C0C265"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Datos requeridos: fuentes, tipos, presencia de datos personales, de información sujeta a</w:t>
      </w:r>
      <w:r w:rsidRPr="00EF2B54">
        <w:rPr>
          <w:b w:val="0"/>
          <w:bCs w:val="0"/>
          <w:color w:val="000000"/>
          <w:highlight w:val="green"/>
        </w:rPr>
        <w:t xml:space="preserve"> </w:t>
      </w:r>
      <w:r w:rsidRPr="00EF2B54">
        <w:rPr>
          <w:b w:val="0"/>
          <w:bCs w:val="0"/>
          <w:color w:val="000000"/>
          <w:highlight w:val="green"/>
        </w:rPr>
        <w:t>reserva tributaria</w:t>
      </w:r>
      <w:r w:rsidRPr="00EF2B54">
        <w:rPr>
          <w:b w:val="0"/>
          <w:bCs w:val="0"/>
          <w:color w:val="000000"/>
          <w:highlight w:val="green"/>
        </w:rPr>
        <w:t>.</w:t>
      </w:r>
    </w:p>
    <w:p w14:paraId="08F3DB12" w14:textId="3E8C7B47" w:rsidR="000F3595" w:rsidRDefault="000F3595" w:rsidP="00EF2B54">
      <w:pPr>
        <w:pStyle w:val="Prrafodelista"/>
        <w:numPr>
          <w:ilvl w:val="0"/>
          <w:numId w:val="35"/>
        </w:numPr>
        <w:spacing w:before="120" w:after="40" w:line="276" w:lineRule="auto"/>
        <w:ind w:left="426"/>
        <w:rPr>
          <w:b w:val="0"/>
          <w:bCs w:val="0"/>
          <w:color w:val="000000"/>
          <w:highlight w:val="green"/>
        </w:rPr>
      </w:pPr>
      <w:r w:rsidRPr="000F3595">
        <w:rPr>
          <w:b w:val="0"/>
          <w:bCs w:val="0"/>
          <w:color w:val="000000"/>
          <w:highlight w:val="green"/>
        </w:rPr>
        <w:lastRenderedPageBreak/>
        <w:t>Base legal que habilita el uso de dichos datos para la finalidad del SBIA, conforme al numeral 6.8.3</w:t>
      </w:r>
      <w:r w:rsidR="00DF3D57">
        <w:rPr>
          <w:b w:val="0"/>
          <w:bCs w:val="0"/>
          <w:color w:val="000000"/>
          <w:highlight w:val="green"/>
        </w:rPr>
        <w:t xml:space="preserve"> de la Directiva de IA</w:t>
      </w:r>
      <w:r w:rsidRPr="000F3595">
        <w:rPr>
          <w:b w:val="0"/>
          <w:bCs w:val="0"/>
          <w:color w:val="000000"/>
          <w:highlight w:val="green"/>
        </w:rPr>
        <w:t>,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42156" w14:textId="77777777" w:rsidR="00B94525" w:rsidRDefault="00B94525">
      <w:pPr>
        <w:spacing w:after="0" w:line="240" w:lineRule="auto"/>
      </w:pPr>
      <w:r>
        <w:separator/>
      </w:r>
    </w:p>
  </w:endnote>
  <w:endnote w:type="continuationSeparator" w:id="0">
    <w:p w14:paraId="5CD9B3C6" w14:textId="77777777" w:rsidR="00B94525" w:rsidRDefault="00B945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A90B1" w14:textId="77777777" w:rsidR="00B94525" w:rsidRDefault="00B94525">
      <w:pPr>
        <w:spacing w:after="0" w:line="240" w:lineRule="auto"/>
      </w:pPr>
      <w:r>
        <w:separator/>
      </w:r>
    </w:p>
  </w:footnote>
  <w:footnote w:type="continuationSeparator" w:id="0">
    <w:p w14:paraId="12CCD7F4" w14:textId="77777777" w:rsidR="00B94525" w:rsidRDefault="00B94525">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7"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1"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3"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4"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6"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7"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3"/>
  </w:num>
  <w:num w:numId="2" w16cid:durableId="997340142">
    <w:abstractNumId w:val="4"/>
  </w:num>
  <w:num w:numId="3" w16cid:durableId="818888625">
    <w:abstractNumId w:val="17"/>
  </w:num>
  <w:num w:numId="4" w16cid:durableId="789980796">
    <w:abstractNumId w:val="18"/>
  </w:num>
  <w:num w:numId="5" w16cid:durableId="2135756204">
    <w:abstractNumId w:val="8"/>
  </w:num>
  <w:num w:numId="6" w16cid:durableId="1603613276">
    <w:abstractNumId w:val="12"/>
  </w:num>
  <w:num w:numId="7" w16cid:durableId="1698236715">
    <w:abstractNumId w:val="33"/>
  </w:num>
  <w:num w:numId="8" w16cid:durableId="1567180075">
    <w:abstractNumId w:val="35"/>
  </w:num>
  <w:num w:numId="9" w16cid:durableId="260988981">
    <w:abstractNumId w:val="27"/>
  </w:num>
  <w:num w:numId="10" w16cid:durableId="360321617">
    <w:abstractNumId w:val="20"/>
  </w:num>
  <w:num w:numId="11" w16cid:durableId="11301047">
    <w:abstractNumId w:val="26"/>
  </w:num>
  <w:num w:numId="12" w16cid:durableId="104814016">
    <w:abstractNumId w:val="30"/>
  </w:num>
  <w:num w:numId="13" w16cid:durableId="1885175596">
    <w:abstractNumId w:val="0"/>
  </w:num>
  <w:num w:numId="14" w16cid:durableId="167066823">
    <w:abstractNumId w:val="31"/>
  </w:num>
  <w:num w:numId="15" w16cid:durableId="954553902">
    <w:abstractNumId w:val="28"/>
  </w:num>
  <w:num w:numId="16" w16cid:durableId="1324506319">
    <w:abstractNumId w:val="15"/>
  </w:num>
  <w:num w:numId="17" w16cid:durableId="1839225738">
    <w:abstractNumId w:val="34"/>
  </w:num>
  <w:num w:numId="18" w16cid:durableId="267396013">
    <w:abstractNumId w:val="21"/>
  </w:num>
  <w:num w:numId="19" w16cid:durableId="1228301004">
    <w:abstractNumId w:val="24"/>
  </w:num>
  <w:num w:numId="20" w16cid:durableId="554125780">
    <w:abstractNumId w:val="13"/>
  </w:num>
  <w:num w:numId="21" w16cid:durableId="1964574287">
    <w:abstractNumId w:val="16"/>
  </w:num>
  <w:num w:numId="22" w16cid:durableId="1868059492">
    <w:abstractNumId w:val="25"/>
  </w:num>
  <w:num w:numId="23" w16cid:durableId="529534098">
    <w:abstractNumId w:val="3"/>
  </w:num>
  <w:num w:numId="24" w16cid:durableId="1828084485">
    <w:abstractNumId w:val="14"/>
  </w:num>
  <w:num w:numId="25" w16cid:durableId="1934242185">
    <w:abstractNumId w:val="10"/>
  </w:num>
  <w:num w:numId="26" w16cid:durableId="1799032513">
    <w:abstractNumId w:val="32"/>
  </w:num>
  <w:num w:numId="27" w16cid:durableId="98570134">
    <w:abstractNumId w:val="9"/>
  </w:num>
  <w:num w:numId="28" w16cid:durableId="1517381528">
    <w:abstractNumId w:val="5"/>
  </w:num>
  <w:num w:numId="29" w16cid:durableId="823667415">
    <w:abstractNumId w:val="11"/>
  </w:num>
  <w:num w:numId="30" w16cid:durableId="1665426430">
    <w:abstractNumId w:val="19"/>
  </w:num>
  <w:num w:numId="31" w16cid:durableId="724336090">
    <w:abstractNumId w:val="22"/>
  </w:num>
  <w:num w:numId="32" w16cid:durableId="1229151702">
    <w:abstractNumId w:val="6"/>
  </w:num>
  <w:num w:numId="33" w16cid:durableId="1877502275">
    <w:abstractNumId w:val="1"/>
  </w:num>
  <w:num w:numId="34" w16cid:durableId="395935091">
    <w:abstractNumId w:val="2"/>
  </w:num>
  <w:num w:numId="35" w16cid:durableId="996500697">
    <w:abstractNumId w:val="7"/>
  </w:num>
  <w:num w:numId="36" w16cid:durableId="955452418">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E4C2C"/>
    <w:rsid w:val="000E5B6B"/>
    <w:rsid w:val="000E7544"/>
    <w:rsid w:val="000F3595"/>
    <w:rsid w:val="001164EE"/>
    <w:rsid w:val="00141E9A"/>
    <w:rsid w:val="001437F1"/>
    <w:rsid w:val="00153C2B"/>
    <w:rsid w:val="001609F8"/>
    <w:rsid w:val="00164552"/>
    <w:rsid w:val="00166F8B"/>
    <w:rsid w:val="00174519"/>
    <w:rsid w:val="00180A95"/>
    <w:rsid w:val="0018147B"/>
    <w:rsid w:val="0018222F"/>
    <w:rsid w:val="001B791A"/>
    <w:rsid w:val="001C5C4D"/>
    <w:rsid w:val="001D0B85"/>
    <w:rsid w:val="001E5BAD"/>
    <w:rsid w:val="001F16B0"/>
    <w:rsid w:val="00206379"/>
    <w:rsid w:val="002102ED"/>
    <w:rsid w:val="00215BA9"/>
    <w:rsid w:val="002222E3"/>
    <w:rsid w:val="00226840"/>
    <w:rsid w:val="002555BF"/>
    <w:rsid w:val="00261D87"/>
    <w:rsid w:val="002711BE"/>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2166"/>
    <w:rsid w:val="007324DC"/>
    <w:rsid w:val="00736724"/>
    <w:rsid w:val="0075082A"/>
    <w:rsid w:val="007536D0"/>
    <w:rsid w:val="007614B5"/>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D458B"/>
    <w:rsid w:val="00AD5F7D"/>
    <w:rsid w:val="00AE1F2D"/>
    <w:rsid w:val="00AE3DBA"/>
    <w:rsid w:val="00AE6854"/>
    <w:rsid w:val="00AF2BA4"/>
    <w:rsid w:val="00B10C11"/>
    <w:rsid w:val="00B23382"/>
    <w:rsid w:val="00B27FA6"/>
    <w:rsid w:val="00B34A74"/>
    <w:rsid w:val="00B46315"/>
    <w:rsid w:val="00B474EF"/>
    <w:rsid w:val="00B629FD"/>
    <w:rsid w:val="00B63942"/>
    <w:rsid w:val="00B71027"/>
    <w:rsid w:val="00B72BA5"/>
    <w:rsid w:val="00B72DD0"/>
    <w:rsid w:val="00B80805"/>
    <w:rsid w:val="00B852DB"/>
    <w:rsid w:val="00B87F34"/>
    <w:rsid w:val="00B94525"/>
    <w:rsid w:val="00B9744D"/>
    <w:rsid w:val="00BA798A"/>
    <w:rsid w:val="00BB6113"/>
    <w:rsid w:val="00BC6E5C"/>
    <w:rsid w:val="00BF42FB"/>
    <w:rsid w:val="00BF6420"/>
    <w:rsid w:val="00C01186"/>
    <w:rsid w:val="00C0412A"/>
    <w:rsid w:val="00C051C7"/>
    <w:rsid w:val="00C102C9"/>
    <w:rsid w:val="00C14706"/>
    <w:rsid w:val="00C1489A"/>
    <w:rsid w:val="00C34A71"/>
    <w:rsid w:val="00C47FC1"/>
    <w:rsid w:val="00C5632E"/>
    <w:rsid w:val="00C5723D"/>
    <w:rsid w:val="00C66B57"/>
    <w:rsid w:val="00C71A9A"/>
    <w:rsid w:val="00C733EA"/>
    <w:rsid w:val="00C736D9"/>
    <w:rsid w:val="00C77327"/>
    <w:rsid w:val="00C817F2"/>
    <w:rsid w:val="00C868D8"/>
    <w:rsid w:val="00C93D4C"/>
    <w:rsid w:val="00CB040E"/>
    <w:rsid w:val="00CC6721"/>
    <w:rsid w:val="00CD5098"/>
    <w:rsid w:val="00CD5536"/>
    <w:rsid w:val="00CE3C2A"/>
    <w:rsid w:val="00CE6C00"/>
    <w:rsid w:val="00CF07E5"/>
    <w:rsid w:val="00CF1187"/>
    <w:rsid w:val="00CF4842"/>
    <w:rsid w:val="00D108CB"/>
    <w:rsid w:val="00D16977"/>
    <w:rsid w:val="00D35170"/>
    <w:rsid w:val="00D42CEC"/>
    <w:rsid w:val="00D443F8"/>
    <w:rsid w:val="00D44574"/>
    <w:rsid w:val="00D601EF"/>
    <w:rsid w:val="00D75749"/>
    <w:rsid w:val="00D83EE0"/>
    <w:rsid w:val="00DA3E65"/>
    <w:rsid w:val="00DA4B1B"/>
    <w:rsid w:val="00DB1816"/>
    <w:rsid w:val="00DC2B05"/>
    <w:rsid w:val="00DC7025"/>
    <w:rsid w:val="00DE269D"/>
    <w:rsid w:val="00DE41F6"/>
    <w:rsid w:val="00DE4308"/>
    <w:rsid w:val="00DF04A0"/>
    <w:rsid w:val="00DF3D57"/>
    <w:rsid w:val="00E22438"/>
    <w:rsid w:val="00E22CB4"/>
    <w:rsid w:val="00E22E28"/>
    <w:rsid w:val="00E3106C"/>
    <w:rsid w:val="00E34945"/>
    <w:rsid w:val="00E67A73"/>
    <w:rsid w:val="00E75696"/>
    <w:rsid w:val="00E87621"/>
    <w:rsid w:val="00E9145B"/>
    <w:rsid w:val="00E950CF"/>
    <w:rsid w:val="00EB62D4"/>
    <w:rsid w:val="00EC1C5F"/>
    <w:rsid w:val="00ED2DC8"/>
    <w:rsid w:val="00ED3F92"/>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5696</TotalTime>
  <Pages>38</Pages>
  <Words>12453</Words>
  <Characters>68493</Characters>
  <Application>Microsoft Office Word</Application>
  <DocSecurity>0</DocSecurity>
  <Lines>570</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158</cp:revision>
  <dcterms:created xsi:type="dcterms:W3CDTF">2026-03-23T21:09:00Z</dcterms:created>
  <dcterms:modified xsi:type="dcterms:W3CDTF">2026-08-24T22:54:00Z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