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CD7E8DB"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5</w:t>
          <w:fldChar w:fldCharType="end"/>
        </w:r>
      </w:hyperlink>
    </w:p>
    <w:p w14:paraId="3500C9E2" w14:textId="34B45AE8"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5</w:t>
          <w:fldChar w:fldCharType="end"/>
        </w:r>
      </w:hyperlink>
    </w:p>
    <w:p w14:paraId="7A4DB512" w14:textId="28CAF3FC"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5</w:t>
          <w:fldChar w:fldCharType="end"/>
        </w:r>
      </w:hyperlink>
    </w:p>
    <w:p w14:paraId="122868CE" w14:textId="739A4719"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8</w:t>
          <w:fldChar w:fldCharType="end"/>
        </w:r>
      </w:hyperlink>
    </w:p>
    <w:p w14:paraId="334964A7" w14:textId="095DD0D8"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10</w:t>
          <w:fldChar w:fldCharType="end"/>
        </w:r>
      </w:hyperlink>
    </w:p>
    <w:p w14:paraId="21A72EE4" w14:textId="77A11A31"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19</w:t>
          <w:fldChar w:fldCharType="end"/>
        </w:r>
      </w:hyperlink>
    </w:p>
    <w:p w14:paraId="25BE9A9A" w14:textId="463E3F1D"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47</w:t>
          <w:fldChar w:fldCharType="end"/>
        </w:r>
      </w:hyperlink>
    </w:p>
    <w:p w14:paraId="1C3DBB26" w14:textId="232EAEA0"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49</w:t>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que precisan los compromisos establecidos en la Política de IA y observan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(13/02/2026), que aprueba la Estrategia Nacional de Gobierno de Datos 2026-2030 (ENGD).</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 cuya Sección Primera fue aprobada por el Decreto Supremo N.° 040-2023-EF y modificatoria, y cuya Sección Segunda fue aprobada por la Resolución de Superintendencia N.° 000081-2023/SUNAT y modificatorias.</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de los cuales se mantiene vigente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000114-2026/SUNAT (12/06/2026), que aprueba la actualización de los documentos del Sistema de Gestión de Seguridad de la Información de la SUNAT, entre ellos el Manual de Políticas del Sistema de Gestión de Seguridad de la Información (SGSI-MA-03), Versión 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tab/>
        <w:t>La reserva tributaria constituye criterio determinante en la evaluación de riesgo de todo SBIA que procese información de contribuyentes.</w:t>
      </w:r>
    </w:p>
    <w:p w14:paraId="2D4ED06C" w14:textId="77777777" w:rsidR="00A46D47" w:rsidRPr="00A46D47" w:rsidRDefault="00A46D47" w:rsidP="00A46D47">
      <w:pPr>
        <w:spacing w:after="60" w:line="276" w:lineRule="auto"/>
        <w:ind w:left="1276" w:hanging="720"/>
      </w:pPr>
      <w:r>
        <w:rPr>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tab/>
        <w:t>Las funciones de la Comisión de Gobierno de IA, en apoyo al CGTD, se definen en el numeral 5.4 y en las disposiciones específicas de la presente directiva.</w:t>
      </w:r>
    </w:p>
    <w:p w14:paraId="5F714CC6"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5.3.3</w:t>
        <w:tab/>
        <w:t xml:space="preserve">La condición de integrante de la Comisión de Gobierno de IA no limita ni condiciona el ejercicio de las funciones que el ROF y la normativa institucional asignan a cada unidad de organización que la integra. En particular, la Oficina de Integridad Institucional ejerce con independencia la supervisión prevista en el numeral 6.14 y el tratamiento de las conductas que se le comuniquen </w:t>
        <w:lastRenderedPageBreak/>
        <w:t>conforme al numeral 6.10.6, y la Intendencia Nacional de Asesoría Legal Interna ejerce con independencia la asesoría y la revisión en materia de cumplimiento normativo.</w:t>
      </w:r>
    </w:p>
    <w:p w14:paraId="3796E514" w14:textId="77777777" w:rsidR="005D662A" w:rsidRDefault="005D662A" w:rsidP="008E63B0">
      <w:pPr>
        <w:spacing w:after="60" w:line="276" w:lineRule="auto"/>
        <w:ind w:left="1276" w:hanging="720"/>
        <w:jc w:val="both"/>
        <w:rPr>
          <w:rFonts w:ascii="Arial" w:eastAsia="Arial" w:hAnsi="Arial" w:cs="Arial"/>
          <w:color w:val="000000"/>
        </w:rPr>
      </w:pPr>
    </w:p>
    <w:p w14:paraId="319EFEF7" w14:textId="77777777" w:rsidR="005D662A" w:rsidRDefault="005D662A" w:rsidP="008E63B0">
      <w:pPr>
        <w:spacing w:after="60" w:line="276" w:lineRule="auto"/>
        <w:ind w:left="1276" w:hanging="720"/>
        <w:jc w:val="both"/>
        <w:rPr>
          <w:rFonts w:ascii="Arial" w:eastAsia="Arial" w:hAnsi="Arial" w:cs="Arial"/>
          <w:color w:val="000000"/>
        </w:rPr>
      </w:pPr>
    </w:p>
    <w:p w14:paraId="39DFC6F0" w14:textId="77777777" w:rsidR="005D662A" w:rsidRDefault="005D662A" w:rsidP="008E63B0">
      <w:pPr>
        <w:spacing w:after="60" w:line="276" w:lineRule="auto"/>
        <w:ind w:left="1276" w:hanging="720"/>
        <w:jc w:val="both"/>
        <w:rPr>
          <w:rFonts w:ascii="Arial" w:eastAsia="Arial" w:hAnsi="Arial" w:cs="Arial"/>
          <w:color w:val="000000"/>
        </w:rPr>
      </w:pPr>
    </w:p>
    <w:p w14:paraId="6F7395F0" w14:textId="77777777" w:rsidR="00863A18" w:rsidRPr="00923C59" w:rsidRDefault="00863A18" w:rsidP="00B23382">
      <w:pPr>
        <w:pStyle w:val="SubtituloDONI"/>
        <w:spacing w:line="276" w:lineRule="auto"/>
        <w:ind w:left="851"/>
      </w:pPr>
      <w:r>
        <w:t>5.4</w:t>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los casos de uso. Valida el Plan de Acción de Inteligencia Artificial, conforme al numeral 5.3 del artículo 5 de la Resolución </w:t>
              <w:lastRenderedPageBreak/>
              <w:t>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lastRenderedPageBreak/>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5D662A">
      <w:pPr>
        <w:pStyle w:val="SubtituloDONI"/>
        <w:spacing w:before="0" w:after="0"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5D662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Supervisa y evalúa que los modelos y algoritmos de los SBIA de riesgo 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6.6.4,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la INSI desarrolla, adquiere o terceriza SBIA, conforme al numeral 6.7.1. Propone las medidas de gestión de riesgos de seguridad de la información aplicables a los SBIA. El registro y la atención de los incidentes se rigen por el numeral 6.7.5; comunica al Centro Nacional de Seguridad Digital (CNSD) los incidentes de seguridad digital críticos que afecten los procesos misionales o los servicios de la entidad, y los informa a la máxima autoridad administrativa y al CGTD, conforme a la Directiva N.° 001-2023-PCM/SGTD.</w:t>
              <w:lastRenderedPageBreak/>
              <w:t xml:space="preserve">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lastRenderedPageBreak/>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bl>
    <w:p w14:paraId="278FF41E" w14:textId="77777777" w:rsidR="005D662A" w:rsidRDefault="005D662A" w:rsidP="005D662A">
      <w:pPr>
        <w:pStyle w:val="Ttulo1"/>
        <w:numPr>
          <w:ilvl w:val="0"/>
          <w:numId w:val="0"/>
        </w:numPr>
        <w:spacing w:before="0" w:after="0" w:line="276" w:lineRule="auto"/>
        <w:ind w:left="709"/>
        <w:rPr>
          <w:rFonts w:cs="Arial"/>
          <w:szCs w:val="22"/>
        </w:rPr>
      </w:pPr>
      <w:bookmarkStart w:id="6" w:name="_Toc235003966"/>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5D662A" w:rsidRPr="003D4DEA" w14:paraId="739C53E6" w14:textId="77777777" w:rsidTr="005D662A">
        <w:trPr>
          <w:trHeight w:val="639"/>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4CB5C03A" w14:textId="77777777" w:rsidR="005D662A" w:rsidRPr="003D4DEA" w:rsidRDefault="005D662A" w:rsidP="00CA63CE">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5D662A" w14:paraId="6A791DF4" w14:textId="77777777" w:rsidTr="005D662A">
        <w:trPr>
          <w:trHeight w:val="580"/>
          <w:tblHeader/>
        </w:trPr>
        <w:tc>
          <w:tcPr>
            <w:tcW w:w="1843"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D0B8B76" w14:textId="2CAE7192"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EF20C93" w14:textId="3D1F4DE1"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56D95405" w14:textId="3FDEAB95"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Responsabilidades</w:t>
            </w:r>
          </w:p>
        </w:tc>
      </w:tr>
      <w:tr w:rsidR="005D662A" w14:paraId="2640B102"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4B8ECC" w14:textId="77777777" w:rsidR="005D662A" w:rsidRDefault="005D662A" w:rsidP="00CA63CE">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205D9" w14:textId="77777777" w:rsidR="005D662A" w:rsidRDefault="005D662A" w:rsidP="00CA63CE">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7123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06A2FDFC"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35F667E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48FC6A46"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1685CE1B"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5D662A" w14:paraId="3D75E0F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D37358" w14:textId="77777777" w:rsidR="005D662A" w:rsidRDefault="005D662A" w:rsidP="00CA63CE">
            <w:pPr>
              <w:spacing w:before="20" w:after="20" w:line="276" w:lineRule="auto"/>
              <w:rPr>
                <w:rFonts w:ascii="Arial" w:hAnsi="Arial" w:cs="Arial"/>
              </w:rPr>
            </w:pPr>
            <w:r>
              <w:rPr>
                <w:rFonts w:ascii="Arial" w:eastAsia="Arial" w:hAnsi="Arial" w:cs="Arial"/>
                <w:b/>
                <w:bCs/>
              </w:rPr>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FCB3BC" w14:textId="77777777" w:rsidR="005D662A" w:rsidRDefault="005D662A" w:rsidP="00CA63CE">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8190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135D4D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593278F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57A587"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lastRenderedPageBreak/>
              <w:t>La Gerencia de Arquitectura solicita su opinión conforme al numeral 6.5.8.</w:t>
            </w:r>
          </w:p>
        </w:tc>
      </w:tr>
      <w:tr w:rsidR="005D662A" w14:paraId="7876BAE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36088" w14:textId="77777777" w:rsidR="005D662A" w:rsidRDefault="005D662A" w:rsidP="00CA63CE">
            <w:pPr>
              <w:spacing w:before="20" w:after="20" w:line="276" w:lineRule="auto"/>
              <w:rPr>
                <w:rFonts w:ascii="Arial" w:hAnsi="Arial" w:cs="Arial"/>
              </w:rPr>
            </w:pPr>
            <w:r>
              <w:rPr>
                <w:rFonts w:ascii="Arial" w:eastAsia="Arial" w:hAnsi="Arial" w:cs="Arial"/>
                <w:b/>
                <w:bCs/>
              </w:rPr>
              <w:lastRenderedPageBreak/>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B279C" w14:textId="77777777" w:rsidR="005D662A" w:rsidRDefault="005D662A" w:rsidP="00CA63CE">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8B5C3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185DB44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5DDAAD4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2936B60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32F191E5"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600F7985" w14:textId="77777777" w:rsidR="005D662A" w:rsidRPr="005D662A" w:rsidRDefault="005D662A" w:rsidP="005D662A"/>
    <w:p w14:paraId="654C405E" w14:textId="77777777" w:rsidR="005D662A" w:rsidRDefault="005D662A" w:rsidP="005D662A"/>
    <w:p w14:paraId="0959FA27" w14:textId="77777777" w:rsidR="005D662A" w:rsidRDefault="005D662A" w:rsidP="005D662A"/>
    <w:p w14:paraId="7CD25393" w14:textId="77777777" w:rsidR="005D662A" w:rsidRPr="005D662A" w:rsidRDefault="005D662A" w:rsidP="005D662A"/>
    <w:p w14:paraId="7F6A6C42" w14:textId="77777777" w:rsidR="005D662A" w:rsidRPr="005D662A" w:rsidRDefault="005D662A" w:rsidP="005D662A">
      <w:pPr>
        <w:pStyle w:val="Ttulo1"/>
        <w:numPr>
          <w:ilvl w:val="0"/>
          <w:numId w:val="0"/>
        </w:numPr>
        <w:spacing w:after="0" w:line="276" w:lineRule="auto"/>
        <w:ind w:left="709"/>
        <w:rPr>
          <w:rFonts w:cs="Arial"/>
          <w:szCs w:val="22"/>
        </w:rPr>
      </w:pPr>
    </w:p>
    <w:p w14:paraId="783690D6" w14:textId="072A5E25" w:rsidR="00863A18" w:rsidRPr="00923C59" w:rsidRDefault="003D4DEA" w:rsidP="00B23382">
      <w:pPr>
        <w:pStyle w:val="Ttulo1"/>
        <w:spacing w:line="276" w:lineRule="auto"/>
        <w:rPr>
          <w:rFonts w:cs="Arial"/>
          <w:szCs w:val="22"/>
        </w:rPr>
      </w:pPr>
      <w:r>
        <w:rPr>
          <w:rFonts w:cs="Arial"/>
          <w:bCs/>
          <w:color w:val="000000"/>
          <w:szCs w:val="22"/>
        </w:rPr>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w:t>
              <w:lastRenderedPageBreak/>
              <w:t>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w:t>
              <w:lastRenderedPageBreak/>
              <w:t>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w:t>
              <w:lastRenderedPageBreak/>
              <w:t xml:space="preserve">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w:t>
              <w:lastRenderedPageBreak/>
              <w:t>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w:t>
        <w:lastRenderedPageBreak/>
        <w:t>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tab/>
        <w:t xml:space="preserve">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w:t>
        <w:lastRenderedPageBreak/>
        <w:t>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w:t>
        <w:lastRenderedPageBreak/>
        <w:t>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w:t>
        <w:lastRenderedPageBreak/>
        <w:t>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w:t>
        <w:lastRenderedPageBreak/>
        <w:t>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tab/>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tab/>
        <w:t>Los SBIA generativos que utilicen información institucional incorporan mecanismos que vinculen los resultados generados con sus fuentes de información autorizadas y vigentes. Esta trazabilidad sustenta la explicabilidad exigida en el numeral 6.9.3.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tab/>
        <w:t xml:space="preserve">La publicación del código fuente de los SBIA financiados con fondos públicos, con licencia libre o abierta en la Plataforma Nacional de Software Público Peruano (PNSSP), se sujeta a la determinación previa de su publicabilidad. </w:t>
        <w:lastRenderedPageBreak/>
        <w:t>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tab/>
        <w:t>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3E908127" w14:textId="77777777" w:rsidR="00863A18" w:rsidRDefault="00863A18" w:rsidP="00B23382">
      <w:pPr>
        <w:pStyle w:val="SubtituloDONI"/>
        <w:spacing w:line="276" w:lineRule="auto"/>
        <w:ind w:left="851"/>
      </w:pPr>
      <w:r>
        <w:t>6.6</w:t>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 xml:space="preserve">Human-on-the-loop (obligatorio para los SBIA de riesgo aceptable que interactúan directamente con el administrado o cuyo resultado influye en la </w:t>
        <w:lastRenderedPageBreak/>
        <w:t>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metas ni criterios de evaluación del desempeño que condicionen su juicio a la aceptación de los resultados del SBIA.</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Con anterioridad al despliegue, la ejecución de las pruebas que sustentan la medición inicial de los indicadores de sesgo previstos en el numeral 6.10.2 corresponde a la División de Control de Calidad, como prueba no funcional, conforme al literal a) del artículo 126 del ROF. Durante la operación, la medición de dichos indicadores se efectúa conforme </w:t>
        <w:lastRenderedPageBreak/>
        <w:t xml:space="preserve">al numeral 6.10.2.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 xml:space="preserve">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w:t>
        <w:lastRenderedPageBreak/>
        <w:t>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w:t>
        <w:lastRenderedPageBreak/>
        <w:t xml:space="preserve">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6.7.8</w:t>
        <w:tab/>
        <w:t>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5001C09F" w14:textId="77777777" w:rsidR="00931E16" w:rsidRDefault="00931E16" w:rsidP="00AF13D8">
      <w:pPr>
        <w:pStyle w:val="SubtituloDONI"/>
        <w:spacing w:line="276" w:lineRule="auto"/>
        <w:ind w:left="851"/>
      </w:pPr>
      <w:r>
        <w:t>6.8</w:t>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tab/>
        <w:t xml:space="preserve">El uso de datos protegidos por la reserva tributaria para el desarrollo, entrenamiento, validación u operación de un SBIA requiere la determinación previa de su base legal, conforme al artículo 85 del TUO del Código Tributario. </w:t>
        <w:lastRenderedPageBreak/>
        <w:t>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tab/>
        <w:t>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6.9.5</w:t>
        <w:tab/>
        <w:t>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lastRenderedPageBreak/>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Tratándose de los indicadores de sesgo, el umbral se define con la opinión de la OII, que se pronuncia sobre los grupos que pueden resultar afectados y sobre la disparidad que resulta inaceptable.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medición de los indicadores de sesgo comprende, además de los casos observados en la operación, una muestra aleatoria de los casos sobre los que el SBIA no produjo alerta o que clasificó en la categoría de menor atención.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tab/>
        <w:t xml:space="preserve">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w:t>
        <w:lastRenderedPageBreak/>
        <w:t>conforme al numeral 6.10.5 y lo comunica a la Comisión de Gobierno de IA. La Comisión valida dicha calificación. El reentrenamiento, la recalibración y el cambio de versión del modelo no alteran el identificador con que el SBIA figura en el Inventario Institucional ni la correspondencia entre cada resultado y la versión del modelo que lo produjo, de modo que un resultado pueda reconstruirse y atribuirse a su versión. Esta correspondencia forma parte del registro inmutable de auditoría previsto en el numeral 6.7.2.</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lastRenderedPageBreak/>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w:t>
        <w:lastRenderedPageBreak/>
        <w:t xml:space="preserve">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0C0DE66" w14:textId="77777777" w:rsidR="00863A18" w:rsidRPr="00923C59" w:rsidRDefault="00863A18" w:rsidP="00B23382">
      <w:pPr>
        <w:pStyle w:val="SubtituloDONI"/>
        <w:spacing w:line="276" w:lineRule="auto"/>
        <w:ind w:left="851"/>
      </w:pPr>
      <w:r>
        <w:t>6.12</w:t>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 xml:space="preserve">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w:t>
        <w:lastRenderedPageBreak/>
        <w:t>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tab/>
        <w:t>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lastRenderedPageBreak/>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w:t>
        <w:lastRenderedPageBreak/>
        <w:t xml:space="preserve">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tab/>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Cuando otra unidad de organización se ha pronunciado dentro de su competencia, la Comisión de Gobierno de IA no evalúa nuevamente esa materia: toma su pronunciamiento y se pronuncia solo sobre el componente de IA.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w:t>
        <w:lastRenderedPageBreak/>
        <w:t>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tab/>
        <w:t>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tab/>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6.15.6</w:t>
        <w:tab/>
        <w:t xml:space="preserve">Las unidades de organización competentes de cada instrumento de gestión incorporan en sus documentos normativos la verificación del componente de IA y la opinión de la Comisión de Gobierno de IA, conforme al numeral 7.6. Esta </w:t>
        <w:lastRenderedPageBreak/>
        <w:t>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tab/>
        <w:t>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tab/>
        <w:t>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En tanto no se designe al OIA, el Coordinador designado conforme al numeral 7.3 ejerce las funciones de coordinación técnica en materia de IA.</w:t>
      </w:r>
      <w:r>
        <w:rPr>
          <w:b w:val="0"/>
          <w:bCs w:val="0"/>
        </w:rPr>
        <w:t xml:space="preserve"> </w:t>
      </w:r>
      <w:r>
        <w:rPr>
          <w:b w:val="0"/>
          <w:bCs w:val="0"/>
          <w:highlight w:val="green"/>
        </w:rPr>
        <w:t xml:space="preserve">Designado el OIA, la coordinación de la Comisión de Gobierno de IA recae en él, salvo que los lineamientos de la SGTD </w:t>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tab/>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D662A"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 El identificador del SBIA y su correspondencia con la versión del modelo se conservan conforme al numeral 6.10.4.</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incluida la muestra aleatoria prevista en el numeral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99EC3" w14:textId="77777777" w:rsidR="001F610C" w:rsidRDefault="001F610C">
      <w:pPr>
        <w:spacing w:after="0" w:line="240" w:lineRule="auto"/>
      </w:pPr>
      <w:r>
        <w:separator/>
      </w:r>
    </w:p>
  </w:endnote>
  <w:endnote w:type="continuationSeparator" w:id="0">
    <w:p w14:paraId="4578CBF2" w14:textId="77777777" w:rsidR="001F610C" w:rsidRDefault="001F61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4A5D3" w14:textId="77777777" w:rsidR="001F610C" w:rsidRDefault="001F610C">
      <w:pPr>
        <w:spacing w:after="0" w:line="240" w:lineRule="auto"/>
      </w:pPr>
      <w:r>
        <w:separator/>
      </w:r>
    </w:p>
  </w:footnote>
  <w:footnote w:type="continuationSeparator" w:id="0">
    <w:p w14:paraId="5EDAD777" w14:textId="77777777" w:rsidR="001F610C" w:rsidRDefault="001F610C">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1F610C"/>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2860"/>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823E6"/>
    <w:rsid w:val="00590BAB"/>
    <w:rsid w:val="00594919"/>
    <w:rsid w:val="005B30EE"/>
    <w:rsid w:val="005B3F5B"/>
    <w:rsid w:val="005C21BA"/>
    <w:rsid w:val="005C3A70"/>
    <w:rsid w:val="005C4042"/>
    <w:rsid w:val="005C67EA"/>
    <w:rsid w:val="005D216F"/>
    <w:rsid w:val="005D5880"/>
    <w:rsid w:val="005D662A"/>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C53D5"/>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2F54"/>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10693</TotalTime>
  <Pages>56</Pages>
  <Words>19067</Words>
  <Characters>104871</Characters>
  <Application>Microsoft Office Word</Application>
  <DocSecurity>0</DocSecurity>
  <Lines>873</Lines>
  <Paragraphs>247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254</cp:revision>
  <dcterms:created xsi:type="dcterms:W3CDTF">2026-03-23T21:09:00Z</dcterms:created>
  <dcterms:modified xsi:type="dcterms:W3CDTF">2026-09-02T15:54:00Z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