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32D126E5">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4</w:t>
        </w:r>
        <w:r>
          <w:rPr>
            <w:webHidden/>
          </w:rPr>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4</w:t>
        </w:r>
        <w:r>
          <w:rPr>
            <w:webHidden/>
          </w:rPr>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4</w:t>
        </w:r>
        <w:r>
          <w:rPr>
            <w:webHidden/>
          </w:rPr>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6</w:t>
        </w:r>
        <w:r>
          <w:rPr>
            <w:webHidden/>
          </w:rPr>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7</w:t>
        </w:r>
        <w:r>
          <w:rPr>
            <w:webHidden/>
          </w:rPr>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10</w:t>
        </w:r>
        <w:r>
          <w:rPr>
            <w:webHidden/>
          </w:rPr>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21</w:t>
        </w:r>
        <w:r>
          <w:rPr>
            <w:webHidden/>
          </w:rPr>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22</w:t>
        </w:r>
        <w:r>
          <w:rPr>
            <w:webHidden/>
          </w:rPr>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14EA45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654057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GSI: Gerencia de Seguridad de la Información</w:t>
      </w:r>
    </w:p>
    <w:p w14:paraId="3063971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Pr="00C733EA" w:rsidRDefault="00BA798A">
      <w:pPr>
        <w:pStyle w:val="Prrafodelista"/>
        <w:numPr>
          <w:ilvl w:val="0"/>
          <w:numId w:val="18"/>
        </w:numPr>
        <w:spacing w:line="276" w:lineRule="auto"/>
        <w:rPr>
          <w:b w:val="0"/>
          <w:bCs w:val="0"/>
          <w:color w:val="000000"/>
        </w:rPr>
      </w:pPr>
      <w:r w:rsidRPr="00BA798A">
        <w:rPr>
          <w:b w:val="0"/>
          <w:bCs w:val="0"/>
          <w:color w:val="000000"/>
          <w:highlight w:val="lightGray"/>
        </w:rPr>
        <w:t>METGEP: Metodología para la Gestión por Procesos</w:t>
      </w:r>
    </w:p>
    <w:p w14:paraId="3AB16F2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MLOps: Operaciones de aprendizaje automático (Machine Learning Operations)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sidRPr="00A402D8">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95D895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OSCD: Oficial de Seguridad y Confianza Digital</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22D2F546"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PDP: Plan de Desarrollo de las Personas</w:t>
      </w:r>
    </w:p>
    <w:p w14:paraId="121851D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PEI: Plan Estratégico Institucional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1193930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SN: Superintendencia Nacional</w:t>
      </w:r>
    </w:p>
    <w:p w14:paraId="657CB8AD"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w:t>
      </w:r>
      <w:r w:rsidR="0094125C" w:rsidRPr="0094125C">
        <w:rPr>
          <w:rFonts w:ascii="Arial" w:hAnsi="Arial" w:cs="Arial"/>
          <w:highlight w:val="yellow"/>
        </w:rPr>
        <w:t>y observando la NTP-ISO/IEC 42001:2025 de uso obligatorio conforme al numeral 28.2 del artículo 28 del RLIA</w:t>
      </w:r>
      <w:r>
        <w:rPr>
          <w:rFonts w:ascii="Arial" w:hAnsi="Arial" w:cs="Arial"/>
          <w:highlight w:val="yellow"/>
        </w:rPr>
        <w:t>,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sidRPr="00226840">
        <w:rPr>
          <w:rFonts w:ascii="Arial" w:hAnsi="Arial" w:cs="Arial"/>
          <w:highlight w:val="green"/>
        </w:rPr>
        <w:t>La presente directiva regula la gestión de los SBIA solo en lo específico de la</w:t>
      </w:r>
      <w:r w:rsidRPr="00226840">
        <w:rPr>
          <w:rFonts w:ascii="Arial" w:hAnsi="Arial" w:cs="Arial"/>
          <w:highlight w:val="green"/>
        </w:rPr>
        <w:t xml:space="preserve"> </w:t>
      </w:r>
      <w:r w:rsidRPr="00226840">
        <w:rPr>
          <w:rFonts w:ascii="Arial" w:hAnsi="Arial" w:cs="Arial"/>
          <w:highlight w:val="green"/>
        </w:rPr>
        <w:t>inteligencia artificial. No sustituye a los documentos normativos institucionales que</w:t>
      </w:r>
      <w:r w:rsidRPr="00226840">
        <w:rPr>
          <w:rFonts w:ascii="Arial" w:hAnsi="Arial" w:cs="Arial"/>
          <w:highlight w:val="green"/>
        </w:rPr>
        <w:t xml:space="preserve"> </w:t>
      </w:r>
      <w:r w:rsidRPr="00226840">
        <w:rPr>
          <w:rFonts w:ascii="Arial" w:hAnsi="Arial" w:cs="Arial"/>
          <w:highlight w:val="green"/>
        </w:rPr>
        <w:t>regulan la gestión de proyectos, el desarrollo de sistemas, la gobernanza de datos, la</w:t>
      </w:r>
      <w:r w:rsidRPr="00226840">
        <w:rPr>
          <w:rFonts w:ascii="Arial" w:hAnsi="Arial" w:cs="Arial"/>
          <w:highlight w:val="green"/>
        </w:rPr>
        <w:t xml:space="preserve"> </w:t>
      </w:r>
      <w:r w:rsidRPr="00226840">
        <w:rPr>
          <w:rFonts w:ascii="Arial" w:hAnsi="Arial" w:cs="Arial"/>
          <w:highlight w:val="green"/>
        </w:rPr>
        <w:t xml:space="preserve">seguridad de la información, las contrataciones y la </w:t>
      </w:r>
      <w:r w:rsidRPr="00D37B6E">
        <w:rPr>
          <w:rFonts w:ascii="Arial" w:hAnsi="Arial" w:cs="Arial"/>
          <w:highlight w:val="green"/>
        </w:rPr>
        <w:t>gestión de las personas:</w:t>
      </w:r>
      <w:r w:rsidR="00D37B6E" w:rsidRPr="00D37B6E">
        <w:rPr>
          <w:highlight w:val="green"/>
        </w:rPr>
        <w:t xml:space="preserve"> </w:t>
      </w:r>
      <w:r w:rsidR="00D37B6E" w:rsidRPr="00D37B6E">
        <w:rPr>
          <w:rFonts w:ascii="Arial" w:hAnsi="Arial" w:cs="Arial"/>
          <w:highlight w:val="green"/>
        </w:rPr>
        <w:t>sobre ellos identifica lo que corresponde verificar respecto del componente de IA</w:t>
      </w:r>
      <w:r w:rsidR="00D37B6E" w:rsidRPr="00D37B6E">
        <w:rPr>
          <w:rFonts w:ascii="Arial" w:hAnsi="Arial" w:cs="Arial"/>
          <w:highlight w:val="green"/>
        </w:rPr>
        <w:t>.</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sidR="00DF04A0" w:rsidRPr="00DF04A0">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(29/04/2026),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lastRenderedPageBreak/>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029-2021-PCM (18/02/2021), que aprueba el Reglamento del Decreto Legislativo N.° 1412, y su modificatoria aprobada por Decreto Supremo N.° 098-2025-PCM.</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96B03A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040-2023-EF (24/03/2023), que aprueba la Sección Primera del Reglamento de Organización y Funciones (ROF) de la SUNAT, y su modificatoria.</w:t>
      </w:r>
    </w:p>
    <w:p w14:paraId="3977DA6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000081-2023/SUNAT (28/04/2023), que aprueba la Sección Segunda del ROF de la SUNAT, y su modificatoria.</w:t>
      </w:r>
    </w:p>
    <w:p w14:paraId="7F734DDA" w14:textId="77777777" w:rsidR="00A154AA" w:rsidRPr="00A402D8" w:rsidRDefault="00A154AA" w:rsidP="00A154AA">
      <w:pPr>
        <w:pStyle w:val="Prrafodelista"/>
        <w:numPr>
          <w:ilvl w:val="1"/>
          <w:numId w:val="20"/>
        </w:numPr>
        <w:spacing w:line="276" w:lineRule="auto"/>
        <w:ind w:left="709" w:hanging="567"/>
        <w:rPr>
          <w:b w:val="0"/>
          <w:bCs w:val="0"/>
          <w:color w:val="000000"/>
          <w:highlight w:val="green"/>
        </w:rPr>
      </w:pPr>
      <w:r w:rsidRPr="00A402D8">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18065E5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000125-2024/SUNAT, que designa al Oficial de Gobierno de Datos de la SUNAT.</w:t>
      </w:r>
    </w:p>
    <w:p w14:paraId="475F127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000114-2025/SUNAT (08/04/2025), que designa al Oficial de Seguridad y Confianza Digital de la SUNAT.</w:t>
      </w:r>
    </w:p>
    <w:p w14:paraId="255442AA"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de Superintendencia Nacional Adjunta de Administración y Finanzas N.° 000197-2022-SUNAT/800000 (27/10/2022), que designa al Oficial de Datos Personales de la SUNAT.</w:t>
      </w:r>
    </w:p>
    <w:p w14:paraId="741A25AD" w14:textId="56B163B9" w:rsidR="00524301" w:rsidRPr="00524301" w:rsidRDefault="00524301" w:rsidP="00524301">
      <w:pPr>
        <w:pStyle w:val="Prrafodelista"/>
        <w:numPr>
          <w:ilvl w:val="1"/>
          <w:numId w:val="20"/>
        </w:numPr>
        <w:spacing w:line="276" w:lineRule="auto"/>
        <w:ind w:hanging="578"/>
        <w:rPr>
          <w:b w:val="0"/>
          <w:bCs w:val="0"/>
          <w:color w:val="000000"/>
          <w:highlight w:val="green"/>
        </w:rPr>
      </w:pPr>
      <w:r w:rsidRPr="00524301">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p>
    <w:p w14:paraId="64BA9802" w14:textId="624B0C0C" w:rsidR="0080359D" w:rsidRPr="00524301" w:rsidRDefault="0080359D" w:rsidP="00524301">
      <w:pPr>
        <w:pStyle w:val="Prrafodelista"/>
        <w:numPr>
          <w:ilvl w:val="1"/>
          <w:numId w:val="20"/>
        </w:numPr>
        <w:spacing w:line="276" w:lineRule="auto"/>
        <w:ind w:left="709" w:hanging="567"/>
        <w:rPr>
          <w:b w:val="0"/>
          <w:bCs w:val="0"/>
          <w:color w:val="000000"/>
          <w:highlight w:val="yellow"/>
        </w:rPr>
      </w:pPr>
      <w:r w:rsidRPr="00524301">
        <w:rPr>
          <w:b w:val="0"/>
          <w:bCs w:val="0"/>
          <w:color w:val="000000"/>
          <w:highlight w:val="yellow"/>
        </w:rPr>
        <w:lastRenderedPageBreak/>
        <w:t>Resolución de Oficina N.° 001-2024-SUNAT/1V0000, que aprueba la Metodología para la formulación, aprobación y control de los Documentos Normativos Institucionales (METDONI) Versión 1.4.</w:t>
      </w:r>
    </w:p>
    <w:p w14:paraId="4208E65D" w14:textId="34BB98F2" w:rsidR="00BA798A" w:rsidRPr="00BA798A" w:rsidRDefault="00BA798A">
      <w:pPr>
        <w:pStyle w:val="Prrafodelista"/>
        <w:numPr>
          <w:ilvl w:val="1"/>
          <w:numId w:val="20"/>
        </w:numPr>
        <w:spacing w:line="276" w:lineRule="auto"/>
        <w:ind w:left="709" w:hanging="567"/>
        <w:rPr>
          <w:b w:val="0"/>
          <w:bCs w:val="0"/>
          <w:color w:val="000000"/>
          <w:highlight w:val="lightGray"/>
        </w:rPr>
      </w:pPr>
      <w:r w:rsidRPr="00BA798A">
        <w:rPr>
          <w:b w:val="0"/>
          <w:bCs w:val="0"/>
          <w:color w:val="000000"/>
          <w:highlight w:val="lightGray"/>
        </w:rPr>
        <w:t>Resolución de Oficina N.° 000002-2023-SUNAT/1V0000, que aprueba la Metodología para la Gestión por Procesos (METGEP) Versión 5.</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incluyendo evaluación de viabilidad, diseño, desarrollo o adquisición, pruebas, despliegue, operación, monitoreo y desactivación. [ISO/IEC 22989:2022, sección 3.2.1; NTP-ISO/IEC 42001:2025, cláusula 6.1]</w:t>
      </w:r>
    </w:p>
    <w:p w14:paraId="1B4D1F5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Controles de contención (Guardrails):</w:t>
      </w:r>
      <w:r w:rsidRPr="00171767">
        <w:rPr>
          <w:b w:val="0"/>
          <w:bCs w:val="0"/>
          <w:color w:val="000000"/>
          <w:highlight w:val="green"/>
        </w:rPr>
        <w:t xml:space="preserve"> </w:t>
      </w:r>
      <w:r w:rsidR="00171767" w:rsidRPr="00171767">
        <w:rPr>
          <w:b w:val="0"/>
          <w:bCs w:val="0"/>
          <w:color w:val="000000"/>
          <w:highlight w:val="green"/>
        </w:rPr>
        <w:t xml:space="preserve">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w:t>
      </w:r>
      <w:r w:rsidRPr="00171767">
        <w:rPr>
          <w:b w:val="0"/>
          <w:bCs w:val="0"/>
          <w:color w:val="000000"/>
          <w:highlight w:val="green"/>
        </w:rPr>
        <w:t>[NIST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sidRPr="0045319E">
        <w:rPr>
          <w:color w:val="000000"/>
          <w:highlight w:val="green"/>
        </w:rPr>
        <w:t>Custodio técnico:</w:t>
      </w:r>
      <w:r w:rsidRPr="0045319E">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Evaluación de Impacto Algorítmico (EIA): </w:t>
      </w:r>
      <w:r>
        <w:rPr>
          <w:b w:val="0"/>
          <w:bCs w:val="0"/>
          <w:color w:val="000000"/>
          <w:highlight w:val="yellow"/>
        </w:rPr>
        <w:t>Proceso sistemático y documentado para identificar, analizar y evaluar los riesgos y efectos potenciales que un SBIA genera sobre los derechos de los administrados, previo a su desarrollo o implementación. [D.S. N.° 115-2025-PCM, Art. 30; NTP-ISO/IEC 42001:2025, cláusula 6.1.2]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Human-in-the-loop:</w:t>
      </w:r>
      <w:r>
        <w:rPr>
          <w:b w:val="0"/>
          <w:bCs w:val="0"/>
          <w:color w:val="000000"/>
        </w:rPr>
        <w:t xml:space="preserve"> Modelo de supervisión donde un ser humano interviene activamente en cada decisión del SBIA antes de su ejecución. [D.S. N.° 115-2025-PCM, Art. 28.11; ISO/IEC 22989:2022, sección 3.4.3]</w:t>
      </w:r>
    </w:p>
    <w:p w14:paraId="71C33EF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Human-on-the-loop:</w:t>
      </w:r>
      <w:r>
        <w:rPr>
          <w:b w:val="0"/>
          <w:bCs w:val="0"/>
          <w:color w:val="000000"/>
        </w:rPr>
        <w:t xml:space="preserve"> Modelo de supervisión donde un ser humano monitorea las operaciones del SBIA y puede intervenir ante anomalías. [D.S. N.° 115-2025-PCM, Art. 28.11; ISO/IEC 22989:2022, sección 3.4.4]</w:t>
      </w:r>
    </w:p>
    <w:p w14:paraId="6A54410E"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28.11;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C62BE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MLOps:</w:t>
      </w:r>
      <w:r>
        <w:rPr>
          <w:b w:val="0"/>
          <w:bCs w:val="0"/>
          <w:color w:val="000000"/>
        </w:rPr>
        <w:t xml:space="preserve"> Conjunto de prácticas que combinan Machine Learning, DevOps e ingeniería de datos para estandarizar el ciclo de vida de modelos en producción. [Kreuzberger et al. (2023)]</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sidRPr="00A15156">
        <w:rPr>
          <w:color w:val="000000"/>
          <w:highlight w:val="green"/>
        </w:rPr>
        <w:t xml:space="preserve">Niveles de riesgo de un SBIA: </w:t>
      </w:r>
      <w:r w:rsidR="00FA4DEA" w:rsidRPr="00FA4DEA">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Propietario de</w:t>
      </w:r>
      <w:r w:rsidR="00BA798A" w:rsidRPr="00171767">
        <w:rPr>
          <w:color w:val="000000"/>
          <w:highlight w:val="green"/>
        </w:rPr>
        <w:t>l</w:t>
      </w:r>
      <w:r w:rsidRPr="00171767">
        <w:rPr>
          <w:color w:val="000000"/>
          <w:highlight w:val="green"/>
        </w:rPr>
        <w:t xml:space="preserve"> caso de uso: </w:t>
      </w:r>
      <w:r w:rsidR="00BA798A" w:rsidRPr="00171767">
        <w:rPr>
          <w:b w:val="0"/>
          <w:bCs w:val="0"/>
          <w:color w:val="000000"/>
          <w:highlight w:val="green"/>
        </w:rPr>
        <w:t xml:space="preserve">Unidad de organización que, de acuerdo con sus competencias y funciones en el ROF, es el dueño del proceso en el que se identifica la necesidad a atender mediante un SBIA </w:t>
      </w:r>
      <w:r w:rsidR="00171767" w:rsidRPr="00171767">
        <w:rPr>
          <w:b w:val="0"/>
          <w:bCs w:val="0"/>
          <w:color w:val="000000"/>
          <w:highlight w:val="green"/>
        </w:rPr>
        <w:t>y que asume la responsabilidad funcional sobre sus resultados y sobre los riesgos derivados de su utilización durante todo su ciclo de vida.</w:t>
      </w:r>
      <w:r w:rsidR="00BA798A" w:rsidRPr="00171767">
        <w:rPr>
          <w:b w:val="0"/>
          <w:bCs w:val="0"/>
          <w:color w:val="000000"/>
          <w:highlight w:val="green"/>
        </w:rPr>
        <w:t xml:space="preserve"> </w:t>
      </w:r>
      <w:r w:rsidR="001F28C5" w:rsidRPr="001F28C5">
        <w:rPr>
          <w:b w:val="0"/>
          <w:bCs w:val="0"/>
          <w:color w:val="000000"/>
          <w:highlight w:val="green"/>
        </w:rPr>
        <w:t>Se distingue del custodio técnico, definido en el presente glosario</w:t>
      </w:r>
      <w:r w:rsidR="00BA798A" w:rsidRPr="00171767">
        <w:rPr>
          <w:b w:val="0"/>
          <w:bCs w:val="0"/>
          <w:color w:val="000000"/>
          <w:highlight w:val="green"/>
        </w:rPr>
        <w:t>.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sidRPr="00171767">
        <w:rPr>
          <w:color w:val="000000"/>
          <w:highlight w:val="green"/>
        </w:rPr>
        <w:t>Red Teaming:</w:t>
      </w:r>
      <w:r w:rsidRPr="00171767">
        <w:rPr>
          <w:b w:val="0"/>
          <w:bCs w:val="0"/>
          <w:color w:val="000000"/>
          <w:highlight w:val="green"/>
        </w:rPr>
        <w:t xml:space="preserve"> </w:t>
      </w:r>
      <w:r w:rsidR="00171767" w:rsidRPr="00171767">
        <w:rPr>
          <w:b w:val="0"/>
          <w:bCs w:val="0"/>
          <w:color w:val="000000"/>
          <w:highlight w:val="green"/>
        </w:rPr>
        <w:t>Práctica de seguridad ofensiva que simula ataques adversarios contra un SBIA para identificar vulnerabilidades y comportamientos no deseados, con anterioridad a su despliegue y durante su operación.</w:t>
      </w:r>
      <w:r w:rsidR="00171767" w:rsidRPr="00171767">
        <w:rPr>
          <w:b w:val="0"/>
          <w:bCs w:val="0"/>
          <w:color w:val="000000"/>
          <w:highlight w:val="green"/>
        </w:rPr>
        <w:t xml:space="preserve"> </w:t>
      </w:r>
      <w:r w:rsidRPr="00171767">
        <w:rPr>
          <w:b w:val="0"/>
          <w:bCs w:val="0"/>
          <w:color w:val="000000"/>
          <w:highlight w:val="green"/>
        </w:rPr>
        <w:t>[NIST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sidRPr="00DA7F56">
        <w:rPr>
          <w:color w:val="000000"/>
          <w:highlight w:val="green"/>
        </w:rPr>
        <w:t>Reserva tributaria:</w:t>
      </w:r>
      <w:r w:rsidRPr="00DA7F56">
        <w:rPr>
          <w:b w:val="0"/>
          <w:bCs w:val="0"/>
          <w:color w:val="000000"/>
          <w:highlight w:val="green"/>
        </w:rPr>
        <w:t xml:space="preserve"> </w:t>
      </w:r>
      <w:r w:rsidR="00DA7F56" w:rsidRPr="00DA7F56">
        <w:rPr>
          <w:b w:val="0"/>
          <w:bCs w:val="0"/>
          <w:color w:val="000000"/>
          <w:highlight w:val="green"/>
        </w:rPr>
        <w:t xml:space="preserve">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r>
      <w:r w:rsidR="00DA7F56" w:rsidRPr="00DA7F56">
        <w:rPr>
          <w:b w:val="0"/>
          <w:bCs w:val="0"/>
          <w:color w:val="000000"/>
          <w:highlight w:val="green"/>
        </w:rPr>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E451C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Riesgo de IA:</w:t>
      </w:r>
      <w:r>
        <w:rPr>
          <w:b w:val="0"/>
          <w:bCs w:val="0"/>
          <w:color w:val="000000"/>
        </w:rPr>
        <w:t xml:space="preserve"> Combinación de la probabilidad de ocurrencia de daños derivados del uso de un SBIA y la severidad de esos daños. [ISO/IEC 23894:2023, sección 3.1]</w:t>
      </w:r>
    </w:p>
    <w:p w14:paraId="3C60E64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[Ley N.° 31814, Art. 2; D.S. N.° 115-2025-PCM, Art. 6(j)]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sidRPr="00E151B6">
        <w:rPr>
          <w:color w:val="000000"/>
          <w:highlight w:val="green"/>
        </w:rPr>
        <w:t>Transparencia algorítmica:</w:t>
      </w:r>
      <w:r w:rsidRPr="00E151B6">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r>
      <w:r>
        <w:tab/>
        <w:t>De los principios para el Gobierno de IA</w:t>
      </w:r>
    </w:p>
    <w:p w14:paraId="0498D8FC"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Política de Uso Seguro, Responsable y Ético de los SBIA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sidRPr="00025734">
        <w:rPr>
          <w:rFonts w:ascii="Arial" w:hAnsi="Arial" w:cs="Arial"/>
          <w:color w:val="000000"/>
          <w:highlight w:val="lightGray"/>
        </w:rPr>
        <w:t>5.1.2</w:t>
      </w:r>
      <w:r w:rsidRPr="00025734">
        <w:rPr>
          <w:rFonts w:ascii="Arial" w:hAnsi="Arial" w:cs="Arial"/>
          <w:color w:val="000000"/>
          <w:highlight w:val="lightGray"/>
        </w:rPr>
        <w:tab/>
      </w:r>
      <w:r w:rsidR="00025734" w:rsidRPr="00025734">
        <w:rPr>
          <w:rFonts w:ascii="Arial" w:hAnsi="Arial" w:cs="Arial"/>
          <w:color w:val="000000"/>
          <w:highlight w:val="lightGray"/>
        </w:rPr>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r>
      <w:r>
        <w:rPr>
          <w:rFonts w:ascii="Arial" w:eastAsia="Arial" w:hAnsi="Arial" w:cs="Arial"/>
          <w:color w:val="000000"/>
          <w:highlight w:val="yellow"/>
        </w:rPr>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r>
      <w:r>
        <w:rPr>
          <w:b w:val="0"/>
          <w:bCs w:val="0"/>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 xml:space="preserve">El Gobierno de IA aplica el principio de proporcionalidad: las exigencias de evaluación, supervisión y control se gradúan según el nivel de riesgo del SBIA. </w:t>
      </w:r>
      <w:r>
        <w:rPr>
          <w:rFonts w:ascii="Arial" w:eastAsia="Arial" w:hAnsi="Arial" w:cs="Arial"/>
          <w:color w:val="000000"/>
          <w:highlight w:val="yellow"/>
        </w:rPr>
        <w:lastRenderedPageBreak/>
        <w:t>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t>5.2</w:t>
      </w:r>
      <w:r>
        <w:tab/>
        <w:t>De la función de Gobierno de Inteligencia Artificial</w:t>
      </w:r>
    </w:p>
    <w:p w14:paraId="39EE6BB3"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sistemas basados en IA estratégicos para la entidad.</w:t>
      </w:r>
    </w:p>
    <w:p w14:paraId="0AA671F2" w14:textId="77777777" w:rsidR="00E34945" w:rsidRDefault="00E34945" w:rsidP="00E34945">
      <w:pPr>
        <w:pStyle w:val="SubtituloDONI"/>
        <w:spacing w:line="276" w:lineRule="auto"/>
        <w:ind w:left="851"/>
      </w:pPr>
      <w:r>
        <w:t>5.3</w:t>
      </w:r>
      <w:r>
        <w:tab/>
        <w:t>De la Comisión de Gobierno de IA</w:t>
      </w:r>
    </w:p>
    <w:p w14:paraId="2E6E0212"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5.3.1</w:t>
      </w:r>
      <w:r>
        <w:rPr>
          <w:rFonts w:ascii="Arial" w:eastAsia="Arial" w:hAnsi="Arial" w:cs="Arial"/>
          <w:color w:val="000000"/>
        </w:rPr>
        <w:tab/>
        <w:t>Para el ejercicio efectivo de la función de gobierno de IA, el CGTD cuenta con la Comisión de Gobierno de IA, instancia de apoyo encargada de preparar las evaluaciones, los informes y las propuestas que el CGTD requiera para la toma de decisiones en materia de IA.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r>
      <w:r>
        <w:rPr>
          <w:rFonts w:ascii="Arial" w:eastAsia="Arial" w:hAnsi="Arial" w:cs="Arial"/>
          <w:color w:val="000000"/>
        </w:rPr>
        <w:tab/>
      </w:r>
      <w:r w:rsidR="008E63B0">
        <w:rPr>
          <w:rFonts w:ascii="Arial" w:eastAsia="Arial" w:hAnsi="Arial" w:cs="Arial"/>
          <w:color w:val="000000"/>
        </w:rPr>
        <w:t>Las</w:t>
      </w:r>
      <w:r>
        <w:rPr>
          <w:rFonts w:ascii="Arial" w:eastAsia="Arial" w:hAnsi="Arial" w:cs="Arial"/>
          <w:color w:val="000000"/>
        </w:rPr>
        <w:t xml:space="preserve"> funciones de la Comisión de Gobierno de IA, en apoyo al CGTD</w:t>
      </w:r>
      <w:r w:rsidR="008E63B0">
        <w:rPr>
          <w:rFonts w:ascii="Arial" w:eastAsia="Arial" w:hAnsi="Arial" w:cs="Arial"/>
          <w:color w:val="000000"/>
        </w:rPr>
        <w:t xml:space="preserve"> se definen en el numeral 5.4.</w:t>
      </w:r>
    </w:p>
    <w:p w14:paraId="6F4FB7E8" w14:textId="77777777" w:rsidR="00863A18" w:rsidRPr="00923C59" w:rsidRDefault="00863A18" w:rsidP="00B23382">
      <w:pPr>
        <w:pStyle w:val="SubtituloDONI"/>
        <w:spacing w:line="276" w:lineRule="auto"/>
        <w:ind w:left="851"/>
      </w:pPr>
      <w:r>
        <w:t>5.4</w:t>
      </w:r>
      <w:r>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 y aprueba las inversiones asociadas.</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21EEED" w14:textId="77777777" w:rsidR="0081311B" w:rsidRPr="00923C59" w:rsidRDefault="0081311B" w:rsidP="0047575A">
            <w:pPr>
              <w:pStyle w:val="Prrafodelista"/>
              <w:numPr>
                <w:ilvl w:val="0"/>
                <w:numId w:val="13"/>
              </w:numPr>
              <w:spacing w:before="20" w:after="20" w:line="276" w:lineRule="auto"/>
              <w:ind w:left="299" w:hanging="283"/>
              <w:jc w:val="left"/>
              <w:rPr>
                <w:b w:val="0"/>
                <w:bCs w:val="0"/>
              </w:rPr>
            </w:pPr>
            <w:r>
              <w:rPr>
                <w:b w:val="0"/>
                <w:bCs w:val="0"/>
              </w:rPr>
              <w:t xml:space="preserve">Lidera, dirige, evalúa y supervisa los proyectos de SBIA estratégicos. </w:t>
            </w:r>
          </w:p>
          <w:p w14:paraId="03F7DD40" w14:textId="77777777"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sidRPr="002840F0">
              <w:rPr>
                <w:b w:val="0"/>
                <w:bCs w:val="0"/>
                <w:highlight w:val="green"/>
              </w:rPr>
              <w:t>Aprueba la clasificación de riesgo de todos los SBIA conforme al numeral 6.2.2: de manera individual en los de riesgo alto y en los estratégicos para la entidad, y de manera agregada en los de riesgo aceptable. 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sidRPr="007B626B">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sidRPr="007B626B">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sidRPr="00DE4308">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Preparar la propuesta de estrategia institucional de IA y sus</w:t>
            </w:r>
            <w:r w:rsidR="007614B5">
              <w:rPr>
                <w:b w:val="0"/>
                <w:bCs w:val="0"/>
              </w:rPr>
              <w:t xml:space="preserve"> </w:t>
            </w:r>
            <w:r w:rsidRPr="008E63B0">
              <w:rPr>
                <w:b w:val="0"/>
                <w:bCs w:val="0"/>
              </w:rPr>
              <w:t>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sidRPr="006F6A67">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sidRPr="002840F0">
              <w:rPr>
                <w:b w:val="0"/>
                <w:bCs w:val="0"/>
                <w:highlight w:val="green"/>
              </w:rPr>
              <w:t xml:space="preserve">Proponer la clasificación de riesgo de cada SBIA, previo al inicio del desarrollo o adquisición, y elevar al </w:t>
            </w:r>
            <w:r w:rsidRPr="002840F0">
              <w:rPr>
                <w:b w:val="0"/>
                <w:bCs w:val="0"/>
                <w:highlight w:val="green"/>
              </w:rPr>
              <w:lastRenderedPageBreak/>
              <w:t>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sidRPr="008E63B0">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sidRPr="00AC727E">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sidRPr="008E63B0">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sidRPr="008E63B0">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904C72">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904C72">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904C72">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904C7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904C72">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904C72">
            <w:pPr>
              <w:spacing w:after="0" w:line="276" w:lineRule="auto"/>
            </w:pPr>
            <w:r>
              <w:rPr>
                <w:rFonts w:ascii="Arial" w:eastAsia="Arial" w:hAnsi="Arial" w:cs="Arial"/>
                <w:b/>
                <w:bCs/>
                <w:color w:val="000000"/>
              </w:rPr>
              <w:t>Oficial de</w:t>
            </w:r>
          </w:p>
          <w:p w14:paraId="699EF18A" w14:textId="77777777" w:rsidR="00B34A74" w:rsidRPr="00923C59" w:rsidRDefault="00B34A74" w:rsidP="00904C72">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904C72">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904C72">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904C72">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seguridad digital: promueve la seguridad y confiabilidad de los SBIA y brinda soporte en la gestión de riesgos en su desarrollo, implementación y uso, conforme al numeral 6.7.1.</w:t>
            </w:r>
          </w:p>
        </w:tc>
      </w:tr>
      <w:tr w:rsidR="00B34A74" w14:paraId="0B3F707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904C72">
            <w:pPr>
              <w:spacing w:before="20" w:after="20" w:line="276" w:lineRule="auto"/>
              <w:rPr>
                <w:rFonts w:ascii="Arial" w:hAnsi="Arial" w:cs="Arial"/>
              </w:rPr>
            </w:pPr>
            <w:r>
              <w:rPr>
                <w:rFonts w:ascii="Arial" w:eastAsia="Arial" w:hAnsi="Arial" w:cs="Arial"/>
                <w:b/>
                <w:bCs/>
              </w:rPr>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904C72">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904C72">
            <w:pPr>
              <w:pStyle w:val="Prrafodelista"/>
              <w:numPr>
                <w:ilvl w:val="0"/>
                <w:numId w:val="14"/>
              </w:numPr>
              <w:spacing w:before="20" w:after="20" w:line="276" w:lineRule="auto"/>
              <w:ind w:left="299" w:hanging="283"/>
              <w:jc w:val="left"/>
              <w:rPr>
                <w:b w:val="0"/>
                <w:bCs w:val="0"/>
              </w:rPr>
            </w:pPr>
            <w:r>
              <w:rPr>
                <w:b w:val="0"/>
                <w:bCs w:val="0"/>
                <w:highlight w:val="yellow"/>
              </w:rPr>
              <w:lastRenderedPageBreak/>
              <w:t>Evalúa los riesgos de sesgo y discriminación en los SBIA. Administra el canal de consultas éticas en materia de IA.</w:t>
            </w:r>
          </w:p>
        </w:tc>
      </w:tr>
      <w:tr w:rsidR="00B34A74" w14:paraId="3199A77C"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904C72">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043148D" w:rsidR="00B34A74" w:rsidRPr="00834FEE" w:rsidRDefault="00B34A74" w:rsidP="00904C72">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sidR="00834FEE" w:rsidRPr="00834FEE">
              <w:rPr>
                <w:b w:val="0"/>
                <w:bCs w:val="0"/>
                <w:highlight w:val="green"/>
              </w:rPr>
              <w:t>Revisa la EIA en materia de cumplimiento normativo. Cuando la revisión comprenda el sentido y el alcance de las normas tributarias o aduaneras, recaba la opinión de la Intendencia Nacional Jurídico Tributaria o de la Intendencia Nacional Jurídico Aduanera, según la materia.</w:t>
            </w:r>
          </w:p>
          <w:p w14:paraId="04FBB6C1" w14:textId="77777777" w:rsidR="00B34A74" w:rsidRPr="0047575A"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904C72">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904C72">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904C72">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81BC02B" w14:textId="5BBFF583" w:rsidR="00B34A74" w:rsidRPr="00171767" w:rsidRDefault="00171767" w:rsidP="00904C72">
            <w:pPr>
              <w:pStyle w:val="Prrafodelista"/>
              <w:numPr>
                <w:ilvl w:val="0"/>
                <w:numId w:val="16"/>
              </w:numPr>
              <w:spacing w:before="20" w:after="20" w:line="276" w:lineRule="auto"/>
              <w:ind w:left="299" w:hanging="283"/>
              <w:jc w:val="left"/>
              <w:rPr>
                <w:b w:val="0"/>
                <w:bCs w:val="0"/>
                <w:highlight w:val="green"/>
              </w:rPr>
            </w:pPr>
            <w:r w:rsidRPr="00171767">
              <w:rPr>
                <w:b w:val="0"/>
                <w:bCs w:val="0"/>
                <w:highlight w:val="green"/>
              </w:rPr>
              <w:t>Evalúa y propone los requisitos de seguridad de los SBIA, conforme al literal e) del mismo artículo (OSI).</w:t>
            </w:r>
          </w:p>
        </w:tc>
      </w:tr>
      <w:tr w:rsidR="00B34A74" w14:paraId="37D9A847"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904C72">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904C72">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50FFB91E"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904C72">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904C72">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B34A74">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rPr>
              <w:t>Integra los SBIA al Plan de Sistemas de la INSI.</w:t>
            </w:r>
          </w:p>
        </w:tc>
      </w:tr>
      <w:tr w:rsidR="00B34A74" w14:paraId="50948364"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904C72">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904C72">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39F574"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un enfoque holístico, sistémico y con sinergia en el desarrollo del caso de negocio de las iniciativas de SBIA.</w:t>
            </w:r>
          </w:p>
          <w:p w14:paraId="0B8A380A"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Promueve la reusabilidad de las soluciones tecnológicas en el desarrollo del caso de negocio de los SBIA.</w:t>
            </w:r>
          </w:p>
        </w:tc>
      </w:tr>
      <w:tr w:rsidR="00B34A74" w14:paraId="5226AE7A"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904C72">
            <w:pPr>
              <w:spacing w:before="20" w:after="20" w:line="276" w:lineRule="auto"/>
              <w:rPr>
                <w:rFonts w:ascii="Arial" w:hAnsi="Arial" w:cs="Arial"/>
                <w:highlight w:val="lightGray"/>
              </w:rPr>
            </w:pPr>
            <w:r w:rsidRPr="005B30EE">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 xml:space="preserve">En materia de negocio: aporta a la Comisión de Gobierno de IA la visión del ámbito de la Superintendencia Nacional Adjunta que lo designa. </w:t>
            </w:r>
          </w:p>
          <w:p w14:paraId="71793657" w14:textId="0A0F4648" w:rsidR="00B34A74" w:rsidRPr="005B30EE" w:rsidRDefault="005B30EE" w:rsidP="005B30EE">
            <w:pPr>
              <w:pStyle w:val="Prrafodelista"/>
              <w:numPr>
                <w:ilvl w:val="0"/>
                <w:numId w:val="16"/>
              </w:numPr>
              <w:spacing w:before="20" w:after="20" w:line="276" w:lineRule="auto"/>
              <w:ind w:left="269"/>
              <w:jc w:val="left"/>
              <w:rPr>
                <w:b w:val="0"/>
                <w:bCs w:val="0"/>
                <w:highlight w:val="lightGray"/>
              </w:rPr>
            </w:pPr>
            <w:r w:rsidRPr="005B30EE">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 conforme al numeral</w:t>
            </w:r>
            <w:r w:rsidR="005F3265">
              <w:rPr>
                <w:b w:val="0"/>
                <w:bCs w:val="0"/>
                <w:highlight w:val="lightGray"/>
              </w:rPr>
              <w:t xml:space="preserve"> </w:t>
            </w:r>
            <w:r w:rsidRPr="005B30EE">
              <w:rPr>
                <w:b w:val="0"/>
                <w:bCs w:val="0"/>
                <w:highlight w:val="lightGray"/>
              </w:rPr>
              <w:t>5.3.2.</w:t>
            </w:r>
          </w:p>
        </w:tc>
      </w:tr>
      <w:tr w:rsidR="00B34A74" w14:paraId="1CD4B123" w14:textId="77777777" w:rsidTr="00904C72">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904C72">
            <w:pPr>
              <w:spacing w:before="20" w:after="20" w:line="276" w:lineRule="auto"/>
              <w:rPr>
                <w:rFonts w:ascii="Arial" w:hAnsi="Arial" w:cs="Arial"/>
              </w:rPr>
            </w:pPr>
            <w:r>
              <w:rPr>
                <w:rFonts w:ascii="Arial" w:eastAsia="Arial" w:hAnsi="Arial" w:cs="Arial"/>
                <w:b/>
                <w:bCs/>
                <w:highlight w:val="yellow"/>
              </w:rPr>
              <w:t xml:space="preserve">Gestión de Recursos Humanos y </w:t>
            </w:r>
            <w:r>
              <w:rPr>
                <w:rFonts w:ascii="Arial" w:eastAsia="Arial" w:hAnsi="Arial" w:cs="Arial"/>
                <w:b/>
                <w:bCs/>
                <w:highlight w:val="yellow"/>
              </w:rPr>
              <w:lastRenderedPageBreak/>
              <w:t>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904C72">
            <w:pPr>
              <w:spacing w:before="20" w:after="20" w:line="276" w:lineRule="auto"/>
              <w:rPr>
                <w:rFonts w:ascii="Arial" w:hAnsi="Arial" w:cs="Arial"/>
              </w:rPr>
            </w:pPr>
            <w:r>
              <w:rPr>
                <w:rFonts w:ascii="Arial" w:eastAsia="Arial" w:hAnsi="Arial" w:cs="Arial"/>
                <w:highlight w:val="yellow"/>
              </w:rPr>
              <w:lastRenderedPageBreak/>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lastRenderedPageBreak/>
              <w:t>Conduce las acciones de sensibilización, concientización y capacitación en IA, diferenciadas por grupos de uso de SBIA.</w:t>
            </w:r>
          </w:p>
          <w:p w14:paraId="17A37630"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904C72">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7777777" w:rsidR="00863A18" w:rsidRPr="00923C59" w:rsidRDefault="00863A18" w:rsidP="00B23382">
      <w:pPr>
        <w:pStyle w:val="Ttulo1"/>
        <w:spacing w:line="276" w:lineRule="auto"/>
        <w:rPr>
          <w:rFonts w:cs="Arial"/>
          <w:szCs w:val="22"/>
        </w:rPr>
      </w:pPr>
      <w:bookmarkStart w:id="6" w:name="_Toc235003966"/>
      <w:r>
        <w:rPr>
          <w:rFonts w:cs="Arial"/>
          <w:bCs/>
          <w:color w:val="000000"/>
          <w:szCs w:val="22"/>
        </w:rPr>
        <w:lastRenderedPageBreak/>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r>
      <w:r>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sidR="002711BE" w:rsidRPr="002711BE">
        <w:rPr>
          <w:rFonts w:ascii="Arial" w:eastAsia="Arial" w:hAnsi="Arial" w:cs="Arial"/>
          <w:color w:val="000000"/>
          <w:highlight w:val="green"/>
        </w:rPr>
        <w:t>Todo SBIA en la SUNAT sigue un ciclo de vida gestionado, con las etapas y los hitos</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propios del componente de IA que se detallan a continuación. Este ciclo no sustituye</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ni duplica a los instrumentos institucionales que regulan la gestión de proyectos y el</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desarrollo de sistemas: se apoya en las conformidades que las unidades de organización</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competentes emiten conforme a ellos y añade únicamente lo que es propio de la</w:t>
      </w:r>
      <w:r w:rsidR="002711BE" w:rsidRPr="002711BE">
        <w:rPr>
          <w:rFonts w:ascii="Arial" w:eastAsia="Arial" w:hAnsi="Arial" w:cs="Arial"/>
          <w:color w:val="000000"/>
          <w:highlight w:val="green"/>
        </w:rPr>
        <w:t xml:space="preserve"> </w:t>
      </w:r>
      <w:r w:rsidR="002711BE" w:rsidRPr="002711BE">
        <w:rPr>
          <w:rFonts w:ascii="Arial" w:eastAsia="Arial" w:hAnsi="Arial" w:cs="Arial"/>
          <w:color w:val="000000"/>
          <w:highlight w:val="green"/>
        </w:rPr>
        <w:t>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La etapa concluye con la presentación a la</w:t>
            </w:r>
            <w:r w:rsidRPr="00C603B3">
              <w:rPr>
                <w:rFonts w:ascii="Arial" w:eastAsia="Arial" w:hAnsi="Arial" w:cs="Arial"/>
                <w:highlight w:val="green"/>
              </w:rPr>
              <w:t xml:space="preserve"> </w:t>
            </w:r>
            <w:r w:rsidRPr="00C603B3">
              <w:rPr>
                <w:rFonts w:ascii="Arial" w:eastAsia="Arial" w:hAnsi="Arial" w:cs="Arial"/>
                <w:highlight w:val="green"/>
              </w:rPr>
              <w:t>Comisión de Gobierno de IA de la Ficha de</w:t>
            </w:r>
          </w:p>
          <w:p w14:paraId="4084A96C" w14:textId="150F5B75"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Evaluación de Caso de Uso, suscrita conforme a la Sección 6 del</w:t>
            </w:r>
            <w:r w:rsidRPr="00C603B3">
              <w:rPr>
                <w:rFonts w:ascii="Arial" w:eastAsia="Arial" w:hAnsi="Arial" w:cs="Arial"/>
                <w:highlight w:val="green"/>
              </w:rPr>
              <w:t xml:space="preserve"> </w:t>
            </w:r>
            <w:r w:rsidRPr="00C603B3">
              <w:rPr>
                <w:rFonts w:ascii="Arial" w:eastAsia="Arial" w:hAnsi="Arial" w:cs="Arial"/>
                <w:highlight w:val="green"/>
              </w:rPr>
              <w:t>Anexo N.° 4. La etapa no</w:t>
            </w:r>
            <w:r w:rsidRPr="00C603B3">
              <w:rPr>
                <w:rFonts w:ascii="Arial" w:eastAsia="Arial" w:hAnsi="Arial" w:cs="Arial"/>
                <w:highlight w:val="green"/>
              </w:rPr>
              <w:t xml:space="preserve"> </w:t>
            </w:r>
            <w:r w:rsidRPr="00C603B3">
              <w:rPr>
                <w:rFonts w:ascii="Arial" w:eastAsia="Arial" w:hAnsi="Arial" w:cs="Arial"/>
                <w:highlight w:val="green"/>
              </w:rPr>
              <w:t>comporta hito de aprobación: la</w:t>
            </w:r>
            <w:r w:rsidRPr="00C603B3">
              <w:rPr>
                <w:rFonts w:ascii="Arial" w:eastAsia="Arial" w:hAnsi="Arial" w:cs="Arial"/>
                <w:highlight w:val="green"/>
              </w:rPr>
              <w:t xml:space="preserve"> </w:t>
            </w:r>
            <w:r w:rsidRPr="00C603B3">
              <w:rPr>
                <w:rFonts w:ascii="Arial" w:eastAsia="Arial" w:hAnsi="Arial" w:cs="Arial"/>
                <w:highlight w:val="green"/>
              </w:rPr>
              <w:t>evaluación del</w:t>
            </w:r>
            <w:r w:rsidRPr="00C603B3">
              <w:rPr>
                <w:rFonts w:ascii="Arial" w:eastAsia="Arial" w:hAnsi="Arial" w:cs="Arial"/>
                <w:highlight w:val="green"/>
              </w:rPr>
              <w:t xml:space="preserve"> </w:t>
            </w:r>
            <w:r w:rsidRPr="00C603B3">
              <w:rPr>
                <w:rFonts w:ascii="Arial" w:eastAsia="Arial" w:hAnsi="Arial" w:cs="Arial"/>
                <w:highlight w:val="green"/>
              </w:rPr>
              <w:lastRenderedPageBreak/>
              <w:t>componente de IA y la aprobación</w:t>
            </w:r>
            <w:r w:rsidRPr="00C603B3">
              <w:rPr>
                <w:rFonts w:ascii="Arial" w:eastAsia="Arial" w:hAnsi="Arial" w:cs="Arial"/>
                <w:highlight w:val="green"/>
              </w:rPr>
              <w:t xml:space="preserve"> </w:t>
            </w:r>
            <w:r w:rsidRPr="00C603B3">
              <w:rPr>
                <w:rFonts w:ascii="Arial" w:eastAsia="Arial" w:hAnsi="Arial" w:cs="Arial"/>
                <w:highlight w:val="green"/>
              </w:rPr>
              <w:t>corresponden</w:t>
            </w:r>
          </w:p>
          <w:p w14:paraId="645D76CA" w14:textId="3C647E2F" w:rsidR="00E67A73" w:rsidRDefault="00C603B3" w:rsidP="00C603B3">
            <w:pPr>
              <w:spacing w:before="20" w:after="20" w:line="276" w:lineRule="auto"/>
              <w:rPr>
                <w:rFonts w:ascii="Arial" w:hAnsi="Arial" w:cs="Arial"/>
              </w:rPr>
            </w:pPr>
            <w:r w:rsidRPr="00C603B3">
              <w:rPr>
                <w:rFonts w:ascii="Arial" w:eastAsia="Arial" w:hAnsi="Arial" w:cs="Arial"/>
                <w:highlight w:val="green"/>
              </w:rPr>
              <w:t>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sidRPr="0054144C">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sidRPr="00C603B3">
              <w:rPr>
                <w:rFonts w:ascii="Arial" w:eastAsia="Arial" w:hAnsi="Arial" w:cs="Arial"/>
                <w:highlight w:val="green"/>
              </w:rPr>
              <w:t>Aprobación del caso de uso y de su clasificación de riesgo por el CGTD, en un solo acto y</w:t>
            </w:r>
          </w:p>
          <w:p w14:paraId="39CE3A7E" w14:textId="72ECF188" w:rsidR="00E67A73" w:rsidRPr="00C603B3" w:rsidRDefault="00C603B3" w:rsidP="00C603B3">
            <w:pPr>
              <w:spacing w:before="20" w:after="20" w:line="276" w:lineRule="auto"/>
              <w:rPr>
                <w:rFonts w:ascii="Arial" w:hAnsi="Arial" w:cs="Arial"/>
                <w:highlight w:val="green"/>
              </w:rPr>
            </w:pPr>
            <w:r w:rsidRPr="00C603B3">
              <w:rPr>
                <w:rFonts w:ascii="Arial" w:eastAsia="Arial" w:hAnsi="Arial" w:cs="Arial"/>
                <w:highlight w:val="green"/>
              </w:rPr>
              <w:t>conforme a los numerales 6.1.2 y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sidRPr="0045319E">
              <w:rPr>
                <w:rFonts w:ascii="Arial" w:eastAsia="Arial" w:hAnsi="Arial" w:cs="Arial"/>
                <w:highlight w:val="green"/>
              </w:rPr>
              <w:t>La Gerencia de Arquitectura conduce el diseño de la arquitectura del SBIA y las Divisiones de Arquitectura lo 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sidRPr="0045319E">
              <w:rPr>
                <w:rFonts w:ascii="Arial" w:eastAsia="Arial" w:hAnsi="Arial" w:cs="Arial"/>
                <w:highlight w:val="green"/>
              </w:rPr>
              <w:t xml:space="preserve">Aprobación del diseño de la arquitectura de solución por la División de Arquitectura competente según la materia, conforme al numeral 6.5.4. </w:t>
            </w:r>
            <w:r w:rsidR="00EC21E7" w:rsidRPr="00EC21E7">
              <w:rPr>
                <w:rFonts w:ascii="Arial" w:eastAsia="Arial" w:hAnsi="Arial" w:cs="Arial"/>
                <w:highlight w:val="green"/>
              </w:rPr>
              <w:t>Para SBIA de riesgo alto, 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sidRPr="00236A5F">
              <w:rPr>
                <w:rFonts w:ascii="Arial" w:eastAsia="Arial" w:hAnsi="Arial" w:cs="Arial"/>
                <w:highlight w:val="green"/>
              </w:rPr>
              <w:t xml:space="preserve">Las gerencias competentes de la INSI ejecutan el desarrollo del SBIA o gestionan su adquisición. La Oficina de Seguridad Informática evalúa y propone los requisitos de seguridad del SBIA, conforme al literal e) del artículo 106 del ROF; dichos requisitos se </w:t>
            </w:r>
            <w:r w:rsidRPr="00236A5F">
              <w:rPr>
                <w:rFonts w:ascii="Arial" w:eastAsia="Arial" w:hAnsi="Arial" w:cs="Arial"/>
                <w:highlight w:val="green"/>
              </w:rPr>
              <w:lastRenderedPageBreak/>
              <w:t>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sidRPr="00236A5F">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sidRPr="00FA4DEA">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w:t>
            </w:r>
            <w:r w:rsidRPr="00FA4DEA">
              <w:rPr>
                <w:rFonts w:ascii="Arial" w:hAnsi="Arial" w:cs="Arial"/>
                <w:highlight w:val="green"/>
              </w:rPr>
              <w:lastRenderedPageBreak/>
              <w:t>mecanismo de supervisión humana conforme al numeral 6.6.2. Con la conformidad de la División de Control de Calidad, de la Oficina de Seguridad Informática y del propietario del caso de uso, la aprobación corresponde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sidRPr="00FA4DEA">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sidRPr="00D443F8">
        <w:rPr>
          <w:rFonts w:ascii="Arial" w:hAnsi="Arial" w:cs="Arial"/>
          <w:color w:val="000000"/>
          <w:highlight w:val="green"/>
        </w:rPr>
        <w:t>6.1.2</w:t>
      </w:r>
      <w:r w:rsidRPr="00D443F8">
        <w:rPr>
          <w:rFonts w:ascii="Arial" w:hAnsi="Arial" w:cs="Arial"/>
          <w:color w:val="000000"/>
          <w:highlight w:val="green"/>
        </w:rPr>
        <w:tab/>
      </w:r>
      <w:r w:rsidR="00D443F8" w:rsidRPr="00D443F8">
        <w:rPr>
          <w:rFonts w:ascii="Arial" w:hAnsi="Arial" w:cs="Arial"/>
          <w:color w:val="000000"/>
          <w:highlight w:val="green"/>
        </w:rPr>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rsidR="00B357D5" w:rsidRPr="00B357D5">
        <w:t xml:space="preserve"> </w:t>
      </w:r>
      <w:r w:rsidR="00B357D5" w:rsidRPr="00B357D5">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w:t>
      </w:r>
      <w:r w:rsidR="00D443F8" w:rsidRPr="00D443F8">
        <w:rPr>
          <w:rFonts w:ascii="Arial" w:hAnsi="Arial" w:cs="Arial"/>
          <w:color w:val="000000"/>
          <w:highlight w:val="green"/>
        </w:rPr>
        <w:t xml:space="preserve"> La Comisión informa al CGTD de las aprobaciones que otorga. </w:t>
      </w:r>
      <w:r w:rsidR="00A3530D" w:rsidRPr="00A3530D">
        <w:rPr>
          <w:rFonts w:ascii="Arial" w:hAnsi="Arial" w:cs="Arial"/>
          <w:color w:val="000000"/>
          <w:highlight w:val="green"/>
        </w:rPr>
        <w:t xml:space="preserve">En los SBIA de riesgo alto, todas las etapas e hitos son obligatorios. </w:t>
      </w:r>
      <w:r w:rsidR="00A3530D" w:rsidRPr="00A3530D">
        <w:rPr>
          <w:rFonts w:ascii="Arial" w:hAnsi="Arial" w:cs="Arial"/>
          <w:color w:val="000000"/>
          <w:highlight w:val="green"/>
        </w:rPr>
        <w:lastRenderedPageBreak/>
        <w:t>En los SBIA de riesgo aceptable, la Comisión de Gobierno de IA puede aprobar un ciclo de vida simplificado y documentado, proporcional a la naturaleza y a la magnitud del SBIA.</w:t>
      </w:r>
    </w:p>
    <w:p w14:paraId="36A9BCB1"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t>Los SBIA SaaS (enfoque A) siguen un ciclo de vida abreviado que comprende el registro en el Inventario Institucional de SBIA, la clasificación de riesgo conforme al numeral 6.2 y las verificaciones previstas en el numeral 6.12.</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sidRPr="00D443F8">
        <w:rPr>
          <w:rFonts w:ascii="Arial" w:eastAsia="Arial" w:hAnsi="Arial" w:cs="Arial"/>
          <w:color w:val="000000"/>
          <w:highlight w:val="green"/>
        </w:rPr>
        <w:t>6.1.4</w:t>
      </w:r>
      <w:r w:rsidRPr="00A84BB6">
        <w:rPr>
          <w:rFonts w:ascii="Arial" w:eastAsia="Arial" w:hAnsi="Arial" w:cs="Arial"/>
          <w:color w:val="000000"/>
          <w:highlight w:val="green"/>
        </w:rPr>
        <w:tab/>
      </w:r>
      <w:r w:rsidR="00D443F8" w:rsidRPr="00A84BB6">
        <w:rPr>
          <w:rFonts w:ascii="Arial" w:eastAsia="Arial" w:hAnsi="Arial" w:cs="Arial"/>
          <w:color w:val="000000"/>
          <w:highlight w:val="green"/>
        </w:rPr>
        <w:t xml:space="preserve">El pronunciamiento de la Comisión de Gobierno de IA en los hitos del ciclo de vida </w:t>
      </w:r>
      <w:r w:rsidR="00A84BB6" w:rsidRPr="00A84BB6">
        <w:rPr>
          <w:rFonts w:ascii="Arial" w:eastAsia="Arial" w:hAnsi="Arial" w:cs="Arial"/>
          <w:color w:val="000000"/>
          <w:highlight w:val="green"/>
        </w:rPr>
        <w:t>recae sobre el componente de IA, conforme al numeral 6.15.1. Cuando la Ficha de Evaluación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de Caso de Uso (Anexo N.° 4) no contiene la información necesaria para pronunciarse, la</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Comisión acompaña al propietario del caso de uso a completarla y se pronuncia una vez que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 xml:space="preserve">la recibe. La falta de información </w:t>
      </w:r>
      <w:r w:rsidR="00A84BB6" w:rsidRPr="007B626B">
        <w:rPr>
          <w:rFonts w:ascii="Arial" w:eastAsia="Arial" w:hAnsi="Arial" w:cs="Arial"/>
          <w:color w:val="000000"/>
          <w:highlight w:val="green"/>
        </w:rPr>
        <w:t xml:space="preserve">no es causal de pronunciamiento no favorable. </w:t>
      </w:r>
      <w:r w:rsidR="007B626B" w:rsidRPr="007B626B">
        <w:rPr>
          <w:rFonts w:ascii="Arial" w:eastAsia="Arial" w:hAnsi="Arial" w:cs="Arial"/>
          <w:color w:val="000000"/>
          <w:highlight w:val="green"/>
        </w:rPr>
        <w:t>El pronunciamiento no favorable se fundamenta por escrito y se eleva al CGTD. Cuando invoca el uso indebido o una contravención normativa, el CGTD verifica la causal y, si concurre, deja constancia en acta de que el caso de uso no procede</w:t>
      </w:r>
      <w:r w:rsidR="007B626B">
        <w:rPr>
          <w:rFonts w:ascii="Arial" w:eastAsia="Arial" w:hAnsi="Arial" w:cs="Arial"/>
          <w:color w:val="000000"/>
          <w:highlight w:val="green"/>
        </w:rPr>
        <w:t xml:space="preserve">. </w:t>
      </w:r>
      <w:r w:rsidR="007B626B" w:rsidRPr="007B626B">
        <w:rPr>
          <w:rFonts w:ascii="Arial" w:eastAsia="Arial" w:hAnsi="Arial" w:cs="Arial"/>
          <w:color w:val="000000"/>
          <w:highlight w:val="green"/>
        </w:rPr>
        <w:t>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eastAsia="Arial" w:hAnsi="Arial" w:cs="Arial"/>
          <w:color w:val="000000"/>
        </w:rPr>
      </w:pPr>
      <w:r w:rsidRPr="00166F8B">
        <w:rPr>
          <w:rFonts w:ascii="Arial" w:hAnsi="Arial" w:cs="Arial"/>
          <w:color w:val="000000"/>
          <w:highlight w:val="lightGray"/>
        </w:rPr>
        <w:t>6.1.5</w:t>
      </w:r>
      <w:r w:rsidRPr="00166F8B">
        <w:rPr>
          <w:rFonts w:ascii="Arial" w:hAnsi="Arial" w:cs="Arial"/>
          <w:color w:val="000000"/>
          <w:highlight w:val="lightGray"/>
        </w:rPr>
        <w:tab/>
      </w:r>
      <w:r w:rsidR="00166F8B" w:rsidRPr="00166F8B">
        <w:rPr>
          <w:rFonts w:ascii="Arial" w:hAnsi="Arial" w:cs="Arial"/>
          <w:color w:val="000000"/>
          <w:highlight w:val="lightGray"/>
        </w:rPr>
        <w:t xml:space="preserve">La INSI desarrolla y aprueba, </w:t>
      </w:r>
      <w:r w:rsidR="00DF4730" w:rsidRPr="00DF4730">
        <w:rPr>
          <w:rFonts w:ascii="Arial" w:hAnsi="Arial" w:cs="Arial"/>
          <w:color w:val="000000"/>
          <w:highlight w:val="lightGray"/>
        </w:rPr>
        <w:t>conforme a sus competencias, a la METDONI y al numeral 7.6</w:t>
      </w:r>
      <w:r w:rsidR="00DF4730">
        <w:rPr>
          <w:rFonts w:ascii="Arial" w:hAnsi="Arial" w:cs="Arial"/>
          <w:color w:val="000000"/>
          <w:highlight w:val="lightGray"/>
        </w:rPr>
        <w:t xml:space="preserve">, </w:t>
      </w:r>
      <w:r w:rsidR="00166F8B" w:rsidRPr="00166F8B">
        <w:rPr>
          <w:rFonts w:ascii="Arial" w:hAnsi="Arial" w:cs="Arial"/>
          <w:color w:val="000000"/>
          <w:highlight w:val="lightGray"/>
        </w:rPr>
        <w:t>la metodología del ciclo de vida del SBIA previsto en el numeral 6.1.1</w:t>
      </w:r>
      <w:r w:rsidR="00166F8B" w:rsidRPr="0094125C">
        <w:rPr>
          <w:rFonts w:ascii="Arial" w:hAnsi="Arial" w:cs="Arial"/>
          <w:color w:val="000000"/>
          <w:highlight w:val="lightGray"/>
        </w:rPr>
        <w:t>.</w:t>
      </w:r>
      <w:r w:rsidR="00A72414" w:rsidRPr="0094125C">
        <w:rPr>
          <w:rFonts w:ascii="Arial" w:hAnsi="Arial" w:cs="Arial"/>
          <w:color w:val="000000"/>
          <w:highlight w:val="lightGray"/>
        </w:rPr>
        <w:t xml:space="preserve"> </w:t>
      </w:r>
      <w:r w:rsidR="0094125C" w:rsidRPr="0094125C">
        <w:rPr>
          <w:rFonts w:ascii="Arial" w:hAnsi="Arial" w:cs="Arial"/>
          <w:color w:val="000000"/>
          <w:highlight w:val="green"/>
        </w:rPr>
        <w:t>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acogidas, estas se elevan al CGTD, que se pronuncia con anterioridad a la aprobación.</w:t>
      </w:r>
      <w:r w:rsidR="00166F8B" w:rsidRPr="0094125C">
        <w:rPr>
          <w:rFonts w:ascii="Arial" w:hAnsi="Arial" w:cs="Arial"/>
          <w:color w:val="000000"/>
          <w:highlight w:val="green"/>
        </w:rPr>
        <w:t xml:space="preserve"> </w:t>
      </w:r>
      <w:r w:rsidR="00166F8B" w:rsidRPr="00166F8B">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w:t>
      </w:r>
      <w:r w:rsidR="00532CB5" w:rsidRPr="00532CB5">
        <w:rPr>
          <w:rFonts w:ascii="Arial" w:hAnsi="Arial" w:cs="Arial"/>
          <w:color w:val="000000"/>
          <w:highlight w:val="lightGray"/>
        </w:rPr>
        <w:t>los controles de contención, las prácticas de monitoreo, la gestión de los cambios sobre los SBIA en operación, incluidos los criterios de calificación del cambio significativo y el alcance de la revalidación aplicable,</w:t>
      </w:r>
      <w:r w:rsidR="00DB1816" w:rsidRPr="00DB1816">
        <w:t xml:space="preserve"> </w:t>
      </w:r>
      <w:r w:rsidR="00DB1816" w:rsidRPr="00DB1816">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4B64236F" w14:textId="77777777" w:rsidR="00863A18" w:rsidRPr="00923C59" w:rsidRDefault="00863A18" w:rsidP="00B23382">
      <w:pPr>
        <w:pStyle w:val="SubtituloDONI"/>
        <w:spacing w:line="276" w:lineRule="auto"/>
        <w:ind w:left="851"/>
      </w:pPr>
      <w:r>
        <w:t>6.2</w:t>
      </w:r>
      <w:r>
        <w:tab/>
        <w:t>De la clasificación de los SBIA por nivel de riesgo</w:t>
      </w:r>
    </w:p>
    <w:p w14:paraId="5BB0242D" w14:textId="69E45197" w:rsidR="000153F0" w:rsidRDefault="00000000">
      <w:pPr>
        <w:spacing w:after="60" w:line="276" w:lineRule="auto"/>
        <w:ind w:left="1276" w:hanging="720"/>
        <w:jc w:val="both"/>
        <w:rPr>
          <w:rFonts w:ascii="Arial" w:eastAsia="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w:t>
      </w:r>
      <w:r>
        <w:rPr>
          <w:rFonts w:ascii="Arial" w:hAnsi="Arial" w:cs="Arial"/>
          <w:color w:val="000000"/>
          <w:highlight w:val="cyan"/>
        </w:rPr>
        <w:lastRenderedPageBreak/>
        <w:t>anterioridad a su desarrollo o adquisición.</w:t>
      </w:r>
      <w:r w:rsidR="00352D87">
        <w:rPr>
          <w:rFonts w:ascii="Arial" w:hAnsi="Arial" w:cs="Arial"/>
          <w:color w:val="000000"/>
          <w:highlight w:val="cyan"/>
        </w:rPr>
        <w:t xml:space="preserve"> </w:t>
      </w:r>
      <w:r>
        <w:rPr>
          <w:rFonts w:ascii="Arial" w:hAnsi="Arial" w:cs="Arial"/>
          <w:color w:val="000000"/>
          <w:highlight w:val="cyan"/>
        </w:rPr>
        <w:t>La clasificación y la gestión de los riesgos de los SBIA se alinean a la NTP-ISO 31000 vigente, de uso obligatorio conforme a la Sexta Disposición Complementaria Final del RLIA.</w:t>
      </w:r>
    </w:p>
    <w:p w14:paraId="0F68BDCC" w14:textId="59BCB3CB" w:rsidR="00836DA1" w:rsidRDefault="00000000">
      <w:pPr>
        <w:spacing w:after="60" w:line="276" w:lineRule="auto"/>
        <w:ind w:left="1276" w:hanging="720"/>
        <w:jc w:val="both"/>
        <w:rPr>
          <w:rFonts w:ascii="Arial" w:eastAsia="Arial" w:hAnsi="Arial" w:cs="Arial"/>
          <w:color w:val="000000"/>
        </w:rPr>
      </w:pPr>
      <w:r w:rsidRPr="003758C8">
        <w:rPr>
          <w:rFonts w:ascii="Arial" w:eastAsia="Arial" w:hAnsi="Arial" w:cs="Arial"/>
          <w:color w:val="000000"/>
          <w:highlight w:val="green"/>
        </w:rPr>
        <w:t>6.2.2</w:t>
      </w:r>
      <w:r w:rsidRPr="003758C8">
        <w:rPr>
          <w:rFonts w:ascii="Arial" w:eastAsia="Arial" w:hAnsi="Arial" w:cs="Arial"/>
          <w:color w:val="000000"/>
          <w:highlight w:val="green"/>
        </w:rPr>
        <w:tab/>
      </w:r>
      <w:r w:rsidR="003758C8" w:rsidRPr="003758C8">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La clasificación es parte de la evaluación de viabilidad de acuerdo al ciclo de vida descrito en el 6.1.1. La clasificación aplica los criterios de la Matriz de Clasificación de Riesgos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sidR="00DE4308" w:rsidRPr="00DE4308">
        <w:rPr>
          <w:rFonts w:ascii="Arial" w:eastAsia="Arial" w:hAnsi="Arial" w:cs="Arial"/>
          <w:color w:val="000000"/>
          <w:highlight w:val="green"/>
        </w:rPr>
        <w:t>La prohibición del uso indebido se asegura mediante la clasificación de riesgo previa y</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obligatoria, el pronunciamiento no favorable de la Comisión de Gobierno de IA conforme al</w:t>
      </w:r>
      <w:r w:rsidR="00DE4308" w:rsidRPr="00DE4308">
        <w:rPr>
          <w:rFonts w:ascii="Arial" w:eastAsia="Arial" w:hAnsi="Arial" w:cs="Arial"/>
          <w:color w:val="000000"/>
          <w:highlight w:val="green"/>
        </w:rPr>
        <w:t xml:space="preserve"> </w:t>
      </w:r>
      <w:r w:rsidR="00DE4308" w:rsidRPr="00DE4308">
        <w:rPr>
          <w:rFonts w:ascii="Arial" w:eastAsia="Arial" w:hAnsi="Arial" w:cs="Arial"/>
          <w:color w:val="000000"/>
          <w:highlight w:val="green"/>
        </w:rPr>
        <w:t>numeral 6.15.1 y el registro obligatorio en el Inventario Institucional de SBIA.</w:t>
      </w:r>
      <w:r w:rsidR="00DE4308">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A84BB6">
      <w:pPr>
        <w:spacing w:after="60" w:line="276" w:lineRule="auto"/>
        <w:ind w:left="1276" w:hanging="567"/>
        <w:jc w:val="both"/>
        <w:rPr>
          <w:rFonts w:ascii="Arial" w:eastAsia="Arial" w:hAnsi="Arial" w:cs="Arial"/>
          <w:color w:val="000000"/>
        </w:rPr>
      </w:pPr>
      <w:r w:rsidRPr="00736724">
        <w:rPr>
          <w:rFonts w:ascii="Arial" w:eastAsia="Arial" w:hAnsi="Arial" w:cs="Arial"/>
          <w:color w:val="000000"/>
          <w:highlight w:val="green"/>
        </w:rPr>
        <w:t>6.2.</w:t>
      </w:r>
      <w:r w:rsidRPr="00736724">
        <w:rPr>
          <w:rFonts w:ascii="Arial" w:eastAsia="Arial" w:hAnsi="Arial" w:cs="Arial"/>
          <w:color w:val="000000"/>
          <w:highlight w:val="green"/>
        </w:rPr>
        <w:t>5</w:t>
      </w:r>
      <w:r w:rsidRPr="00A84BB6">
        <w:rPr>
          <w:rFonts w:ascii="Arial" w:eastAsia="Arial" w:hAnsi="Arial" w:cs="Arial"/>
          <w:color w:val="000000"/>
          <w:highlight w:val="green"/>
        </w:rPr>
        <w:tab/>
      </w:r>
      <w:r w:rsidR="00E4189E" w:rsidRPr="00E4189E">
        <w:rPr>
          <w:rFonts w:ascii="Arial" w:eastAsia="Arial" w:hAnsi="Arial" w:cs="Arial"/>
          <w:color w:val="000000"/>
          <w:highlight w:val="green"/>
        </w:rPr>
        <w:t>Los controles aplicables a un SBIA se determinan a partir de su clasificación de riesgo y de los criterios establecidos en los numerales 6.6, 6.7.2, 6.9 y 6.10: no se proponen ni se negocian</w:t>
      </w:r>
      <w:r w:rsidR="00A84BB6" w:rsidRPr="00A84BB6">
        <w:rPr>
          <w:rFonts w:ascii="Arial" w:eastAsia="Arial" w:hAnsi="Arial" w:cs="Arial"/>
          <w:color w:val="000000"/>
          <w:highlight w:val="green"/>
        </w:rPr>
        <w:t>. El propietario del</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caso de uso, con la asistencia técnica de la Comisión de Gobierno de IA, define cómo se</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implementan en el SBIA. La Comisión verifica su implementación en el hito de aprobación</w:t>
      </w:r>
      <w:r w:rsidR="00A84BB6" w:rsidRPr="00A84BB6">
        <w:rPr>
          <w:rFonts w:ascii="Arial" w:eastAsia="Arial" w:hAnsi="Arial" w:cs="Arial"/>
          <w:color w:val="000000"/>
          <w:highlight w:val="green"/>
        </w:rPr>
        <w:t xml:space="preserve"> </w:t>
      </w:r>
      <w:r w:rsidR="00A84BB6" w:rsidRPr="00A84BB6">
        <w:rPr>
          <w:rFonts w:ascii="Arial" w:eastAsia="Arial" w:hAnsi="Arial" w:cs="Arial"/>
          <w:color w:val="000000"/>
          <w:highlight w:val="green"/>
        </w:rPr>
        <w:t>previo al despliegue.</w:t>
      </w:r>
    </w:p>
    <w:p w14:paraId="1C5BB831" w14:textId="77777777" w:rsidR="00863A18" w:rsidRPr="00923C59" w:rsidRDefault="00863A18" w:rsidP="00B23382">
      <w:pPr>
        <w:pStyle w:val="SubtituloDONI"/>
        <w:spacing w:line="276" w:lineRule="auto"/>
        <w:ind w:left="851"/>
      </w:pPr>
      <w:r>
        <w:t>6.3</w:t>
      </w:r>
      <w:r>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6.3.2</w:t>
      </w:r>
      <w:r>
        <w:rPr>
          <w:rFonts w:ascii="Arial" w:eastAsia="Arial" w:hAnsi="Arial" w:cs="Arial"/>
          <w:color w:val="000000"/>
        </w:rPr>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r>
      <w:r>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sidRPr="00EC21E7">
        <w:rPr>
          <w:rFonts w:ascii="Arial" w:eastAsia="Arial" w:hAnsi="Arial" w:cs="Arial"/>
          <w:color w:val="000000"/>
          <w:highlight w:val="green"/>
        </w:rPr>
        <w:t>6.4.1</w:t>
      </w:r>
      <w:r w:rsidRPr="00EC21E7">
        <w:rPr>
          <w:rFonts w:ascii="Arial" w:eastAsia="Arial" w:hAnsi="Arial" w:cs="Arial"/>
          <w:color w:val="000000"/>
          <w:highlight w:val="green"/>
        </w:rPr>
        <w:tab/>
      </w:r>
      <w:r w:rsidR="00EC21E7" w:rsidRPr="00EC21E7">
        <w:rPr>
          <w:rFonts w:ascii="Arial" w:eastAsia="Arial" w:hAnsi="Arial" w:cs="Arial"/>
          <w:color w:val="000000"/>
          <w:highlight w:val="green"/>
        </w:rPr>
        <w:t>Todo SBIA de riesgo alto debe contar con una EIA aprobada por el CGTD previamente al inicio de su desarrollo, adquisición o implementación, conforme al artículo 30 del RLIA</w:t>
      </w:r>
      <w:r w:rsidRPr="00EC21E7">
        <w:rPr>
          <w:rFonts w:ascii="Arial" w:eastAsia="Arial" w:hAnsi="Arial" w:cs="Arial"/>
          <w:color w:val="000000"/>
          <w:highlight w:val="green"/>
        </w:rPr>
        <w:t xml:space="preserve">.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3EAE16A7" w:rsidR="00863A18" w:rsidRPr="00923C59" w:rsidRDefault="00863A18" w:rsidP="00B23382">
      <w:pPr>
        <w:spacing w:after="60" w:line="276" w:lineRule="auto"/>
        <w:ind w:left="1276" w:hanging="720"/>
        <w:jc w:val="both"/>
        <w:rPr>
          <w:rFonts w:ascii="Arial" w:eastAsia="Arial" w:hAnsi="Arial" w:cs="Arial"/>
          <w:color w:val="000000"/>
        </w:rPr>
      </w:pPr>
      <w:r w:rsidRPr="00EC21E7">
        <w:rPr>
          <w:rFonts w:ascii="Arial" w:hAnsi="Arial" w:cs="Arial"/>
          <w:color w:val="000000"/>
          <w:highlight w:val="green"/>
        </w:rPr>
        <w:t>6.4.2</w:t>
      </w:r>
      <w:r w:rsidRPr="00EC21E7">
        <w:rPr>
          <w:rFonts w:ascii="Arial" w:hAnsi="Arial" w:cs="Arial"/>
          <w:color w:val="000000"/>
          <w:highlight w:val="green"/>
        </w:rPr>
        <w:tab/>
      </w:r>
      <w:r w:rsidR="00EC21E7" w:rsidRPr="00EC21E7">
        <w:rPr>
          <w:rFonts w:ascii="Arial" w:hAnsi="Arial" w:cs="Arial"/>
          <w:color w:val="000000"/>
          <w:highlight w:val="green"/>
        </w:rPr>
        <w:t>El propietario del caso de uso elabora la EIA con la participación del equipo técnico multidisciplinario del SBIA, que se conforma en función de la necesidad y la complejidad de la materia y comprende, cuando menos, a las gerencias de la INSI involucradas en su desarrollo o adquisición. La EIA incorpora los aspectos de negocio (en particular el impacto en el administrado) y los aspectos técnicos. La Comisión de Gobierno de IA, la OII y la INALI la revisan. Concluidas las revisiones, la Comisión de Gobierno de IA eleva la EIA al CGTD para su aprobación conforme al numeral 6.4.1.</w:t>
      </w:r>
    </w:p>
    <w:p w14:paraId="7F4B9BD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6.4.3</w:t>
      </w:r>
      <w:r>
        <w:rPr>
          <w:rFonts w:ascii="Arial" w:eastAsia="Arial" w:hAnsi="Arial" w:cs="Arial"/>
          <w:color w:val="000000"/>
        </w:rPr>
        <w:tab/>
        <w:t>La Comisión de Gobierno de IA coordina la actualización de la EIA cuando se produzcan cambios significativos en el SBIA, datos o contexto de aplicación.</w:t>
      </w:r>
    </w:p>
    <w:p w14:paraId="12A62F0C"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sidRPr="00553A03">
        <w:rPr>
          <w:rFonts w:ascii="Arial" w:eastAsia="Arial" w:hAnsi="Arial" w:cs="Arial"/>
          <w:color w:val="000000"/>
          <w:highlight w:val="green"/>
        </w:rPr>
        <w:t>6.5.1</w:t>
      </w:r>
      <w:r w:rsidRPr="00553A03">
        <w:rPr>
          <w:rFonts w:ascii="Arial" w:eastAsia="Arial" w:hAnsi="Arial" w:cs="Arial"/>
          <w:color w:val="000000"/>
          <w:highlight w:val="green"/>
        </w:rPr>
        <w:tab/>
      </w:r>
      <w:r w:rsidR="00553A03" w:rsidRPr="00553A03">
        <w:rPr>
          <w:rFonts w:ascii="Arial" w:eastAsia="Arial" w:hAnsi="Arial" w:cs="Arial"/>
          <w:color w:val="000000"/>
          <w:highlight w:val="green"/>
        </w:rPr>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50D4E29B" w:rsidR="00E67A73" w:rsidRDefault="00000000">
      <w:pPr>
        <w:spacing w:after="60" w:line="276" w:lineRule="auto"/>
        <w:ind w:left="1276" w:hanging="720"/>
        <w:jc w:val="both"/>
        <w:rPr>
          <w:rFonts w:ascii="Arial" w:eastAsia="Arial" w:hAnsi="Arial" w:cs="Arial"/>
          <w:color w:val="000000"/>
        </w:rPr>
      </w:pPr>
      <w:r w:rsidRPr="0045319E">
        <w:rPr>
          <w:rFonts w:ascii="Arial" w:eastAsia="Arial" w:hAnsi="Arial" w:cs="Arial"/>
          <w:color w:val="000000"/>
          <w:highlight w:val="green"/>
        </w:rPr>
        <w:t>6.5.2</w:t>
      </w:r>
      <w:r w:rsidRPr="0045319E">
        <w:rPr>
          <w:rFonts w:ascii="Arial" w:eastAsia="Arial" w:hAnsi="Arial" w:cs="Arial"/>
          <w:color w:val="000000"/>
          <w:highlight w:val="green"/>
        </w:rPr>
        <w:tab/>
      </w:r>
      <w:r w:rsidR="0045319E" w:rsidRPr="0045319E">
        <w:rPr>
          <w:rFonts w:ascii="Arial" w:eastAsia="Arial" w:hAnsi="Arial" w:cs="Arial"/>
          <w:color w:val="000000"/>
          <w:highlight w:val="green"/>
        </w:rPr>
        <w:t>El desarrollo, la adquisición y la adecuación del software de los SBIA se sujetan a las disposiciones y a los estándares técnicos sobre procesos del ciclo de vida del software aplicables a las entidades de la Administración Pública, conforme a la normatividad vigente.</w:t>
      </w:r>
      <w:r w:rsidRPr="0045319E">
        <w:rPr>
          <w:rStyle w:val="Refdenotaalpie"/>
          <w:highlight w:val="green"/>
        </w:rPr>
        <w:footnoteReference w:id="2"/>
      </w:r>
    </w:p>
    <w:p w14:paraId="7407794D" w14:textId="7928FBA5" w:rsidR="00EE0817" w:rsidRDefault="00EE0817" w:rsidP="005C3A70">
      <w:pPr>
        <w:spacing w:after="60" w:line="276" w:lineRule="auto"/>
        <w:ind w:left="1276" w:hanging="720"/>
        <w:jc w:val="both"/>
        <w:rPr>
          <w:rFonts w:ascii="Arial" w:eastAsia="Arial" w:hAnsi="Arial" w:cs="Arial"/>
          <w:color w:val="000000"/>
        </w:rPr>
      </w:pPr>
      <w:r w:rsidRPr="00EE0817">
        <w:rPr>
          <w:rFonts w:ascii="Arial" w:eastAsia="Arial" w:hAnsi="Arial" w:cs="Arial"/>
          <w:color w:val="000000"/>
          <w:highlight w:val="green"/>
        </w:rPr>
        <w:lastRenderedPageBreak/>
        <w:t>6.5.3</w:t>
      </w:r>
      <w:r w:rsidRPr="00EE0817">
        <w:rPr>
          <w:rFonts w:ascii="Arial" w:eastAsia="Arial" w:hAnsi="Arial" w:cs="Arial"/>
          <w:color w:val="000000"/>
          <w:highlight w:val="green"/>
        </w:rPr>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r w:rsidRPr="00EE0817">
        <w:rPr>
          <w:rFonts w:ascii="Arial" w:eastAsia="Arial" w:hAnsi="Arial" w:cs="Arial"/>
          <w:color w:val="000000"/>
          <w:highlight w:val="green"/>
        </w:rPr>
        <w:t>agenticos</w:t>
      </w:r>
      <w:r w:rsidRPr="00EE0817">
        <w:rPr>
          <w:rFonts w:ascii="Arial" w:eastAsia="Arial" w:hAnsi="Arial" w:cs="Arial"/>
          <w:color w:val="000000"/>
          <w:highlight w:val="green"/>
        </w:rPr>
        <w:t>,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sidRPr="00553A03">
        <w:rPr>
          <w:rFonts w:ascii="Arial" w:eastAsia="Arial" w:hAnsi="Arial" w:cs="Arial"/>
          <w:color w:val="000000"/>
          <w:highlight w:val="green"/>
        </w:rPr>
        <w:t xml:space="preserve">6.5.4   </w:t>
      </w:r>
      <w:r w:rsidR="00553A03" w:rsidRPr="00553A03">
        <w:rPr>
          <w:rFonts w:ascii="Arial" w:eastAsia="Arial" w:hAnsi="Arial" w:cs="Arial"/>
          <w:color w:val="000000"/>
          <w:highlight w:val="green"/>
        </w:rPr>
        <w:t>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w:t>
      </w:r>
      <w:r w:rsidRPr="00553A03">
        <w:rPr>
          <w:rFonts w:ascii="Arial" w:eastAsia="Arial" w:hAnsi="Arial" w:cs="Arial"/>
          <w:color w:val="000000"/>
          <w:highlight w:val="green"/>
        </w:rPr>
        <w:t xml:space="preserve">. </w:t>
      </w:r>
      <w:r w:rsidRPr="005C3A70">
        <w:rPr>
          <w:rFonts w:ascii="Arial" w:eastAsia="Arial" w:hAnsi="Arial" w:cs="Arial"/>
          <w:color w:val="000000"/>
          <w:highlight w:val="lightGray"/>
        </w:rPr>
        <w:t>Los requisitos derivados del nivel de riesgo aprobado, incluidos los mecanismos de supervisión humana, explicabilidad y trazabilidad, se incorporan como requisitos no funcionales de la solución.</w:t>
      </w:r>
    </w:p>
    <w:p w14:paraId="7887CA88" w14:textId="093D0210" w:rsidR="003173B4" w:rsidRPr="003173B4" w:rsidRDefault="003173B4" w:rsidP="003173B4">
      <w:pPr>
        <w:spacing w:after="60" w:line="276" w:lineRule="auto"/>
        <w:ind w:left="1276" w:hanging="720"/>
        <w:jc w:val="both"/>
        <w:rPr>
          <w:rFonts w:ascii="Arial" w:eastAsia="Arial" w:hAnsi="Arial" w:cs="Arial"/>
          <w:color w:val="000000"/>
          <w:highlight w:val="green"/>
        </w:rPr>
      </w:pPr>
      <w:r w:rsidRPr="003173B4">
        <w:rPr>
          <w:rFonts w:ascii="Arial" w:eastAsia="Arial" w:hAnsi="Arial" w:cs="Arial"/>
          <w:color w:val="000000"/>
          <w:highlight w:val="green"/>
        </w:rPr>
        <w:t>6.5.5</w:t>
      </w:r>
      <w:r w:rsidRPr="003173B4">
        <w:rPr>
          <w:rFonts w:ascii="Arial" w:eastAsia="Arial" w:hAnsi="Arial" w:cs="Arial"/>
          <w:color w:val="000000"/>
          <w:highlight w:val="green"/>
        </w:rPr>
        <w:tab/>
        <w:t xml:space="preserve">Los SBIA que ejecuten acciones sobre sistemas, datos o procesos con algún grado de autonomía incorporan mecanismos de autorización, restricción y registro de dichas acciones, proporcionales al nivel de riesgo aprobado y al grado de autonomía asignado. </w:t>
      </w:r>
      <w:r w:rsidR="00553A03" w:rsidRPr="00553A03">
        <w:rPr>
          <w:rFonts w:ascii="Arial" w:eastAsia="Arial" w:hAnsi="Arial" w:cs="Arial"/>
          <w:color w:val="000000"/>
          <w:highlight w:val="green"/>
        </w:rPr>
        <w:t>El propietario del caso de uso define el alcance de las acciones autorizadas; la División de Arquitectura competente según la materia verifica su implementación antes del despliegue</w:t>
      </w:r>
      <w:r w:rsidR="00553A03">
        <w:rPr>
          <w:rFonts w:ascii="Arial" w:eastAsia="Arial" w:hAnsi="Arial" w:cs="Arial"/>
          <w:color w:val="000000"/>
          <w:highlight w:val="green"/>
        </w:rPr>
        <w:t>.</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sidRPr="003173B4">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sidRPr="003173B4">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sidRPr="005C3A70">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F04C0CC" w14:textId="68189DCF" w:rsidR="005C3A70" w:rsidRDefault="005C3A70" w:rsidP="005C3A70">
      <w:pPr>
        <w:spacing w:after="60" w:line="276" w:lineRule="auto"/>
        <w:ind w:left="1276" w:hanging="720"/>
        <w:jc w:val="both"/>
        <w:rPr>
          <w:rFonts w:ascii="Arial" w:eastAsia="Arial" w:hAnsi="Arial" w:cs="Arial"/>
          <w:color w:val="000000"/>
        </w:rPr>
      </w:pPr>
      <w:r w:rsidRPr="005C3A70">
        <w:rPr>
          <w:rFonts w:ascii="Arial" w:eastAsia="Arial" w:hAnsi="Arial" w:cs="Arial"/>
          <w:color w:val="000000"/>
          <w:highlight w:val="lightGray"/>
        </w:rPr>
        <w:t xml:space="preserve">6.5.7   La publicación del código fuente de los SBIA financiados con fondos públicos, con licencia libre o abierta en la Plataforma Nacional de Software Público Peruano (PNSSP), se sujeta a la determinación previa de su publicabilidad. Dicha determinación verifica que el código no revele información sujeta a reserva tributaria conforme al artículo 85 del TUO del Código Tributario, ni </w:t>
      </w:r>
      <w:r w:rsidRPr="005C3A70">
        <w:rPr>
          <w:rFonts w:ascii="Arial" w:eastAsia="Arial" w:hAnsi="Arial" w:cs="Arial"/>
          <w:color w:val="000000"/>
          <w:highlight w:val="lightGray"/>
        </w:rPr>
        <w:lastRenderedPageBreak/>
        <w:t xml:space="preserve">reglas de detección de riesgo cuya divulgación comprometa la función de control. La GA, con opinión de la INALI y de la Oficina de Seguridad Informática, determina la publicabilidad antes de cada liberación mayor; la GDS ejecuta la publicación cuando corresponda. </w:t>
      </w:r>
      <w:r w:rsidR="000F31A1" w:rsidRPr="000F31A1">
        <w:rPr>
          <w:rFonts w:ascii="Arial" w:eastAsia="Arial" w:hAnsi="Arial" w:cs="Arial"/>
          <w:color w:val="000000"/>
          <w:highlight w:val="green"/>
        </w:rPr>
        <w:t>Cuando la determinación comprenda el sentido y el alcance de las normas tributarias o aduaneras, la INALI recaba la opinión de la Intendencia Nacional Jurídico Tributaria o de la Intendencia Nacional Jurídico Aduanera, según la materia.</w:t>
      </w:r>
    </w:p>
    <w:p w14:paraId="1268A681" w14:textId="4236F59F" w:rsidR="003173B4" w:rsidRDefault="003173B4" w:rsidP="005C3A70">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w:t>
      </w:r>
      <w:r w:rsidR="007216B6" w:rsidRPr="007216B6">
        <w:rPr>
          <w:rFonts w:ascii="Arial" w:eastAsia="Arial" w:hAnsi="Arial" w:cs="Arial"/>
          <w:color w:val="000000"/>
          <w:highlight w:val="green"/>
        </w:rPr>
        <w:t>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r>
      <w:r>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sidRPr="00D37B6E">
        <w:rPr>
          <w:rFonts w:ascii="Arial" w:eastAsia="Arial" w:hAnsi="Arial" w:cs="Arial"/>
          <w:color w:val="000000"/>
          <w:highlight w:val="green"/>
        </w:rPr>
        <w:t>6.6.1</w:t>
      </w:r>
      <w:r w:rsidRPr="00D37B6E">
        <w:rPr>
          <w:rFonts w:ascii="Arial" w:eastAsia="Arial" w:hAnsi="Arial" w:cs="Arial"/>
          <w:color w:val="000000"/>
          <w:highlight w:val="green"/>
        </w:rPr>
        <w:tab/>
      </w:r>
      <w:r w:rsidR="00D37B6E" w:rsidRPr="00D37B6E">
        <w:rPr>
          <w:rFonts w:ascii="Arial" w:eastAsia="Arial" w:hAnsi="Arial" w:cs="Arial"/>
          <w:color w:val="000000"/>
          <w:highlight w:val="green"/>
        </w:rPr>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sidRPr="00790E37">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conforme a la clasificación de riesgo aprobada según el numeral 6.2.2. Dicha definición se documenta en la Ficha de Registro del SBIA (Anexo N.° 1) y en la EIA cuando corresponda, y requiere conformidad de la Comisión de Gobierno de IA previo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6.6.3</w:t>
      </w:r>
      <w:r>
        <w:rPr>
          <w:rFonts w:ascii="Arial" w:eastAsia="Arial" w:hAnsi="Arial" w:cs="Arial"/>
          <w:color w:val="000000"/>
        </w:rPr>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3"/>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28214F8E" w:rsidR="002555BF" w:rsidRPr="002555BF" w:rsidRDefault="002555BF">
      <w:pPr>
        <w:pStyle w:val="Prrafodelista"/>
        <w:numPr>
          <w:ilvl w:val="0"/>
          <w:numId w:val="4"/>
        </w:numPr>
        <w:spacing w:after="40" w:line="276" w:lineRule="auto"/>
        <w:ind w:left="1701"/>
        <w:rPr>
          <w:b w:val="0"/>
          <w:bCs w:val="0"/>
          <w:highlight w:val="green"/>
        </w:rPr>
      </w:pPr>
      <w:r w:rsidRPr="002555BF">
        <w:rPr>
          <w:b w:val="0"/>
          <w:bCs w:val="0"/>
          <w:highlight w:val="green"/>
        </w:rPr>
        <w:t>El cumplimiento de estas condiciones es verificado por el propietario del caso de uso como condición previa al despliegue del SBIA y consta en la Ficha de Registro del SBIA (Anexo N.° 1). La capacitación específica sobre el sistema supervisado es provista por el propietario del caso de uso, sin perjuicio de las acciones formativas de alcance institucional previstas en el numeral 6.13.2.</w:t>
      </w:r>
    </w:p>
    <w:p w14:paraId="76603A3D" w14:textId="1F92F900"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yellow"/>
        </w:rPr>
        <w:t>Política de Uso Seguro, Responsable y Ético de los SBIA</w:t>
      </w:r>
      <w:r>
        <w:rPr>
          <w:rFonts w:ascii="Arial" w:eastAsia="Arial" w:hAnsi="Arial" w:cs="Arial"/>
          <w:color w:val="000000"/>
        </w:rPr>
        <w:t xml:space="preserve">. </w:t>
      </w:r>
      <w:r w:rsidR="00736724" w:rsidRPr="00736724">
        <w:rPr>
          <w:rFonts w:ascii="Arial" w:eastAsia="Arial" w:hAnsi="Arial" w:cs="Arial"/>
          <w:color w:val="000000"/>
          <w:highlight w:val="green"/>
        </w:rPr>
        <w:t>La Comisión de Gobierno de IA verifica la implementación de estas medidas en el hito de aprobación previo al despliegue, conforme al numeral 6.1.2.</w:t>
      </w:r>
    </w:p>
    <w:p w14:paraId="57F9E2B1" w14:textId="77777777" w:rsidR="00863A18" w:rsidRPr="00923C59" w:rsidRDefault="00863A18" w:rsidP="00B23382">
      <w:pPr>
        <w:pStyle w:val="SubtituloDONI"/>
        <w:spacing w:line="276" w:lineRule="auto"/>
        <w:ind w:left="851"/>
      </w:pPr>
      <w:r>
        <w:t>6.7</w:t>
      </w:r>
      <w:r>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sidRPr="008776A6">
        <w:rPr>
          <w:rFonts w:ascii="Arial" w:eastAsia="Arial" w:hAnsi="Arial" w:cs="Arial"/>
          <w:color w:val="000000"/>
          <w:highlight w:val="green"/>
        </w:rPr>
        <w:t>6.7.1</w:t>
      </w:r>
      <w:r w:rsidRPr="008776A6">
        <w:rPr>
          <w:rFonts w:ascii="Arial" w:eastAsia="Arial" w:hAnsi="Arial" w:cs="Arial"/>
          <w:color w:val="000000"/>
          <w:highlight w:val="green"/>
        </w:rPr>
        <w:tab/>
      </w:r>
      <w:r w:rsidR="008776A6" w:rsidRPr="008776A6">
        <w:rPr>
          <w:rFonts w:ascii="Arial" w:eastAsia="Arial" w:hAnsi="Arial" w:cs="Arial"/>
          <w:color w:val="000000"/>
          <w:highlight w:val="green"/>
        </w:rPr>
        <w:t xml:space="preserve">Los SBIA cumplen la Política de Seguridad de la Información (SGSI-PO-01) y el Manual de Políticas del Sistema de Gestión de Seguridad de la Información (SGSI-MA-03) de la SUNAT, en sus versiones vigentes, que </w:t>
      </w:r>
      <w:proofErr w:type="gramStart"/>
      <w:r w:rsidR="008776A6" w:rsidRPr="008776A6">
        <w:rPr>
          <w:rFonts w:ascii="Arial" w:eastAsia="Arial" w:hAnsi="Arial" w:cs="Arial"/>
          <w:color w:val="000000"/>
          <w:highlight w:val="green"/>
        </w:rPr>
        <w:t>son de aplicación</w:t>
      </w:r>
      <w:proofErr w:type="gramEnd"/>
      <w:r w:rsidR="008776A6" w:rsidRPr="008776A6">
        <w:rPr>
          <w:rFonts w:ascii="Arial" w:eastAsia="Arial" w:hAnsi="Arial" w:cs="Arial"/>
          <w:color w:val="000000"/>
          <w:highlight w:val="green"/>
        </w:rPr>
        <w:t xml:space="preserve">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0CE98CBE" w:rsidR="000153F0" w:rsidRDefault="00000000">
      <w:pPr>
        <w:spacing w:after="60" w:line="276" w:lineRule="auto"/>
        <w:ind w:left="1276" w:hanging="720"/>
        <w:jc w:val="both"/>
        <w:rPr>
          <w:rFonts w:ascii="Arial" w:eastAsia="Arial" w:hAnsi="Arial" w:cs="Arial"/>
          <w:color w:val="000000"/>
        </w:rPr>
      </w:pPr>
      <w:r w:rsidRPr="00CE10DF">
        <w:rPr>
          <w:rFonts w:ascii="Arial" w:eastAsia="Arial" w:hAnsi="Arial" w:cs="Arial"/>
          <w:color w:val="000000"/>
          <w:highlight w:val="green"/>
        </w:rPr>
        <w:t>6.7.2</w:t>
      </w:r>
      <w:r w:rsidRPr="00CE10DF">
        <w:rPr>
          <w:rFonts w:ascii="Arial" w:eastAsia="Arial" w:hAnsi="Arial" w:cs="Arial"/>
          <w:color w:val="000000"/>
          <w:highlight w:val="green"/>
        </w:rPr>
        <w:tab/>
      </w:r>
      <w:r w:rsidR="00CE10DF" w:rsidRPr="00CE10DF">
        <w:rPr>
          <w:rFonts w:ascii="Arial" w:eastAsia="Arial" w:hAnsi="Arial" w:cs="Arial"/>
          <w:color w:val="000000"/>
          <w:highlight w:val="green"/>
        </w:rPr>
        <w:t>Para los SBIA de riesgo alto y para los SBIA de riesgo aceptable que interactúen directamente con el administrado, incorporen componentes generativos o procesen datos personales o información sujeta a reserva tributaria, se requiere como mínimo:</w:t>
      </w:r>
      <w:r w:rsidR="00CE10DF">
        <w:rPr>
          <w:rFonts w:ascii="Arial" w:eastAsia="Arial" w:hAnsi="Arial" w:cs="Arial"/>
          <w:color w:val="000000"/>
        </w:rPr>
        <w:t xml:space="preserve"> </w:t>
      </w:r>
      <w:r>
        <w:rPr>
          <w:rFonts w:ascii="Arial" w:eastAsia="Arial" w:hAnsi="Arial" w:cs="Arial"/>
          <w:color w:val="000000"/>
          <w:highlight w:val="yellow"/>
        </w:rPr>
        <w:t>controles de contención (guardrails) de entrada y salida; controles de acceso basados en roles (RBAC); registro inmutable de auditoría (logs) de todas las interacciones; evaluación de vulnerabilidades conforme al OWASP Top 10 para aplicaciones LLM;</w:t>
      </w:r>
      <w:r w:rsidRPr="001F1383">
        <w:rPr>
          <w:rFonts w:ascii="Arial" w:eastAsia="Arial" w:hAnsi="Arial" w:cs="Arial"/>
          <w:color w:val="000000"/>
          <w:highlight w:val="green"/>
        </w:rPr>
        <w:t xml:space="preserve"> </w:t>
      </w:r>
      <w:r w:rsidR="001F1383" w:rsidRPr="001F1383">
        <w:rPr>
          <w:rFonts w:ascii="Arial" w:eastAsia="Arial" w:hAnsi="Arial" w:cs="Arial"/>
          <w:color w:val="000000"/>
          <w:highlight w:val="green"/>
        </w:rPr>
        <w:t>red teaming de los SBIA de riesgo alto, previo a su despliegue y con la periodicidad que establezca el documento normativo del numeral 6.7.7</w:t>
      </w:r>
      <w:r>
        <w:rPr>
          <w:rFonts w:ascii="Arial" w:eastAsia="Arial" w:hAnsi="Arial" w:cs="Arial"/>
          <w:color w:val="000000"/>
          <w:highlight w:val="yellow"/>
        </w:rPr>
        <w:t xml:space="preserve">; y anonimización o </w:t>
      </w:r>
      <w:r>
        <w:rPr>
          <w:rFonts w:ascii="Arial" w:eastAsia="Arial" w:hAnsi="Arial" w:cs="Arial"/>
          <w:color w:val="000000"/>
          <w:highlight w:val="yellow"/>
        </w:rPr>
        <w:lastRenderedPageBreak/>
        <w:t>seudonimización de datos personales antes del procesamiento. 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sidR="00236A5F" w:rsidRPr="00236A5F">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sidRPr="00975D3B">
        <w:rPr>
          <w:rFonts w:ascii="Arial" w:eastAsia="Arial" w:hAnsi="Arial" w:cs="Arial"/>
          <w:color w:val="000000"/>
          <w:highlight w:val="green"/>
        </w:rPr>
        <w:t xml:space="preserve"> </w:t>
      </w:r>
      <w:r w:rsidR="00CE10DF" w:rsidRPr="00CE10DF">
        <w:rPr>
          <w:rFonts w:ascii="Arial" w:eastAsia="Arial" w:hAnsi="Arial" w:cs="Arial"/>
          <w:color w:val="000000"/>
          <w:highlight w:val="green"/>
        </w:rPr>
        <w:t>Los controles reforzados del numeral 6.7.2 aplican adicionalmente conforme al alcance previsto en dicho numeral.</w:t>
      </w:r>
    </w:p>
    <w:p w14:paraId="2EFB00D1"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4"/>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El propietario del caso de uso y las gerencias competentes de la INSI comunican los incidentes del uso y funcionamiento del SBIA por los canales que dichos procedimientos establecen; la Comisión de Gobierno de IA los consolida y los reporta en el informe trimestral del numeral 6.9.5.</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5"/>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sidRPr="00AF13D8">
        <w:rPr>
          <w:rFonts w:ascii="Arial" w:eastAsia="Arial" w:hAnsi="Arial" w:cs="Arial"/>
          <w:color w:val="000000"/>
          <w:highlight w:val="green"/>
        </w:rPr>
        <w:t>6.7.7</w:t>
      </w:r>
      <w:r w:rsidRPr="00AF13D8">
        <w:rPr>
          <w:rFonts w:ascii="Arial" w:eastAsia="Arial" w:hAnsi="Arial" w:cs="Arial"/>
          <w:color w:val="000000"/>
          <w:highlight w:val="green"/>
        </w:rPr>
        <w:tab/>
      </w:r>
      <w:r w:rsidR="00AF13D8" w:rsidRPr="00AF13D8">
        <w:rPr>
          <w:rFonts w:ascii="Arial" w:eastAsia="Arial" w:hAnsi="Arial" w:cs="Arial"/>
          <w:color w:val="000000"/>
          <w:highlight w:val="green"/>
        </w:rPr>
        <w:t>La Oficina de Seguridad Informática elabora y propone el documento normativo de seguridad</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informática para SBIA, que desarrolla la forma de implementar y verificar los controles del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 xml:space="preserve">numeral 6.7.2 y la periodicidad de las pruebas de </w:t>
      </w:r>
      <w:r w:rsidR="00AF13D8" w:rsidRPr="00AF13D8">
        <w:rPr>
          <w:rFonts w:ascii="Arial" w:eastAsia="Arial" w:hAnsi="Arial" w:cs="Arial"/>
          <w:color w:val="000000"/>
          <w:highlight w:val="green"/>
        </w:rPr>
        <w:lastRenderedPageBreak/>
        <w:t>vulnerabilidad y del red teaming, conforme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al artículo 106, literales a) y c), del ROF</w:t>
      </w:r>
      <w:r w:rsidR="00366BA4">
        <w:rPr>
          <w:rFonts w:ascii="Arial" w:eastAsia="Arial" w:hAnsi="Arial" w:cs="Arial"/>
          <w:color w:val="000000"/>
          <w:highlight w:val="green"/>
        </w:rPr>
        <w:t xml:space="preserve">. Su </w:t>
      </w:r>
      <w:r w:rsidR="005D216F" w:rsidRPr="005D216F">
        <w:rPr>
          <w:rFonts w:ascii="Arial" w:eastAsia="Arial" w:hAnsi="Arial" w:cs="Arial"/>
          <w:color w:val="000000"/>
          <w:highlight w:val="green"/>
        </w:rPr>
        <w:t>aprobación se efectúa conforme al numeral 7.6.</w:t>
      </w:r>
      <w:r w:rsidR="00AF13D8">
        <w:rPr>
          <w:rFonts w:ascii="Arial" w:eastAsia="Arial" w:hAnsi="Arial" w:cs="Arial"/>
          <w:color w:val="000000"/>
          <w:highlight w:val="green"/>
        </w:rPr>
        <w:t xml:space="preserve">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proofErr w:type="gramStart"/>
      <w:r w:rsidRPr="00AF13D8">
        <w:rPr>
          <w:rFonts w:ascii="Arial" w:eastAsia="Arial" w:hAnsi="Arial" w:cs="Arial"/>
          <w:color w:val="000000"/>
          <w:highlight w:val="green"/>
        </w:rPr>
        <w:t xml:space="preserve">6.7.8 </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El</w:t>
      </w:r>
      <w:proofErr w:type="gramEnd"/>
      <w:r w:rsidR="00AF13D8" w:rsidRPr="00AF13D8">
        <w:rPr>
          <w:rFonts w:ascii="Arial" w:eastAsia="Arial" w:hAnsi="Arial" w:cs="Arial"/>
          <w:color w:val="000000"/>
          <w:highlight w:val="green"/>
        </w:rPr>
        <w:t xml:space="preserve"> propietario del caso de uso, con el custodio técnico del SBIA, define el tratamiento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conservación y eliminación de las instrucciones (prompt), respuestas, contextos,</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representaciones vectoriales (embeddings), registros de interacción y demás información que el</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SBIA genere o procese durante su operación. El plazo de conservación se determina en función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del nivel de riesgo del SBIA, del valor probatorio de la información, de su sensibilidad y de</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los requisitos de auditoría aplicables, y observa la normativa institucional de gestión</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documental y archivo que resulte aplicable. La conservación, el acceso y el uso de dicha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información observan la reserva tributaria conforme al artículo 85 del TUO del Código</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Tributario y la normativa sobre protección de datos personales. El respaldo de la</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infraestructura tecnológica en la que reside dicha información, así como la custodia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disponibilidad de los medios correspondientes, están a cargo de la División de Soporte y</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Operación de la Infraestructura Tecnológica, conforme al literal b) del artículo 138 del ROF,</w:t>
      </w:r>
      <w:r w:rsidR="00AF13D8" w:rsidRPr="00AF13D8">
        <w:rPr>
          <w:rFonts w:ascii="Arial" w:eastAsia="Arial" w:hAnsi="Arial" w:cs="Arial"/>
          <w:color w:val="000000"/>
          <w:highlight w:val="green"/>
        </w:rPr>
        <w:t xml:space="preserve"> </w:t>
      </w:r>
      <w:r w:rsidR="00AF13D8" w:rsidRPr="00AF13D8">
        <w:rPr>
          <w:rFonts w:ascii="Arial" w:eastAsia="Arial" w:hAnsi="Arial" w:cs="Arial"/>
          <w:color w:val="000000"/>
          <w:highlight w:val="green"/>
        </w:rPr>
        <w:t>y observan lo dispuesto en el numeral 6.7.1.</w:t>
      </w:r>
    </w:p>
    <w:p w14:paraId="36612602" w14:textId="22353745" w:rsidR="00931E16" w:rsidRDefault="00931E16" w:rsidP="00AF13D8">
      <w:pPr>
        <w:pStyle w:val="SubtituloDONI"/>
        <w:spacing w:line="276" w:lineRule="auto"/>
        <w:ind w:left="851"/>
      </w:pPr>
      <w:r w:rsidRPr="00AF13D8">
        <w:t>6.8</w:t>
      </w:r>
      <w:r w:rsidRPr="00AF13D8">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6"/>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7"/>
      </w:r>
      <w:r>
        <w:rPr>
          <w:rFonts w:ascii="Arial" w:eastAsia="Arial" w:hAnsi="Arial" w:cs="Arial"/>
          <w:color w:val="000000"/>
          <w:highlight w:val="yellow"/>
        </w:rPr>
        <w:t xml:space="preserve"> y asegura su calidad e integridad</w:t>
      </w:r>
      <w:r>
        <w:rPr>
          <w:rStyle w:val="Refdenotaalpie"/>
        </w:rPr>
        <w:footnoteReference w:id="8"/>
      </w:r>
      <w:r>
        <w:rPr>
          <w:rFonts w:ascii="Arial" w:eastAsia="Arial" w:hAnsi="Arial" w:cs="Arial"/>
          <w:color w:val="000000"/>
          <w:highlight w:val="yellow"/>
        </w:rPr>
        <w:t>. Emite opinión sobre el uso de datos en la Ficha de Evaluación de Caso de Uso (Anexo N.° 4) y en la EIA, cuando corresponda.</w:t>
      </w:r>
    </w:p>
    <w:p w14:paraId="35456B5D" w14:textId="77777777" w:rsidR="00863A18" w:rsidRPr="001609F8" w:rsidRDefault="00931E16" w:rsidP="001609F8">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6.8.3</w:t>
      </w:r>
      <w:r>
        <w:rPr>
          <w:rFonts w:ascii="Arial" w:eastAsia="Arial" w:hAnsi="Arial" w:cs="Arial"/>
          <w:color w:val="000000"/>
          <w:highlight w:val="yellow"/>
        </w:rPr>
        <w:tab/>
        <w:t>El uso de datos protegidos por la reserva tributaria para el desarrollo, entrenamiento o validación de un SBIA requiere la determinación previa de su base legal, conforme al artículo 85 del TUO del Código Tributario. Los datos personales se tratan conforme a la Ley N.° 29733. La procedencia y la base legal de uso se documentan en la Ficha de Registro de SBIA (Anexo N.° 1).</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9"/>
      </w:r>
      <w:r>
        <w:rPr>
          <w:rFonts w:ascii="Arial" w:eastAsia="Arial" w:hAnsi="Arial" w:cs="Arial"/>
          <w:color w:val="000000"/>
          <w:highlight w:val="yellow"/>
        </w:rPr>
        <w:t>.</w:t>
      </w:r>
    </w:p>
    <w:p w14:paraId="3EFB2EA4" w14:textId="10629990"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sidRPr="00E207DD">
        <w:rPr>
          <w:rFonts w:ascii="Arial" w:eastAsia="Arial" w:hAnsi="Arial" w:cs="Arial"/>
          <w:color w:val="000000"/>
          <w:highlight w:val="green"/>
        </w:rPr>
        <w:t xml:space="preserve">6.8.5   </w:t>
      </w:r>
      <w:r w:rsidR="00E207DD" w:rsidRPr="00E207DD">
        <w:rPr>
          <w:rFonts w:ascii="Arial" w:eastAsia="Arial" w:hAnsi="Arial" w:cs="Arial"/>
          <w:color w:val="000000"/>
          <w:highlight w:val="green"/>
        </w:rPr>
        <w:t>Los conjuntos de datos que la SUNAT genere o administre y que califiquen como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se ponen a disposición a través del Centro Nacional de Datos (CND), conforme al numeral</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28.7 del artículo 28 del Reglamento. La </w:t>
      </w:r>
      <w:r w:rsidR="00E207DD" w:rsidRPr="00E207DD">
        <w:rPr>
          <w:rFonts w:ascii="Arial" w:eastAsia="Arial" w:hAnsi="Arial" w:cs="Arial"/>
          <w:color w:val="000000"/>
          <w:highlight w:val="green"/>
        </w:rPr>
        <w:lastRenderedPageBreak/>
        <w:t>calificación se efectúa conforme a los lineamientos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nacionales para la identificación de Datos de Alto Valor que emita la SGTD en aplicación de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Estrategia Nacional de Gobierno de Datos; en tanto no se emitan, el OGD aplica los criterios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de priorización que dicha Estrategia enuncia para la publicación obligatoria de Datos de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Valor: carácter estratégico, interés nacional, planificación y gestión territorial o alto</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impacto social. El OGD identifica anualmente los conjuntos candidatos, determina su</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publicabilidad y propone al CGTD su publicación. La determinación de publicabilidad aplica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reserva tributaria conforme al artículo 85 del TUO del Código Tributario, incluidas sus</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 xml:space="preserve">excepciones expresas </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entre ellas la publicación de datos estadísticos de carácter global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 permita la individualización de declaraciones, informaciones, cuentas o personas</w:t>
      </w:r>
      <w:r w:rsidR="00E207DD" w:rsidRPr="00E207DD">
        <w:rPr>
          <w:rFonts w:ascii="Arial" w:eastAsia="Arial" w:hAnsi="Arial" w:cs="Arial"/>
          <w:color w:val="000000"/>
          <w:highlight w:val="green"/>
        </w:rPr>
        <w:t>)</w:t>
      </w:r>
      <w:r w:rsidR="00E207DD" w:rsidRPr="00E207DD">
        <w:rPr>
          <w:rFonts w:ascii="Arial" w:eastAsia="Arial" w:hAnsi="Arial" w:cs="Arial"/>
          <w:color w:val="000000"/>
          <w:highlight w:val="green"/>
        </w:rPr>
        <w:t>, y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normativa sobre protección de datos personales. Cuando un conjunto no resulte publicable,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justificación legal de la restricción consta igualmente en el acuerdo del CGTD. Aprobada la</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publicación, el OGD coordina la puesta a disposición con la unidad de organización que</w:t>
      </w:r>
      <w:r w:rsidR="00E207DD" w:rsidRPr="00E207DD">
        <w:rPr>
          <w:rFonts w:ascii="Arial" w:eastAsia="Arial" w:hAnsi="Arial" w:cs="Arial"/>
          <w:color w:val="000000"/>
          <w:highlight w:val="green"/>
        </w:rPr>
        <w:t xml:space="preserve"> </w:t>
      </w:r>
      <w:r w:rsidR="00E207DD" w:rsidRPr="00E207DD">
        <w:rPr>
          <w:rFonts w:ascii="Arial" w:eastAsia="Arial" w:hAnsi="Arial" w:cs="Arial"/>
          <w:color w:val="000000"/>
          <w:highlight w:val="green"/>
        </w:rPr>
        <w:t>administra el conjunto.</w:t>
      </w:r>
    </w:p>
    <w:p w14:paraId="6FEA09F8" w14:textId="30858903" w:rsidR="00670027" w:rsidRDefault="00670027" w:rsidP="005C3A70">
      <w:pPr>
        <w:tabs>
          <w:tab w:val="left" w:pos="1418"/>
        </w:tabs>
        <w:spacing w:after="60" w:line="276" w:lineRule="auto"/>
        <w:ind w:left="1276" w:hanging="709"/>
        <w:jc w:val="both"/>
        <w:rPr>
          <w:rFonts w:ascii="Arial" w:eastAsia="Arial" w:hAnsi="Arial" w:cs="Arial"/>
          <w:color w:val="000000"/>
          <w:highlight w:val="lightGray"/>
        </w:rPr>
      </w:pPr>
      <w:r w:rsidRPr="00670027">
        <w:rPr>
          <w:rFonts w:ascii="Arial" w:eastAsia="Arial" w:hAnsi="Arial" w:cs="Arial"/>
          <w:color w:val="000000"/>
          <w:highlight w:val="lightGray"/>
        </w:rPr>
        <w:t>6.8.6   Los SBIA se construyen sobre conjuntos de datos certificados conforme a la normativa institucional de gobernanza de datos y analítica, cuando estos existan para la materia. El uso de fuentes no certificadas se justifica en la Ficha de Evaluación de Caso de Uso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4) y consta en la Ficha de Registro de SBIA (Anexo N</w:t>
      </w:r>
      <w:r>
        <w:rPr>
          <w:rFonts w:ascii="Arial" w:eastAsia="Arial" w:hAnsi="Arial" w:cs="Arial"/>
          <w:color w:val="000000"/>
          <w:highlight w:val="lightGray"/>
        </w:rPr>
        <w:t>°</w:t>
      </w:r>
      <w:r w:rsidRPr="00670027">
        <w:rPr>
          <w:rFonts w:ascii="Arial" w:eastAsia="Arial" w:hAnsi="Arial" w:cs="Arial"/>
          <w:color w:val="000000"/>
          <w:highlight w:val="lightGray"/>
        </w:rPr>
        <w:t xml:space="preserve">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r>
      <w:r>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10"/>
      </w:r>
      <w:r>
        <w:rPr>
          <w:rFonts w:ascii="Arial" w:eastAsia="Arial" w:hAnsi="Arial" w:cs="Arial"/>
          <w:color w:val="000000"/>
          <w:highlight w:val="yellow"/>
        </w:rPr>
        <w:t>. La descripción de dichos mecanismos consta en la Ficha de Registro de SBIA (Anexo N.° 1).</w:t>
      </w:r>
      <w:r w:rsidR="00E151B6" w:rsidRPr="00E151B6">
        <w:rPr>
          <w:rFonts w:ascii="Times New Roman" w:eastAsia="Times New Roman" w:hAnsi="Times New Roman" w:cs="Times New Roman"/>
          <w:caps/>
          <w:sz w:val="24"/>
          <w:szCs w:val="24"/>
        </w:rPr>
        <w:t xml:space="preserve"> </w:t>
      </w:r>
      <w:r w:rsidR="00E151B6" w:rsidRPr="00E151B6">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 Este etiquetado se aplica cuando resulta relevante para la toma de decisión o la interacción con el usuario, y se exceptúa de él a los SBIA que apoyan procesos administrativos internos sin impacto directo en la toma de decisiones que afecten derechos o servicios a las personas. El etiquetado aplicado se registra en la Ficha de Registro de SBIA (Anexo N.° 1).</w:t>
      </w:r>
    </w:p>
    <w:p w14:paraId="71D174A5" w14:textId="028570D3" w:rsidR="00836DA1" w:rsidRPr="00E151B6" w:rsidRDefault="00000000" w:rsidP="00E151B6">
      <w:pPr>
        <w:spacing w:after="60" w:line="276" w:lineRule="auto"/>
        <w:ind w:left="1276"/>
        <w:jc w:val="both"/>
      </w:pPr>
      <w:r>
        <w:rPr>
          <w:rFonts w:ascii="Arial" w:hAnsi="Arial" w:cs="Arial"/>
          <w:color w:val="000000"/>
          <w:highlight w:val="cyan"/>
        </w:rPr>
        <w:lastRenderedPageBreak/>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rsidR="00E151B6" w:rsidRPr="00E151B6">
        <w:t xml:space="preserve"> </w:t>
      </w:r>
      <w:r w:rsidR="00E151B6" w:rsidRPr="00E151B6">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sidRPr="00C23E72">
        <w:rPr>
          <w:rFonts w:ascii="Arial" w:eastAsia="Arial" w:hAnsi="Arial" w:cs="Arial"/>
          <w:color w:val="000000"/>
          <w:highlight w:val="green"/>
        </w:rPr>
        <w:t xml:space="preserve">6.9.5 </w:t>
      </w:r>
      <w:r w:rsidRPr="00C23E72">
        <w:rPr>
          <w:rFonts w:ascii="Arial" w:eastAsia="Arial" w:hAnsi="Arial" w:cs="Arial"/>
          <w:color w:val="000000"/>
          <w:highlight w:val="green"/>
        </w:rPr>
        <w:t xml:space="preserve">   </w:t>
      </w:r>
      <w:r w:rsidRPr="00C23E72">
        <w:rPr>
          <w:rFonts w:ascii="Arial" w:eastAsia="Arial" w:hAnsi="Arial" w:cs="Arial"/>
          <w:color w:val="000000"/>
          <w:highlight w:val="green"/>
        </w:rPr>
        <w:t>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1CC91AE7" w:rsidR="00836DA1" w:rsidRDefault="00000000">
      <w:pPr>
        <w:spacing w:after="60" w:line="276" w:lineRule="auto"/>
        <w:ind w:left="1276" w:hanging="720"/>
        <w:jc w:val="both"/>
        <w:rPr>
          <w:rFonts w:ascii="Arial" w:eastAsia="Arial" w:hAnsi="Arial" w:cs="Arial"/>
          <w:color w:val="000000"/>
        </w:rPr>
      </w:pPr>
      <w:r w:rsidRPr="00485890">
        <w:rPr>
          <w:rFonts w:ascii="Arial" w:eastAsia="Arial" w:hAnsi="Arial" w:cs="Arial"/>
          <w:color w:val="000000"/>
          <w:highlight w:val="green"/>
        </w:rPr>
        <w:t>6.9.6</w:t>
      </w:r>
      <w:r w:rsidRPr="00485890">
        <w:rPr>
          <w:rFonts w:ascii="Arial" w:eastAsia="Arial" w:hAnsi="Arial" w:cs="Arial"/>
          <w:color w:val="000000"/>
          <w:highlight w:val="green"/>
        </w:rPr>
        <w:tab/>
      </w:r>
      <w:r w:rsidR="00485890" w:rsidRPr="00485890">
        <w:rPr>
          <w:rFonts w:ascii="Arial" w:eastAsia="Arial" w:hAnsi="Arial" w:cs="Arial"/>
          <w:color w:val="000000"/>
          <w:highlight w:val="green"/>
        </w:rPr>
        <w:t>El estado del gobierno de IA institucional se informa como sección del informe de seguimiento del Plan de Gobierno Digital que presenta el CGTD, con la periodicidad y por el conducto que dicho instrumento establece, en ejercicio de su responsabilidad de liderar, dirigir, evaluar y supervisar los proyectos de SBIA estratégicos.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1"/>
      </w:r>
      <w:r>
        <w:rPr>
          <w:rFonts w:ascii="Arial" w:eastAsia="Arial" w:hAnsi="Arial" w:cs="Arial"/>
          <w:color w:val="000000"/>
          <w:highlight w:val="yellow"/>
        </w:rPr>
        <w:t xml:space="preserve"> </w:t>
      </w:r>
      <w:r w:rsidR="00236A5F">
        <w:rPr>
          <w:rFonts w:ascii="Arial" w:eastAsia="Arial" w:hAnsi="Arial" w:cs="Arial"/>
          <w:color w:val="000000"/>
          <w:highlight w:val="yellow"/>
        </w:rPr>
        <w:t>se aplican</w:t>
      </w:r>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r>
      <w:r>
        <w:tab/>
        <w:t>Del monitoreo, auditoría y mejora continua</w:t>
      </w:r>
    </w:p>
    <w:p w14:paraId="41D4B896" w14:textId="77777777" w:rsidR="00975D3B" w:rsidRPr="00975D3B" w:rsidRDefault="00000000" w:rsidP="00975D3B">
      <w:pPr>
        <w:spacing w:after="0" w:line="276" w:lineRule="auto"/>
        <w:ind w:left="1276" w:hanging="720"/>
        <w:jc w:val="both"/>
        <w:rPr>
          <w:rFonts w:ascii="Arial" w:eastAsia="Arial" w:hAnsi="Arial" w:cs="Arial"/>
          <w:color w:val="000000"/>
          <w:highlight w:val="green"/>
        </w:rPr>
      </w:pPr>
      <w:r w:rsidRPr="00975D3B">
        <w:rPr>
          <w:rFonts w:ascii="Arial" w:eastAsia="Arial" w:hAnsi="Arial" w:cs="Arial"/>
          <w:color w:val="000000"/>
          <w:highlight w:val="green"/>
        </w:rPr>
        <w:t>6.10.1</w:t>
      </w:r>
      <w:r w:rsidRPr="00975D3B">
        <w:rPr>
          <w:rFonts w:ascii="Arial" w:eastAsia="Arial" w:hAnsi="Arial" w:cs="Arial"/>
          <w:color w:val="000000"/>
          <w:highlight w:val="green"/>
        </w:rPr>
        <w:tab/>
      </w:r>
      <w:r w:rsidR="00975D3B" w:rsidRPr="00975D3B">
        <w:rPr>
          <w:rFonts w:ascii="Arial" w:eastAsia="Arial" w:hAnsi="Arial" w:cs="Arial"/>
          <w:color w:val="000000"/>
          <w:highlight w:val="green"/>
        </w:rPr>
        <w:t xml:space="preserve">Todo SBIA en operación es objeto de monitoreo. La Comisión de Gobierno de IA determina la frecuencia y la profundidad del monitoreo de cada SBIA en </w:t>
      </w:r>
      <w:r w:rsidR="00975D3B" w:rsidRPr="00975D3B">
        <w:rPr>
          <w:rFonts w:ascii="Arial" w:eastAsia="Arial" w:hAnsi="Arial" w:cs="Arial"/>
          <w:color w:val="000000"/>
          <w:highlight w:val="green"/>
        </w:rPr>
        <w:lastRenderedPageBreak/>
        <w:t>función de su nivel de riesgo, del impacto que un resultado erróneo produciría en el administrado o en la institución, del volumen de operaciones que procesa y del grado de autonomía con que opera. La frecuencia determinada, los indicadores aplicables, sus umbrales y los responsables de la medición constan en el plan de monitoreo del SBIA, que se aprueba con anterioridad a su puesta en producción conforme al numeral 6.10.2.</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sidRPr="00975D3B">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sidRPr="00975D3B">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sidRPr="00975D3B">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47F5FBA7" w:rsidR="003173B4" w:rsidRDefault="003173B4" w:rsidP="00975D3B">
      <w:pPr>
        <w:spacing w:after="60" w:line="276" w:lineRule="auto"/>
        <w:ind w:left="1276" w:hanging="709"/>
        <w:jc w:val="both"/>
        <w:rPr>
          <w:rFonts w:ascii="Arial" w:eastAsia="Arial" w:hAnsi="Arial" w:cs="Arial"/>
          <w:color w:val="000000"/>
        </w:rPr>
      </w:pPr>
      <w:r w:rsidRPr="003173B4">
        <w:rPr>
          <w:rFonts w:ascii="Arial" w:eastAsia="Arial" w:hAnsi="Arial" w:cs="Arial"/>
          <w:color w:val="000000"/>
          <w:highlight w:val="green"/>
        </w:rPr>
        <w:t>6.10.2</w:t>
      </w:r>
      <w:r w:rsidRPr="003173B4">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sidRPr="00D950D6">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w:t>
      </w:r>
      <w:r w:rsidR="000C7600" w:rsidRPr="000C7600">
        <w:rPr>
          <w:rFonts w:ascii="Arial" w:eastAsia="Arial" w:hAnsi="Arial" w:cs="Arial"/>
          <w:color w:val="000000"/>
          <w:highlight w:val="green"/>
        </w:rPr>
        <w:t xml:space="preserve">y el red teaming previstos en el numeral 6.7.2, con anterioridad a la implementación del SBIA y </w:t>
      </w:r>
      <w:r w:rsidR="00DC27CF" w:rsidRPr="00DC27CF">
        <w:rPr>
          <w:rFonts w:ascii="Arial" w:eastAsia="Arial" w:hAnsi="Arial" w:cs="Arial"/>
          <w:color w:val="000000"/>
          <w:highlight w:val="green"/>
        </w:rPr>
        <w:t>con la periodicidad que establezca el documento normativo del numeral 6.7.7</w:t>
      </w:r>
      <w:r w:rsidR="000C7600" w:rsidRPr="000C7600">
        <w:rPr>
          <w:rFonts w:ascii="Arial" w:eastAsia="Arial" w:hAnsi="Arial" w:cs="Arial"/>
          <w:color w:val="000000"/>
          <w:highlight w:val="green"/>
        </w:rPr>
        <w:t>, y del monitoreo del numeral 6.10</w:t>
      </w:r>
      <w:r w:rsidRPr="00D950D6">
        <w:rPr>
          <w:rFonts w:ascii="Arial" w:eastAsia="Arial" w:hAnsi="Arial" w:cs="Arial"/>
          <w:color w:val="000000"/>
          <w:highlight w:val="green"/>
        </w:rPr>
        <w:t xml:space="preserve">, que comprende los indicadores de sesgo del </w:t>
      </w:r>
      <w:r w:rsidRPr="00D950D6">
        <w:rPr>
          <w:rFonts w:ascii="Arial" w:eastAsia="Arial" w:hAnsi="Arial" w:cs="Arial"/>
          <w:color w:val="000000"/>
          <w:highlight w:val="green"/>
        </w:rPr>
        <w:lastRenderedPageBreak/>
        <w:t>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sidRPr="00532CB5">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544CCF8B" w:rsidR="00532CB5" w:rsidRDefault="00532CB5" w:rsidP="00532CB5">
      <w:pPr>
        <w:spacing w:after="0" w:line="276" w:lineRule="auto"/>
        <w:ind w:left="1276" w:hanging="709"/>
        <w:jc w:val="both"/>
        <w:rPr>
          <w:rFonts w:ascii="Arial" w:hAnsi="Arial" w:cs="Arial"/>
        </w:rPr>
      </w:pPr>
      <w:r w:rsidRPr="00532CB5">
        <w:rPr>
          <w:rFonts w:ascii="Arial" w:hAnsi="Arial" w:cs="Arial"/>
          <w:highlight w:val="lightGray"/>
        </w:rPr>
        <w:t>6.10.5 Es significativo el cambio que altera el desempeño, la finalidad o la población objetivo del SBIA. El 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3AC6A5E4" w:rsidR="00975D3B" w:rsidRDefault="00975D3B" w:rsidP="00532CB5">
      <w:pPr>
        <w:spacing w:after="0" w:line="276" w:lineRule="auto"/>
        <w:ind w:left="1276" w:hanging="709"/>
        <w:jc w:val="both"/>
        <w:rPr>
          <w:rFonts w:ascii="Arial" w:hAnsi="Arial" w:cs="Arial"/>
        </w:rPr>
      </w:pPr>
      <w:r w:rsidRPr="00975D3B">
        <w:rPr>
          <w:rFonts w:ascii="Arial" w:hAnsi="Arial" w:cs="Arial"/>
          <w:highlight w:val="green"/>
        </w:rPr>
        <w:t>6.10.6 El monitoreo comprende la detección del uso indebido del SBIA por parte de quienes lo operan o interactúan con él, con independencia del nivel de riesgo que tenga asignado. Constituyen indicios de uso indebido, entre otros, la manipulación de los datos de entrada para inducir un resultado determinado, el empleo del SBIA para una finalidad distinta de la registrada en el Inventario Institucional de SBIA y los patrones de uso incompatibles con la operación normal del proceso. El plan de monitoreo incorpora los indicadores que permitan detectar dichos patrones. El tratamiento de los hallazgos se realiza conforme al numeral 6.7.5 y, cuando corresponda,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w:t>
      </w:r>
      <w:r w:rsidR="005F24C2">
        <w:rPr>
          <w:rFonts w:ascii="Arial" w:hAnsi="Arial" w:cs="Arial"/>
          <w:b/>
          <w:bCs/>
          <w:color w:val="1B3A5B"/>
          <w:sz w:val="24"/>
          <w:szCs w:val="24"/>
          <w:highlight w:val="cyan"/>
        </w:rPr>
        <w:t xml:space="preserve"> y ético, de </w:t>
      </w:r>
      <w:r w:rsidR="005F24C2" w:rsidRPr="005F24C2">
        <w:rPr>
          <w:rFonts w:ascii="Arial" w:hAnsi="Arial" w:cs="Arial"/>
          <w:b/>
          <w:bCs/>
          <w:color w:val="1B3A5B"/>
          <w:sz w:val="24"/>
          <w:szCs w:val="24"/>
          <w:highlight w:val="cyan"/>
        </w:rPr>
        <w:t>las</w:t>
      </w:r>
      <w:r w:rsidRPr="005F24C2">
        <w:rPr>
          <w:rFonts w:ascii="Arial" w:hAnsi="Arial" w:cs="Arial"/>
          <w:b/>
          <w:bCs/>
          <w:color w:val="1B3A5B"/>
          <w:sz w:val="24"/>
          <w:szCs w:val="24"/>
          <w:highlight w:val="cyan"/>
        </w:rPr>
        <w:t xml:space="preserve"> </w:t>
      </w:r>
      <w:r w:rsidR="005F24C2" w:rsidRPr="005F24C2">
        <w:rPr>
          <w:rFonts w:ascii="Arial" w:hAnsi="Arial" w:cs="Arial"/>
          <w:b/>
          <w:bCs/>
          <w:color w:val="1B3A5B"/>
          <w:sz w:val="24"/>
          <w:szCs w:val="24"/>
          <w:highlight w:val="cyan"/>
        </w:rPr>
        <w:t>capacidades y proveedores</w:t>
      </w:r>
    </w:p>
    <w:p w14:paraId="7E6D459C" w14:textId="77777777" w:rsidR="00863A18" w:rsidRPr="00923C59" w:rsidRDefault="00863A18" w:rsidP="00B23382">
      <w:pPr>
        <w:pStyle w:val="SubtituloDONI"/>
        <w:spacing w:line="276" w:lineRule="auto"/>
        <w:ind w:left="851"/>
      </w:pPr>
      <w:r>
        <w:t>6.11</w:t>
      </w:r>
      <w:r>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sidRPr="000C7600">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lastRenderedPageBreak/>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sidRPr="001F1383">
        <w:rPr>
          <w:rFonts w:ascii="Arial" w:eastAsia="Arial" w:hAnsi="Arial" w:cs="Arial"/>
          <w:color w:val="000000"/>
          <w:highlight w:val="green"/>
        </w:rPr>
        <w:t>6.11.2</w:t>
      </w:r>
      <w:r w:rsidRPr="001F1383">
        <w:rPr>
          <w:rFonts w:ascii="Arial" w:eastAsia="Arial" w:hAnsi="Arial" w:cs="Arial"/>
          <w:color w:val="000000"/>
          <w:highlight w:val="green"/>
        </w:rPr>
        <w:tab/>
      </w:r>
      <w:r w:rsidR="001F1383" w:rsidRPr="001F1383">
        <w:rPr>
          <w:rFonts w:ascii="Arial" w:eastAsia="Arial" w:hAnsi="Arial" w:cs="Arial"/>
          <w:color w:val="000000"/>
          <w:highlight w:val="green"/>
        </w:rPr>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sidRPr="00554995">
        <w:rPr>
          <w:rFonts w:ascii="Arial" w:eastAsia="Arial" w:hAnsi="Arial" w:cs="Arial"/>
          <w:color w:val="000000"/>
          <w:highlight w:val="green"/>
        </w:rPr>
        <w:t>6.11.3</w:t>
      </w:r>
      <w:r w:rsidRPr="00554995">
        <w:rPr>
          <w:rFonts w:ascii="Arial" w:eastAsia="Arial" w:hAnsi="Arial" w:cs="Arial"/>
          <w:color w:val="000000"/>
          <w:highlight w:val="green"/>
        </w:rPr>
        <w:tab/>
      </w:r>
      <w:r w:rsidR="00554995" w:rsidRPr="00554995">
        <w:rPr>
          <w:rFonts w:ascii="Arial" w:eastAsia="Arial" w:hAnsi="Arial" w:cs="Arial"/>
          <w:color w:val="000000"/>
          <w:highlight w:val="green"/>
        </w:rPr>
        <w:t>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w:t>
      </w:r>
      <w:r w:rsidRPr="00554995">
        <w:rPr>
          <w:rFonts w:ascii="Arial" w:eastAsia="Arial" w:hAnsi="Arial" w:cs="Arial"/>
          <w:color w:val="000000"/>
          <w:highlight w:val="green"/>
        </w:rPr>
        <w:t xml:space="preserve">. </w:t>
      </w:r>
      <w:r>
        <w:rPr>
          <w:rFonts w:ascii="Arial" w:eastAsia="Arial" w:hAnsi="Arial" w:cs="Arial"/>
          <w:color w:val="000000"/>
          <w:highlight w:val="cyan"/>
        </w:rPr>
        <w:t>El despliegue de estos modelos observa, en lo que corresponda, el Procedimiento para el Registro, Control y Retiro de Software de la SUNAT (A-03.3.2-PR-01).</w:t>
      </w:r>
    </w:p>
    <w:p w14:paraId="7106A4EF" w14:textId="23E2D93F" w:rsidR="0018147B" w:rsidRDefault="00000000" w:rsidP="00454C03">
      <w:pPr>
        <w:spacing w:after="60" w:line="276" w:lineRule="auto"/>
        <w:ind w:left="1276" w:hanging="720"/>
        <w:jc w:val="both"/>
        <w:rPr>
          <w:rFonts w:ascii="Arial" w:eastAsia="Arial" w:hAnsi="Arial" w:cs="Arial"/>
          <w:color w:val="000000"/>
        </w:rPr>
      </w:pPr>
      <w:r w:rsidRPr="00454C03">
        <w:rPr>
          <w:rFonts w:ascii="Arial" w:eastAsia="Arial" w:hAnsi="Arial" w:cs="Arial"/>
          <w:color w:val="000000"/>
          <w:highlight w:val="green"/>
        </w:rPr>
        <w:t>6.11.4</w:t>
      </w:r>
      <w:r w:rsidRPr="00454C03">
        <w:rPr>
          <w:rFonts w:ascii="Arial" w:eastAsia="Arial" w:hAnsi="Arial" w:cs="Arial"/>
          <w:color w:val="000000"/>
          <w:highlight w:val="green"/>
        </w:rPr>
        <w:tab/>
      </w:r>
      <w:r w:rsidR="00454C03" w:rsidRPr="00454C03">
        <w:rPr>
          <w:rFonts w:ascii="Arial" w:eastAsia="Arial" w:hAnsi="Arial" w:cs="Arial"/>
          <w:color w:val="000000"/>
          <w:highlight w:val="green"/>
        </w:rPr>
        <w:t>Ninguna unidad de organización desarrolla, adquiere, contrata, implementa u opera SBIA fuera</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del límite de la presente directiva, independientemente de su complejidad, presupuesto 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ámbito geográfico. En particular: (a) toda iniciativa de SBIA como proyecto se sujeta al ciclo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vida del numeral 6.1, incluidos sus hitos de aprobación, y se registra en el Inventario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Institucional de SBIA; (b) toda herramienta de IA que se contrate como servicio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(suscripciones, APIs, plataformas SaaS) cuenta previamente con la aprobación prevista en el</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numeral 6.11.5 y con su inclusión en el catálogo institucional (numeral 6.11.2), sin perjuicio</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de la verificación prevista en el numeral 6.12.3. Los colaboradores utilizan exclusivamente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las herramientas de IA que figuran en dicho catálogo. La Comisión de Gobierno de IA promueve</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la regularización mediante el registro y el acompañamiento proporcional a la unidad</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involucrada, y comunica al CGTD y, según corresponda, a la OII, los incumplimientos reiterados</w:t>
      </w:r>
      <w:r w:rsidR="00454C03" w:rsidRPr="00454C03">
        <w:rPr>
          <w:rFonts w:ascii="Arial" w:eastAsia="Arial" w:hAnsi="Arial" w:cs="Arial"/>
          <w:color w:val="000000"/>
          <w:highlight w:val="green"/>
        </w:rPr>
        <w:t xml:space="preserve"> </w:t>
      </w:r>
      <w:r w:rsidR="00454C03" w:rsidRPr="00454C03">
        <w:rPr>
          <w:rFonts w:ascii="Arial" w:eastAsia="Arial" w:hAnsi="Arial" w:cs="Arial"/>
          <w:color w:val="000000"/>
          <w:highlight w:val="green"/>
        </w:rPr>
        <w:t>o que impliquen uso indebido.</w:t>
      </w:r>
    </w:p>
    <w:p w14:paraId="26F26301" w14:textId="0121082C"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de herramientas de IA. </w:t>
      </w:r>
      <w:r w:rsidR="00454C03" w:rsidRPr="00454C03">
        <w:rPr>
          <w:rFonts w:ascii="Arial" w:hAnsi="Arial" w:cs="Arial"/>
          <w:color w:val="000000"/>
          <w:highlight w:val="green"/>
        </w:rPr>
        <w:t>La División de Gestión de Infraestructura Tecnológica y la División de Atención a Usuarios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administran el inventario de software y aseguran, en el ámbito de sus competencias, que los</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lastRenderedPageBreak/>
        <w:t>equipos informáticos tengan instalado únicamente software autorizado, conforme al literal b)</w:t>
      </w:r>
      <w:r w:rsidR="00454C03" w:rsidRPr="00454C03">
        <w:rPr>
          <w:rFonts w:ascii="Arial" w:hAnsi="Arial" w:cs="Arial"/>
          <w:color w:val="000000"/>
          <w:highlight w:val="green"/>
        </w:rPr>
        <w:t xml:space="preserve"> </w:t>
      </w:r>
      <w:r w:rsidR="00454C03" w:rsidRPr="00454C03">
        <w:rPr>
          <w:rFonts w:ascii="Arial" w:hAnsi="Arial" w:cs="Arial"/>
          <w:color w:val="000000"/>
          <w:highlight w:val="green"/>
        </w:rPr>
        <w:t>del artículo 140 y al literal e) del artículo 142 del ROF</w:t>
      </w:r>
      <w:r w:rsidRPr="00454C03">
        <w:rPr>
          <w:rFonts w:ascii="Arial" w:hAnsi="Arial" w:cs="Arial"/>
          <w:color w:val="000000"/>
          <w:highlight w:val="green"/>
        </w:rPr>
        <w:t xml:space="preserve">. </w:t>
      </w:r>
      <w:r>
        <w:rPr>
          <w:rFonts w:ascii="Arial" w:hAnsi="Arial" w:cs="Arial"/>
          <w:color w:val="000000"/>
          <w:highlight w:val="cyan"/>
        </w:rPr>
        <w:t>El catálogo institucional de herramientas de IA constituye el subconjunto de inteligencia artificial del inventario de software autorizado; ambos se distinguen del Inventario de SBIA (Anexo N.° 1), que registra los sistemas basados en IA y no las herramientas.</w:t>
      </w:r>
      <w:r>
        <w:rPr>
          <w:rFonts w:ascii="Arial" w:eastAsia="Arial" w:hAnsi="Arial" w:cs="Arial"/>
          <w:color w:val="000000"/>
          <w:highlight w:val="cyan"/>
        </w:rPr>
        <w:t xml:space="preserve"> </w:t>
      </w:r>
      <w:r w:rsidR="00D12015" w:rsidRPr="00D12015">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r>
      <w:r>
        <w:tab/>
        <w:t>De la gestión de proveedores de IA</w:t>
      </w:r>
    </w:p>
    <w:p w14:paraId="4087DF53"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6.12.1</w:t>
      </w:r>
      <w:r>
        <w:rPr>
          <w:rFonts w:ascii="Arial" w:eastAsia="Arial" w:hAnsi="Arial" w:cs="Arial"/>
          <w:color w:val="000000"/>
        </w:rPr>
        <w:tab/>
        <w:t>La adquisición de SBIA incluye en los TDR o EETT los requisitos de cumplimiento de la presente directiva y normativa aplicable.</w:t>
      </w:r>
    </w:p>
    <w:p w14:paraId="49A67712" w14:textId="149F2FFD" w:rsidR="003173B4" w:rsidRDefault="003173B4" w:rsidP="00B23382">
      <w:pPr>
        <w:spacing w:after="60" w:line="276" w:lineRule="auto"/>
        <w:ind w:left="1276" w:hanging="720"/>
        <w:jc w:val="both"/>
        <w:rPr>
          <w:rFonts w:ascii="Arial" w:eastAsia="Arial" w:hAnsi="Arial" w:cs="Arial"/>
          <w:color w:val="000000"/>
        </w:rPr>
      </w:pPr>
      <w:r w:rsidRPr="003173B4">
        <w:rPr>
          <w:rFonts w:ascii="Arial" w:eastAsia="Arial" w:hAnsi="Arial" w:cs="Arial"/>
          <w:color w:val="000000"/>
          <w:highlight w:val="green"/>
        </w:rPr>
        <w:t>6.12.2</w:t>
      </w:r>
      <w:r w:rsidRPr="003173B4">
        <w:rPr>
          <w:rFonts w:ascii="Arial" w:eastAsia="Arial" w:hAnsi="Arial" w:cs="Arial"/>
          <w:color w:val="000000"/>
          <w:highlight w:val="green"/>
        </w:rPr>
        <w:tab/>
        <w:t xml:space="preserve">Los contratos incluyen cláusulas sobre: (a) protección de datos y reserva tributaria; (b) transparencia del modelo; (c) comunicación de vulnerabilidades e incidentes; (d) derecho de auditoría, incluida la realización de auditorías éticas y de sesgo sobre el modelo; (e) transferencia de conocimiento; </w:t>
      </w:r>
      <w:r w:rsidR="008B2BEE" w:rsidRPr="008B2BEE">
        <w:rPr>
          <w:rFonts w:ascii="Arial" w:eastAsia="Arial" w:hAnsi="Arial" w:cs="Arial"/>
          <w:color w:val="000000"/>
          <w:highlight w:val="green"/>
        </w:rPr>
        <w:t>(f) cumplimiento de estándares técnicos; y (g) la identificación de los subprocesadores autorizados y las condiciones de recuperación de la información institucional a la conclusión del contrato.</w:t>
      </w:r>
      <w:r w:rsidR="008B2BEE">
        <w:rPr>
          <w:rFonts w:ascii="Arial" w:eastAsia="Arial" w:hAnsi="Arial" w:cs="Arial"/>
          <w:color w:val="000000"/>
          <w:highlight w:val="green"/>
        </w:rPr>
        <w:t xml:space="preserve"> </w:t>
      </w:r>
      <w:r w:rsidRPr="003173B4">
        <w:rPr>
          <w:rFonts w:ascii="Arial" w:eastAsia="Arial" w:hAnsi="Arial" w:cs="Arial"/>
          <w:color w:val="000000"/>
          <w:highlight w:val="green"/>
        </w:rPr>
        <w:t>El plazo de notificación de vulnerabilidades se define en los TDR o EETT de cada contratación, según la criticidad del SBIA</w:t>
      </w:r>
      <w:r w:rsidRPr="003173B4">
        <w:rPr>
          <w:rFonts w:ascii="Arial" w:eastAsia="Arial" w:hAnsi="Arial" w:cs="Arial"/>
          <w:color w:val="000000"/>
          <w:highlight w:val="green"/>
        </w:rPr>
        <w:t>.</w:t>
      </w:r>
    </w:p>
    <w:p w14:paraId="0C47E374" w14:textId="0EA777AA"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6.12.3</w:t>
      </w:r>
      <w:r>
        <w:rPr>
          <w:rFonts w:ascii="Arial" w:eastAsia="Arial" w:hAnsi="Arial" w:cs="Arial"/>
          <w:color w:val="000000"/>
        </w:rPr>
        <w:tab/>
        <w:t>Para SBIA SaaS, la INSI verifica la compatibilidad de los términos de uso con las obligaciones de SUNAT en materia de datos y reserva tributaria.</w:t>
      </w:r>
    </w:p>
    <w:p w14:paraId="3CED9203" w14:textId="0A225DA0"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6.12.4</w:t>
      </w:r>
      <w:r>
        <w:rPr>
          <w:rFonts w:ascii="Arial" w:eastAsia="Arial" w:hAnsi="Arial" w:cs="Arial"/>
          <w:color w:val="000000"/>
          <w:highlight w:val="yellow"/>
        </w:rPr>
        <w:tab/>
      </w:r>
      <w:r w:rsidR="008B2BEE" w:rsidRPr="008B2BEE">
        <w:rPr>
          <w:rFonts w:ascii="Arial" w:eastAsia="Arial" w:hAnsi="Arial" w:cs="Arial"/>
          <w:color w:val="000000"/>
          <w:highlight w:val="green"/>
        </w:rPr>
        <w:t>Los contratos prohíben al proveedor emplear la información de la SUNAT (en particular la sujeta a reserva tributaria y los datos personales), las instrucciones que se le remitan y los resultados derivados de su tratamiento, para entrenar, ajustar o mejorar sus modelos o para cualquier fin propio</w:t>
      </w:r>
      <w:r w:rsidRPr="008B2BEE">
        <w:rPr>
          <w:rFonts w:ascii="Arial" w:eastAsia="Arial" w:hAnsi="Arial" w:cs="Arial"/>
          <w:color w:val="000000"/>
          <w:highlight w:val="green"/>
        </w:rPr>
        <w:t xml:space="preserve">, </w:t>
      </w:r>
      <w:r>
        <w:rPr>
          <w:rFonts w:ascii="Arial" w:eastAsia="Arial" w:hAnsi="Arial" w:cs="Arial"/>
          <w:color w:val="000000"/>
          <w:highlight w:val="yellow"/>
        </w:rPr>
        <w:t>en concordancia con el artículo 85 del Código Tributario, que extiende la obligación de reserva a quienes accedan a dicha información. La propiedad intelectual de los ajustes (fine-tuning) realizados con información o para necesidades de la SUNAT corresponde a la SUNAT.</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sidRPr="00274362">
        <w:rPr>
          <w:rFonts w:ascii="Arial" w:eastAsia="Arial" w:hAnsi="Arial" w:cs="Arial"/>
          <w:color w:val="000000"/>
          <w:highlight w:val="green"/>
        </w:rPr>
        <w:t>6.12.5</w:t>
      </w:r>
      <w:r w:rsidRPr="00274362">
        <w:rPr>
          <w:rFonts w:ascii="Arial" w:eastAsia="Arial" w:hAnsi="Arial" w:cs="Arial"/>
          <w:color w:val="000000"/>
          <w:highlight w:val="green"/>
        </w:rPr>
        <w:tab/>
      </w:r>
      <w:r w:rsidR="00274362" w:rsidRPr="00274362">
        <w:rPr>
          <w:rFonts w:ascii="Arial" w:eastAsia="Arial" w:hAnsi="Arial" w:cs="Arial"/>
          <w:color w:val="000000"/>
          <w:highlight w:val="green"/>
        </w:rPr>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77777777" w:rsidR="00863A18" w:rsidRPr="00833CDE" w:rsidRDefault="00863A18" w:rsidP="00B23382">
      <w:pPr>
        <w:pStyle w:val="SubtituloDONI"/>
        <w:spacing w:line="276" w:lineRule="auto"/>
        <w:ind w:left="851"/>
        <w:rPr>
          <w:highlight w:val="lightGray"/>
        </w:rPr>
      </w:pPr>
      <w:r w:rsidRPr="00833CDE">
        <w:rPr>
          <w:highlight w:val="lightGray"/>
        </w:rPr>
        <w:lastRenderedPageBreak/>
        <w:t>6.13</w:t>
      </w:r>
      <w:r w:rsidRPr="00833CDE">
        <w:rPr>
          <w:highlight w:val="lightGray"/>
        </w:rPr>
        <w:tab/>
        <w:t>De la sensibilización, educación y capacitación</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6.13.1 Sensibilización</w:t>
      </w:r>
    </w:p>
    <w:p w14:paraId="4C521181"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Todo el personal de la SUNAT vinculado al diseño, desarrollo, implementación, evaluación o uso de sistemas basados en IA es sensibilizado respecto del uso seguro, responsable y ético de dichos sistemas, así como de los riesgos asociados y de las disposiciones establecidas en la Política de uso seguro, responsable y ético de los sistemas basados en IA de la SUNAT.</w:t>
      </w:r>
    </w:p>
    <w:p w14:paraId="03767110" w14:textId="77777777" w:rsidR="00462A57" w:rsidRPr="00833CDE" w:rsidRDefault="00462A57" w:rsidP="00AB5DBB">
      <w:pPr>
        <w:spacing w:line="276" w:lineRule="auto"/>
        <w:ind w:left="1134"/>
        <w:jc w:val="both"/>
        <w:rPr>
          <w:rFonts w:ascii="Arial" w:eastAsia="Arial" w:hAnsi="Arial" w:cs="Arial"/>
          <w:color w:val="000000"/>
          <w:highlight w:val="lightGray"/>
        </w:rPr>
      </w:pPr>
      <w:r w:rsidRPr="00833CDE">
        <w:rPr>
          <w:rFonts w:ascii="Arial" w:eastAsia="Arial" w:hAnsi="Arial" w:cs="Arial"/>
          <w:color w:val="000000"/>
          <w:highlight w:val="lightGray"/>
        </w:rPr>
        <w:t>Las acciones de sensibilización consideran, como mínimo:</w:t>
      </w:r>
    </w:p>
    <w:p w14:paraId="31E5E6A5"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finalidad y los principios institucionales aplicables a los sistemas basados en 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La protección de la reserva tributaria, secreto comercial y demás obligaciones de confidencialidad aplicables.</w:t>
      </w:r>
    </w:p>
    <w:p w14:paraId="24701C8F" w14:textId="251548E5"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sidRPr="00833CDE">
        <w:rPr>
          <w:b w:val="0"/>
          <w:bCs w:val="0"/>
          <w:color w:val="000000"/>
          <w:highlight w:val="lightGray"/>
        </w:rPr>
        <w:t>El impacto social y ambiental de los sistemas basados en IA.</w:t>
      </w:r>
    </w:p>
    <w:p w14:paraId="7C045AC2" w14:textId="14E9264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sidRPr="00A402D8">
        <w:rPr>
          <w:rFonts w:ascii="Arial" w:eastAsia="Arial" w:hAnsi="Arial" w:cs="Arial"/>
          <w:color w:val="000000"/>
          <w:highlight w:val="green"/>
        </w:rPr>
        <w:t>Esta disposición desarrolla el principio rector de sensibilización y educación en IA</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establecido en el literal f) del artículo 7 del Reglamento, en concordancia con el numeral 7.3</w:t>
      </w:r>
      <w:r w:rsidRPr="00A402D8">
        <w:rPr>
          <w:rFonts w:ascii="Arial" w:eastAsia="Arial" w:hAnsi="Arial" w:cs="Arial"/>
          <w:color w:val="000000"/>
          <w:highlight w:val="green"/>
        </w:rPr>
        <w:t xml:space="preserve"> </w:t>
      </w:r>
      <w:r w:rsidRPr="00A402D8">
        <w:rPr>
          <w:rFonts w:ascii="Arial" w:eastAsia="Arial" w:hAnsi="Arial" w:cs="Arial"/>
          <w:color w:val="000000"/>
          <w:highlight w:val="green"/>
        </w:rPr>
        <w:t>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6.13.2 Capacitación y fortalecimiento de capacidades</w:t>
      </w:r>
    </w:p>
    <w:p w14:paraId="56A6AAD2"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sistemas basados en 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Estas acciones consideran, como mínimo:</w:t>
      </w:r>
    </w:p>
    <w:p w14:paraId="4DC2972A"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Los fundamentos y el ciclo de vida de los sistemas basados en 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sidRPr="00833CDE">
        <w:rPr>
          <w:b w:val="0"/>
          <w:bCs w:val="0"/>
          <w:color w:val="000000"/>
          <w:highlight w:val="lightGray"/>
        </w:rPr>
        <w:t>La protección de la reserva tributaria cuando los sistemas procesen información de los administrados.</w:t>
      </w:r>
    </w:p>
    <w:p w14:paraId="6B9B86CB" w14:textId="77777777" w:rsidR="00462A57" w:rsidRPr="00833CDE" w:rsidRDefault="00462A57" w:rsidP="00AB5DBB">
      <w:pPr>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lastRenderedPageBreak/>
        <w:t>Esta disposición se implementa conforme al numeral 28.5 del artículo 28 del Reglamento y en concordancia con el numeral 7.2 y el Anexo A.4 de la NTP</w:t>
      </w:r>
      <w:r w:rsidRPr="00833CDE">
        <w:rPr>
          <w:rFonts w:ascii="Arial" w:eastAsia="Arial" w:hAnsi="Arial" w:cs="Arial"/>
          <w:color w:val="000000"/>
          <w:highlight w:val="lightGray"/>
        </w:rPr>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sidRPr="00833CDE">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sidRPr="00833CDE">
        <w:rPr>
          <w:rFonts w:ascii="Arial" w:eastAsia="Arial" w:hAnsi="Arial" w:cs="Arial"/>
          <w:color w:val="000000"/>
          <w:highlight w:val="lightGray"/>
        </w:rPr>
        <w:t>Las acciones de gestión del cambio facilitan la consolidación de la Política institucional de uso seguro, responsable y ético de los sistemas basados en IA y del sistema de gestión de IA, promoviendo su integración en la gestión institucional y favoreciendo las condiciones organizacionales necesarias para su sostenibilidad y mejora continua, en concordancia con los numerales 28.1 y 28.2 del artículo 28 del Reglamento.</w:t>
      </w:r>
    </w:p>
    <w:p w14:paraId="69C7D64F"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3275817F"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promueve la participación de equipos diversos y multidisciplinarios,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2"/>
      </w:r>
      <w:r>
        <w:rPr>
          <w:rFonts w:ascii="Arial" w:eastAsia="Arial" w:hAnsi="Arial" w:cs="Arial"/>
          <w:color w:val="000000"/>
          <w:highlight w:val="yellow"/>
        </w:rPr>
        <w:t>.</w:t>
      </w:r>
    </w:p>
    <w:p w14:paraId="60F5B515" w14:textId="34D948A3"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sidR="00A402D8" w:rsidRPr="00A402D8">
        <w:rPr>
          <w:rFonts w:ascii="Arial" w:eastAsia="Arial" w:hAnsi="Arial" w:cs="Arial"/>
          <w:color w:val="000000"/>
          <w:highlight w:val="green"/>
        </w:rPr>
        <w:t>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w:t>
      </w:r>
      <w:r w:rsidRPr="00A402D8">
        <w:rPr>
          <w:rStyle w:val="Refdenotaalpie"/>
          <w:highlight w:val="green"/>
        </w:rPr>
        <w:footnoteReference w:id="13"/>
      </w:r>
      <w:r w:rsidRPr="00A402D8">
        <w:rPr>
          <w:rFonts w:ascii="Arial" w:eastAsia="Arial" w:hAnsi="Arial" w:cs="Arial"/>
          <w:color w:val="000000"/>
          <w:highlight w:val="green"/>
        </w:rPr>
        <w:t>.</w:t>
      </w:r>
      <w:r w:rsidR="002555BF" w:rsidRPr="00A402D8">
        <w:rPr>
          <w:rFonts w:ascii="Arial" w:eastAsia="Arial" w:hAnsi="Arial" w:cs="Arial"/>
          <w:color w:val="000000"/>
          <w:highlight w:val="green"/>
        </w:rPr>
        <w:t xml:space="preserve"> </w:t>
      </w:r>
      <w:r w:rsidR="002555BF" w:rsidRPr="002555BF">
        <w:rPr>
          <w:rFonts w:ascii="Arial" w:eastAsia="Arial" w:hAnsi="Arial" w:cs="Arial"/>
          <w:color w:val="000000"/>
          <w:highlight w:val="green"/>
        </w:rPr>
        <w:t>La OII supervisa en los SBIA el cumplimiento de los principios rectores establecidos en el artículo 7 del Reglamento y de los compromisos de la Política de uso seguro, responsable y ético de los sistemas basados en inteligencia artificial en la SUNAT; evalúa los riesgos de sesgo y discriminación y administra el canal de consultas éticas en materia de IA</w:t>
      </w:r>
      <w:r w:rsidRPr="002555BF">
        <w:rPr>
          <w:rFonts w:ascii="Arial" w:eastAsia="Arial" w:hAnsi="Arial" w:cs="Arial"/>
          <w:color w:val="000000"/>
          <w:highlight w:val="green"/>
        </w:rPr>
        <w:t xml:space="preserve">. </w:t>
      </w:r>
      <w:r>
        <w:rPr>
          <w:rFonts w:ascii="Arial" w:eastAsia="Arial" w:hAnsi="Arial" w:cs="Arial"/>
          <w:color w:val="000000"/>
          <w:highlight w:val="yellow"/>
        </w:rPr>
        <w:t>Su opinión sobre la clasificación de riesgo consta conforme al numeral 6.2.2.</w:t>
      </w:r>
      <w:r w:rsidR="000E3950" w:rsidRPr="000E3950">
        <w:t xml:space="preserve"> </w:t>
      </w:r>
      <w:r w:rsidR="000E3950" w:rsidRPr="000E3950">
        <w:rPr>
          <w:rFonts w:ascii="Arial" w:eastAsia="Arial" w:hAnsi="Arial" w:cs="Arial"/>
          <w:color w:val="000000"/>
          <w:highlight w:val="green"/>
        </w:rPr>
        <w:t>Esta disposición desarrolla el numeral 28.9 del artículo 28 del Reglamento.</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4"/>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sidRPr="002D136C">
        <w:rPr>
          <w:highlight w:val="lightGray"/>
        </w:rPr>
        <w:lastRenderedPageBreak/>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sidRPr="00B10C11">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sidRPr="006D44AB">
        <w:rPr>
          <w:rFonts w:ascii="Arial" w:hAnsi="Arial" w:cs="Arial"/>
          <w:highlight w:val="green"/>
        </w:rPr>
        <w:t>6.15.1</w:t>
      </w:r>
      <w:r w:rsidR="00EF6D32" w:rsidRPr="006D44AB">
        <w:rPr>
          <w:rFonts w:ascii="Arial" w:hAnsi="Arial" w:cs="Arial"/>
          <w:highlight w:val="green"/>
        </w:rPr>
        <w:t xml:space="preserve"> </w:t>
      </w:r>
      <w:r w:rsidR="006D44AB" w:rsidRPr="006D44AB">
        <w:rPr>
          <w:rFonts w:ascii="Arial" w:hAnsi="Arial" w:cs="Arial"/>
          <w:highlight w:val="green"/>
        </w:rPr>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w:t>
      </w:r>
      <w:r w:rsidR="006D44AB" w:rsidRPr="006D44AB">
        <w:rPr>
          <w:rFonts w:ascii="Arial" w:hAnsi="Arial" w:cs="Arial"/>
          <w:highlight w:val="green"/>
        </w:rPr>
        <w:t xml:space="preserve"> </w:t>
      </w:r>
      <w:r w:rsidR="006D44AB" w:rsidRPr="006D44AB">
        <w:rPr>
          <w:rFonts w:ascii="Arial" w:hAnsi="Arial" w:cs="Arial"/>
          <w:highlight w:val="green"/>
        </w:rPr>
        <w:t xml:space="preserve">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w:t>
      </w:r>
      <w:r w:rsidR="006B7D44" w:rsidRPr="006B7D44">
        <w:rPr>
          <w:rFonts w:ascii="Arial" w:hAnsi="Arial" w:cs="Arial"/>
          <w:highlight w:val="green"/>
        </w:rPr>
        <w:t>Los controles aplicables se determinan a partir de la clasificación, conforme al numeral 6.2.5</w:t>
      </w:r>
      <w:r w:rsidR="006D44AB" w:rsidRPr="006D44AB">
        <w:rPr>
          <w:rFonts w:ascii="Arial" w:hAnsi="Arial" w:cs="Arial"/>
          <w:highlight w:val="green"/>
        </w:rPr>
        <w:t>. La opinión no comprende la generación de valor, el costo, la prioridad ni la viabilidad presupuestal de la iniciativa, que corresponden a los instrumentos de gestión respectivos y a las instancias competentes.</w:t>
      </w:r>
      <w:r w:rsidR="006D44AB" w:rsidRPr="006D44AB">
        <w:rPr>
          <w:rFonts w:ascii="Arial" w:hAnsi="Arial" w:cs="Arial"/>
          <w:highlight w:val="green"/>
        </w:rPr>
        <w:t xml:space="preserve"> </w:t>
      </w:r>
      <w:r w:rsidR="006D44AB" w:rsidRPr="006D44AB">
        <w:rPr>
          <w:rFonts w:ascii="Arial" w:hAnsi="Arial" w:cs="Arial"/>
          <w:highlight w:val="green"/>
        </w:rPr>
        <w:t>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sidRPr="006D44AB">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sidRPr="00617198">
        <w:rPr>
          <w:b w:val="0"/>
          <w:bCs w:val="0"/>
          <w:highlight w:val="green"/>
        </w:rPr>
        <w:t>Favorable con condiciones, que identifica los controles que corresponden conforme al numeral 6.2.5 y cuya implementación se verifica en el hito de aprobación previo al despliegue, conforme al numeral 6.1.2</w:t>
      </w:r>
      <w:r w:rsidR="006D44AB" w:rsidRPr="00617198">
        <w:rPr>
          <w:b w:val="0"/>
          <w:bCs w:val="0"/>
          <w:highlight w:val="green"/>
        </w:rPr>
        <w:t xml:space="preserve">. </w:t>
      </w:r>
      <w:r w:rsidR="006D44AB" w:rsidRPr="006D44AB">
        <w:rPr>
          <w:b w:val="0"/>
          <w:bCs w:val="0"/>
          <w:highlight w:val="green"/>
        </w:rPr>
        <w:t>Los SBIA clasificados de riesgo alto reciben este pronunciamiento.</w:t>
      </w:r>
    </w:p>
    <w:p w14:paraId="771DA7B9" w14:textId="0C048DFE"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sidRPr="006D44AB">
        <w:rPr>
          <w:b w:val="0"/>
          <w:bCs w:val="0"/>
          <w:highlight w:val="green"/>
        </w:rPr>
        <w:t>No favorable, cuando el uso es indebido conforme al artículo 23 del RLIA, contraviene la Política de Uso Seguro, Responsable y Ético de los SBIA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sidRPr="006B7D44">
        <w:rPr>
          <w:rFonts w:ascii="Arial" w:hAnsi="Arial" w:cs="Arial"/>
          <w:highlight w:val="green"/>
        </w:rPr>
        <w:t>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w:t>
      </w:r>
      <w:r w:rsidRPr="006B7D44">
        <w:rPr>
          <w:rFonts w:ascii="Arial" w:hAnsi="Arial" w:cs="Arial"/>
          <w:highlight w:val="green"/>
        </w:rPr>
        <w:t xml:space="preserve"> </w:t>
      </w:r>
      <w:r w:rsidR="006D44AB" w:rsidRPr="006B7D44">
        <w:rPr>
          <w:rFonts w:ascii="Arial" w:hAnsi="Arial" w:cs="Arial"/>
          <w:highlight w:val="green"/>
        </w:rPr>
        <w:t xml:space="preserve">En </w:t>
      </w:r>
      <w:r w:rsidR="006D44AB" w:rsidRPr="006D44AB">
        <w:rPr>
          <w:rFonts w:ascii="Arial" w:hAnsi="Arial" w:cs="Arial"/>
          <w:highlight w:val="green"/>
        </w:rPr>
        <w:t>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highlight w:val="green"/>
        </w:rPr>
        <w:lastRenderedPageBreak/>
        <w:t xml:space="preserve">6.15.3 </w:t>
      </w:r>
      <w:r w:rsidR="001E5BAD" w:rsidRPr="001E5BAD">
        <w:rPr>
          <w:rFonts w:ascii="Arial" w:hAnsi="Arial" w:cs="Arial"/>
          <w:highlight w:val="green"/>
        </w:rPr>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sidRPr="001E5BAD">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sidRPr="001E5BAD">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sidRPr="001E5BAD">
        <w:rPr>
          <w:rFonts w:ascii="Arial" w:hAnsi="Arial" w:cs="Arial"/>
        </w:rPr>
        <w:tab/>
      </w:r>
      <w:r w:rsidRPr="001E5BAD">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sidRPr="002D136C">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5BB75195" w:rsidR="00670027" w:rsidRDefault="00326739" w:rsidP="00EF2B54">
      <w:pPr>
        <w:spacing w:after="60" w:line="276" w:lineRule="auto"/>
        <w:ind w:left="1276" w:hanging="709"/>
        <w:jc w:val="both"/>
        <w:rPr>
          <w:rFonts w:ascii="Arial" w:hAnsi="Arial" w:cs="Arial"/>
        </w:rPr>
      </w:pPr>
      <w:r w:rsidRPr="00EF2B54">
        <w:rPr>
          <w:rFonts w:ascii="Arial" w:hAnsi="Arial" w:cs="Arial"/>
          <w:highlight w:val="green"/>
        </w:rPr>
        <w:t>6.15.5</w:t>
      </w:r>
      <w:r w:rsidR="00A72414" w:rsidRPr="00EF2B54">
        <w:rPr>
          <w:rFonts w:ascii="Arial" w:hAnsi="Arial" w:cs="Arial"/>
          <w:highlight w:val="green"/>
        </w:rPr>
        <w:t xml:space="preserve"> </w:t>
      </w:r>
      <w:r w:rsidR="00EF2B54" w:rsidRPr="00EF2B54">
        <w:rPr>
          <w:rFonts w:ascii="Arial" w:hAnsi="Arial" w:cs="Arial"/>
          <w:highlight w:val="green"/>
        </w:rPr>
        <w:t>Las unidades de organización competentes de cada instrumento de gestión incorporan en sus</w:t>
      </w:r>
      <w:r w:rsidR="00EF2B54" w:rsidRPr="00EF2B54">
        <w:rPr>
          <w:rFonts w:ascii="Arial" w:hAnsi="Arial" w:cs="Arial"/>
          <w:highlight w:val="green"/>
        </w:rPr>
        <w:t xml:space="preserve"> </w:t>
      </w:r>
      <w:r w:rsidR="00EF2B54" w:rsidRPr="00EF2B54">
        <w:rPr>
          <w:rFonts w:ascii="Arial" w:hAnsi="Arial" w:cs="Arial"/>
          <w:highlight w:val="green"/>
        </w:rPr>
        <w:t>documentos normativos la verificación del componente de IA y la opinión de la Comisión de</w:t>
      </w:r>
      <w:r w:rsidR="00EF2B54" w:rsidRPr="00EF2B54">
        <w:rPr>
          <w:rFonts w:ascii="Arial" w:hAnsi="Arial" w:cs="Arial"/>
          <w:highlight w:val="green"/>
        </w:rPr>
        <w:t xml:space="preserve"> </w:t>
      </w:r>
      <w:r w:rsidR="00EF2B54" w:rsidRPr="00EF2B54">
        <w:rPr>
          <w:rFonts w:ascii="Arial" w:hAnsi="Arial" w:cs="Arial"/>
          <w:highlight w:val="green"/>
        </w:rPr>
        <w:t>Gobierno de IA, conforme al numeral 7.6. Esta incorporación alcanza al Modelo de Gestión de</w:t>
      </w:r>
      <w:r w:rsidR="00EF2B54" w:rsidRPr="00EF2B54">
        <w:rPr>
          <w:rFonts w:ascii="Arial" w:hAnsi="Arial" w:cs="Arial"/>
          <w:highlight w:val="green"/>
        </w:rPr>
        <w:t xml:space="preserve"> </w:t>
      </w:r>
      <w:r w:rsidR="00EF2B54" w:rsidRPr="00EF2B54">
        <w:rPr>
          <w:rFonts w:ascii="Arial" w:hAnsi="Arial" w:cs="Arial"/>
          <w:highlight w:val="green"/>
        </w:rPr>
        <w:t>Proyectos y Portafolio y a la gestión de la demanda informática. La presente directiva no</w:t>
      </w:r>
      <w:r w:rsidR="00EF2B54" w:rsidRPr="00EF2B54">
        <w:rPr>
          <w:rFonts w:ascii="Arial" w:hAnsi="Arial" w:cs="Arial"/>
          <w:highlight w:val="green"/>
        </w:rPr>
        <w:t xml:space="preserve"> </w:t>
      </w:r>
      <w:r w:rsidR="00EF2B54" w:rsidRPr="00EF2B54">
        <w:rPr>
          <w:rFonts w:ascii="Arial" w:hAnsi="Arial" w:cs="Arial"/>
          <w:highlight w:val="green"/>
        </w:rPr>
        <w:t>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sidRPr="00670027">
        <w:rPr>
          <w:rFonts w:ascii="Arial" w:hAnsi="Arial" w:cs="Arial"/>
          <w:highlight w:val="lightGray"/>
        </w:rPr>
        <w:lastRenderedPageBreak/>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sidR="00326739" w:rsidRPr="00A72414">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0C4EDACE"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 El CGTD designa a su Coordinador.</w:t>
      </w:r>
    </w:p>
    <w:p w14:paraId="482CBA45" w14:textId="0E4C9FB1" w:rsidR="00CB040E" w:rsidRPr="0094125C" w:rsidRDefault="00CB040E" w:rsidP="00180A95">
      <w:pPr>
        <w:pStyle w:val="SubtituloDONI"/>
        <w:spacing w:line="276" w:lineRule="auto"/>
        <w:ind w:left="851"/>
        <w:rPr>
          <w:b w:val="0"/>
          <w:bCs w:val="0"/>
          <w:highlight w:val="green"/>
        </w:rPr>
      </w:pPr>
      <w:r w:rsidRPr="0094125C">
        <w:rPr>
          <w:b w:val="0"/>
          <w:bCs w:val="0"/>
          <w:highlight w:val="green"/>
        </w:rPr>
        <w:t>7.4</w:t>
      </w:r>
      <w:r w:rsidRPr="0094125C">
        <w:rPr>
          <w:b w:val="0"/>
          <w:bCs w:val="0"/>
          <w:highlight w:val="green"/>
        </w:rPr>
        <w:tab/>
      </w:r>
      <w:r w:rsidR="0094125C" w:rsidRPr="0094125C">
        <w:rPr>
          <w:b w:val="0"/>
          <w:bCs w:val="0"/>
          <w:highlight w:val="green"/>
        </w:rPr>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sidRPr="00DF4730">
        <w:rPr>
          <w:b w:val="0"/>
          <w:bCs w:val="0"/>
          <w:color w:val="000000"/>
          <w:highlight w:val="green"/>
        </w:rPr>
        <w:t>7.6</w:t>
      </w:r>
      <w:r w:rsidRPr="00DF4730">
        <w:rPr>
          <w:color w:val="000000"/>
          <w:highlight w:val="green"/>
        </w:rPr>
        <w:tab/>
      </w:r>
      <w:r w:rsidR="00DF4730" w:rsidRPr="00DF4730">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sidR="00DF4730">
        <w:rPr>
          <w:b w:val="0"/>
          <w:bCs w:val="0"/>
          <w:color w:val="000000"/>
        </w:rPr>
        <w:t xml:space="preserve"> </w:t>
      </w:r>
      <w:r w:rsidR="002D136C" w:rsidRPr="006C344B">
        <w:rPr>
          <w:b w:val="0"/>
          <w:bCs w:val="0"/>
          <w:color w:val="000000"/>
          <w:highlight w:val="lightGray"/>
        </w:rPr>
        <w:t>Dichos documentos desarrollan la aplicación de lo dispuesto en la presente directiva y no modifican sus disposiciones, sus Anexos ni las competencias de aprobación que establece</w:t>
      </w:r>
      <w:r w:rsidR="006C344B" w:rsidRPr="006C344B">
        <w:rPr>
          <w:b w:val="0"/>
          <w:bCs w:val="0"/>
          <w:color w:val="000000"/>
          <w:highlight w:val="lightGray"/>
        </w:rPr>
        <w:t xml:space="preserve">. </w:t>
      </w:r>
      <w:r w:rsidR="00DF4730" w:rsidRPr="00DF4730">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sidR="006C344B" w:rsidRPr="00DF4730">
        <w:rPr>
          <w:b w:val="0"/>
          <w:bCs w:val="0"/>
          <w:color w:val="000000"/>
          <w:highlight w:val="green"/>
        </w:rPr>
        <w:t>.</w:t>
      </w:r>
      <w:r w:rsidR="006C344B" w:rsidRPr="00DF4730">
        <w:rPr>
          <w:rFonts w:asciiTheme="minorHAnsi" w:eastAsiaTheme="minorEastAsia" w:hAnsiTheme="minorHAnsi" w:cstheme="minorBidi"/>
          <w:b w:val="0"/>
          <w:bCs w:val="0"/>
          <w:highlight w:val="green"/>
        </w:rPr>
        <w:t xml:space="preserve"> </w:t>
      </w:r>
      <w:r w:rsidR="006C344B" w:rsidRPr="006C344B">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77777777" w:rsidR="0018147B" w:rsidRDefault="00000000">
      <w:pPr>
        <w:pStyle w:val="SubtituloDONI"/>
        <w:spacing w:line="276" w:lineRule="auto"/>
        <w:ind w:left="851"/>
        <w:rPr>
          <w:b w:val="0"/>
          <w:bCs w:val="0"/>
        </w:rPr>
      </w:pPr>
      <w:r>
        <w:rPr>
          <w:b w:val="0"/>
          <w:bCs w:val="0"/>
        </w:rPr>
        <w:t>7.8</w:t>
      </w:r>
      <w:r>
        <w:rPr>
          <w:b w:val="0"/>
          <w:bCs w:val="0"/>
        </w:rPr>
        <w:tab/>
        <w:t>Las referencias a normas técnicas aplican a sus versiones vigentes o a las que las sustituyan.</w:t>
      </w:r>
    </w:p>
    <w:p w14:paraId="5617D77E" w14:textId="671D3A1F" w:rsidR="0018147B" w:rsidRDefault="00000000" w:rsidP="00174519">
      <w:pPr>
        <w:pStyle w:val="SubtituloDONI"/>
        <w:spacing w:line="276" w:lineRule="auto"/>
        <w:ind w:left="851"/>
        <w:rPr>
          <w:b w:val="0"/>
          <w:bCs w:val="0"/>
        </w:rPr>
      </w:pPr>
      <w:r w:rsidRPr="00174519">
        <w:rPr>
          <w:b w:val="0"/>
          <w:bCs w:val="0"/>
          <w:highlight w:val="lightGray"/>
        </w:rPr>
        <w:t>7.9</w:t>
      </w:r>
      <w:r w:rsidRPr="00174519">
        <w:rPr>
          <w:b w:val="0"/>
          <w:bCs w:val="0"/>
          <w:highlight w:val="lightGray"/>
        </w:rPr>
        <w:tab/>
      </w:r>
      <w:r w:rsidR="00174519" w:rsidRPr="00174519">
        <w:rPr>
          <w:b w:val="0"/>
          <w:bCs w:val="0"/>
          <w:highlight w:val="lightGray"/>
        </w:rPr>
        <w:t>Los Anexos forman parte de la presente directiva y su modificación se efectúa conforme a la METDONI. El detalle de aplicación de los Anexos, así como los formatos, campos e indicadores operativos que de ellos se derivan, se establecen en los documentos normativos institucionales de menor rango previstos en el numeral 7.6, que las unidades competentes actualizan sin requerir la modificación de la presente directiva.</w:t>
      </w:r>
    </w:p>
    <w:p w14:paraId="6BB2EF90" w14:textId="0AE33180"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Estrategia Nacional de Inteligencia Artificial 2026-2030, recae en un miembro del </w:t>
      </w:r>
      <w:r>
        <w:rPr>
          <w:b w:val="0"/>
          <w:bCs w:val="0"/>
          <w:highlight w:val="yellow"/>
        </w:rPr>
        <w:lastRenderedPageBreak/>
        <w:t xml:space="preserve">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sidR="00FC0075" w:rsidRPr="00590BAB">
        <w:rPr>
          <w:b w:val="0"/>
          <w:bCs w:val="0"/>
          <w:highlight w:val="green"/>
        </w:rPr>
        <w:t>En tanto no se emitan dichos lineamientos y no se designe al OIA, las funciones de coordinación técnica en materia de IA son ejercidas por el Coordinador de la Comisión de Gobierno de IA que designe el CGTD conforme al numeral 7.3.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Su formulación corresponde a la fase posterior a la aprobación de la presente directiva.</w:t>
      </w:r>
    </w:p>
    <w:p w14:paraId="7EBB5326" w14:textId="3A404617" w:rsidR="002555BF" w:rsidRPr="002555BF" w:rsidRDefault="002555BF" w:rsidP="002555BF">
      <w:pPr>
        <w:pStyle w:val="SubtituloDONI"/>
        <w:spacing w:line="276" w:lineRule="auto"/>
        <w:ind w:left="851" w:hanging="709"/>
        <w:rPr>
          <w:b w:val="0"/>
          <w:bCs w:val="0"/>
          <w:highlight w:val="green"/>
        </w:rPr>
      </w:pPr>
      <w:r w:rsidRPr="002555BF">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3F206D96" w14:textId="77777777" w:rsidR="004F49BB" w:rsidRDefault="004F49BB" w:rsidP="00B23382">
      <w:pPr>
        <w:spacing w:line="276" w:lineRule="auto"/>
        <w:rPr>
          <w:rFonts w:ascii="Arial" w:eastAsia="Arial" w:hAnsi="Arial" w:cs="Arial"/>
          <w:b/>
          <w:bCs/>
          <w:color w:val="000000"/>
        </w:rPr>
      </w:pPr>
      <w:r>
        <w:rPr>
          <w:rFonts w:ascii="Arial" w:eastAsia="Arial" w:hAnsi="Arial" w:cs="Arial"/>
          <w:b/>
          <w:bCs/>
          <w:color w:val="000000"/>
        </w:rPr>
        <w:br w:type="page"/>
      </w:r>
    </w:p>
    <w:p w14:paraId="5A18DFFE"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sidRPr="003E2526">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sidRPr="007F4CB9">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sidRPr="007F4CB9">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sidRPr="00E810C0">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sidRPr="00E810C0">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sidRPr="00206379">
              <w:rPr>
                <w:rFonts w:ascii="Arial" w:eastAsia="Arial" w:hAnsi="Arial" w:cs="Arial"/>
                <w:b/>
                <w:bCs/>
              </w:rPr>
              <w:t xml:space="preserve">Versión vigente y </w:t>
            </w:r>
            <w:r w:rsidR="001F1383">
              <w:rPr>
                <w:rFonts w:ascii="Arial" w:eastAsia="Arial" w:hAnsi="Arial" w:cs="Arial"/>
                <w:b/>
                <w:bCs/>
              </w:rPr>
              <w:t>ú</w:t>
            </w:r>
            <w:r w:rsidRPr="00206379">
              <w:rPr>
                <w:rFonts w:ascii="Arial" w:eastAsia="Arial" w:hAnsi="Arial" w:cs="Arial"/>
                <w:b/>
                <w:bCs/>
              </w:rPr>
              <w:t>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sidRPr="00206379">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sidRPr="00AC727E">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sidRPr="00AC727E">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es previa al despliegue, conforme al numeral 6.1.2.</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w:t>
            </w:r>
            <w:r w:rsidRPr="003E2526">
              <w:rPr>
                <w:rFonts w:ascii="Arial" w:eastAsia="Arial" w:hAnsi="Arial" w:cs="Arial"/>
                <w:b/>
                <w:bCs/>
                <w:highlight w:val="yellow"/>
              </w:rPr>
              <w:t>(Art.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sidRPr="003E2526">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sidRPr="003E2526">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sidRPr="003E2526">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sidRPr="003E2526">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sidRPr="003E2526">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13F9A2DB"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3: Estructura mínima de la EIA</w:t>
      </w:r>
    </w:p>
    <w:p w14:paraId="6AE976C9"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Reglamento, protección de datos,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6709E319" w:rsidR="00863A18" w:rsidRPr="00EC21E7" w:rsidRDefault="00EC21E7" w:rsidP="00B23382">
      <w:pPr>
        <w:pStyle w:val="Prrafodelista"/>
        <w:numPr>
          <w:ilvl w:val="0"/>
          <w:numId w:val="7"/>
        </w:numPr>
        <w:spacing w:after="40" w:line="276" w:lineRule="auto"/>
        <w:ind w:left="567"/>
        <w:rPr>
          <w:b w:val="0"/>
          <w:bCs w:val="0"/>
        </w:rPr>
      </w:pPr>
      <w:r w:rsidRPr="00EC21E7">
        <w:rPr>
          <w:b w:val="0"/>
          <w:bCs w:val="0"/>
          <w:color w:val="000000"/>
        </w:rPr>
        <w:t>Revisiones y aprobación: firmas del propietario del caso de uso, de la Comisión de Gobierno de IA, de la OII y de la INALI, en señal de revisión conforme al numeral 6.4.2; y referencia al acuerdo del CGTD que aprueba la EIA, conforme al numeral 6.4.1.</w:t>
      </w:r>
      <w:r w:rsidR="00863A18" w:rsidRPr="00EC21E7">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sidRPr="00DE4308">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sidRPr="00EF2B54">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w:t>
      </w:r>
      <w:r w:rsidR="00EF2B54" w:rsidRPr="00EF2B54">
        <w:rPr>
          <w:rFonts w:ascii="Arial" w:hAnsi="Arial" w:cs="Arial"/>
          <w:highlight w:val="green"/>
        </w:rPr>
        <w:t xml:space="preserve">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w:t>
      </w:r>
      <w:r w:rsidR="00EF2B54">
        <w:rPr>
          <w:rFonts w:ascii="Arial" w:hAnsi="Arial" w:cs="Arial"/>
          <w:highlight w:val="green"/>
        </w:rPr>
        <w:t>en dichas fuentes</w:t>
      </w:r>
      <w:r w:rsidR="00EF2B54" w:rsidRPr="00EF2B54">
        <w:rPr>
          <w:rFonts w:ascii="Arial" w:hAnsi="Arial" w:cs="Arial"/>
          <w:highlight w:val="green"/>
        </w:rPr>
        <w:t>.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sidRPr="00EF2B54">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sidRPr="000F3595">
        <w:rPr>
          <w:rFonts w:ascii="Arial" w:eastAsia="Arial" w:hAnsi="Arial" w:cs="Arial"/>
          <w:b/>
          <w:bCs/>
          <w:color w:val="000000"/>
          <w:highlight w:val="green"/>
        </w:rPr>
        <w:t xml:space="preserve">Sección 2 — </w:t>
      </w:r>
      <w:r w:rsidR="000F3595" w:rsidRPr="000F3595">
        <w:rPr>
          <w:rFonts w:ascii="Arial" w:eastAsia="Arial" w:hAnsi="Arial" w:cs="Arial"/>
          <w:b/>
          <w:bCs/>
          <w:color w:val="000000"/>
          <w:highlight w:val="green"/>
        </w:rPr>
        <w:t>Necesidad y pertinencia del uso de IA</w:t>
      </w:r>
      <w:r w:rsidRPr="000F3595">
        <w:rPr>
          <w:rFonts w:ascii="Arial" w:eastAsia="Arial" w:hAnsi="Arial" w:cs="Arial"/>
          <w:b/>
          <w:bCs/>
          <w:color w:val="000000"/>
          <w:highlight w:val="green"/>
        </w:rPr>
        <w:t>:</w:t>
      </w:r>
    </w:p>
    <w:p w14:paraId="008E6D69" w14:textId="507DA819"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Descripción sintética del problema o necesidad, o remisión </w:t>
      </w:r>
      <w:r w:rsidRPr="00EF2B54">
        <w:rPr>
          <w:b w:val="0"/>
          <w:bCs w:val="0"/>
          <w:color w:val="000000"/>
          <w:highlight w:val="green"/>
        </w:rPr>
        <w:t>a la fuente de la información donde se encuentra.</w:t>
      </w:r>
    </w:p>
    <w:p w14:paraId="17E05AAF" w14:textId="5D11B535"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Alternativa sin inteligencia artificial: describir la solución basada en reglas,</w:t>
      </w:r>
      <w:r w:rsidRPr="00EF2B54">
        <w:rPr>
          <w:b w:val="0"/>
          <w:bCs w:val="0"/>
          <w:color w:val="000000"/>
          <w:highlight w:val="green"/>
        </w:rPr>
        <w:t xml:space="preserve"> </w:t>
      </w:r>
      <w:r w:rsidRPr="00EF2B54">
        <w:rPr>
          <w:b w:val="0"/>
          <w:bCs w:val="0"/>
          <w:color w:val="000000"/>
          <w:highlight w:val="green"/>
        </w:rPr>
        <w:t>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 xml:space="preserve">Costo de gobernanza previsto </w:t>
      </w:r>
      <w:r w:rsidRPr="00EF2B54">
        <w:rPr>
          <w:b w:val="0"/>
          <w:bCs w:val="0"/>
          <w:color w:val="000000"/>
          <w:highlight w:val="green"/>
        </w:rPr>
        <w:t>(</w:t>
      </w:r>
      <w:r w:rsidRPr="00EF2B54">
        <w:rPr>
          <w:b w:val="0"/>
          <w:bCs w:val="0"/>
          <w:color w:val="000000"/>
          <w:highlight w:val="green"/>
        </w:rPr>
        <w:t>monitoreo, reentrenamiento, supervisión humana y evaluación</w:t>
      </w:r>
      <w:r w:rsidRPr="00EF2B54">
        <w:rPr>
          <w:b w:val="0"/>
          <w:bCs w:val="0"/>
          <w:color w:val="000000"/>
          <w:highlight w:val="green"/>
        </w:rPr>
        <w:t xml:space="preserve"> </w:t>
      </w:r>
      <w:r w:rsidRPr="00EF2B54">
        <w:rPr>
          <w:b w:val="0"/>
          <w:bCs w:val="0"/>
          <w:color w:val="000000"/>
          <w:highlight w:val="green"/>
        </w:rPr>
        <w:t>periódica</w:t>
      </w:r>
      <w:r w:rsidRPr="00EF2B54">
        <w:rPr>
          <w:b w:val="0"/>
          <w:bCs w:val="0"/>
          <w:color w:val="000000"/>
          <w:highlight w:val="green"/>
        </w:rPr>
        <w:t>)</w:t>
      </w:r>
      <w:r w:rsidRPr="00EF2B54">
        <w:rPr>
          <w:b w:val="0"/>
          <w:bCs w:val="0"/>
          <w:color w:val="000000"/>
          <w:highlight w:val="green"/>
        </w:rPr>
        <w:t xml:space="preserve">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sidRPr="00EF2B54">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sidRPr="00EF2B54">
        <w:rPr>
          <w:rFonts w:ascii="Arial" w:eastAsia="Arial" w:hAnsi="Arial" w:cs="Arial"/>
          <w:b/>
          <w:bCs/>
          <w:color w:val="000000"/>
          <w:highlight w:val="green"/>
        </w:rPr>
        <w:t xml:space="preserve">Sección 3 — </w:t>
      </w:r>
      <w:r w:rsidR="00EF2B54" w:rsidRPr="00EF2B54">
        <w:rPr>
          <w:rFonts w:ascii="Arial" w:eastAsia="Arial" w:hAnsi="Arial" w:cs="Arial"/>
          <w:b/>
          <w:bCs/>
          <w:color w:val="000000"/>
          <w:highlight w:val="green"/>
        </w:rPr>
        <w:t>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sidRPr="00EF2B54">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sidRPr="00EF2B54">
        <w:rPr>
          <w:b w:val="0"/>
          <w:bCs w:val="0"/>
          <w:color w:val="000000"/>
          <w:highlight w:val="green"/>
        </w:rPr>
        <w:t>Punto del proceso en que interviene el SBIA y momento en que un funcionario conoce su</w:t>
      </w:r>
      <w:r w:rsidRPr="00EF2B54">
        <w:rPr>
          <w:b w:val="0"/>
          <w:bCs w:val="0"/>
          <w:color w:val="000000"/>
          <w:highlight w:val="green"/>
        </w:rPr>
        <w:t xml:space="preserve"> </w:t>
      </w:r>
      <w:r w:rsidRPr="00EF2B54">
        <w:rPr>
          <w:b w:val="0"/>
          <w:bCs w:val="0"/>
          <w:color w:val="000000"/>
          <w:highlight w:val="green"/>
        </w:rPr>
        <w:t>resultado.</w:t>
      </w:r>
    </w:p>
    <w:p w14:paraId="77DBA450" w14:textId="31B8CBF9" w:rsidR="0018147B" w:rsidRDefault="00000000" w:rsidP="00EF2B54">
      <w:pPr>
        <w:spacing w:before="120" w:after="40" w:line="276" w:lineRule="auto"/>
        <w:jc w:val="both"/>
        <w:rPr>
          <w:rFonts w:ascii="Arial" w:hAnsi="Arial" w:cs="Arial"/>
        </w:rPr>
      </w:pPr>
      <w:r w:rsidRPr="00EF2B54">
        <w:rPr>
          <w:rFonts w:ascii="Arial" w:eastAsia="Arial" w:hAnsi="Arial" w:cs="Arial"/>
          <w:b/>
          <w:bCs/>
          <w:color w:val="000000"/>
          <w:highlight w:val="green"/>
        </w:rPr>
        <w:t xml:space="preserve">Sección 4 — </w:t>
      </w:r>
      <w:r w:rsidR="00EF2B54">
        <w:rPr>
          <w:rFonts w:ascii="Arial" w:eastAsia="Arial" w:hAnsi="Arial" w:cs="Arial"/>
          <w:b/>
          <w:bCs/>
          <w:color w:val="000000"/>
          <w:highlight w:val="green"/>
        </w:rPr>
        <w:t>Datos</w:t>
      </w:r>
      <w:r w:rsidRPr="00EF2B54">
        <w:rPr>
          <w:rFonts w:ascii="Arial" w:eastAsia="Arial" w:hAnsi="Arial" w:cs="Arial"/>
          <w:b/>
          <w:bCs/>
          <w:color w:val="000000"/>
          <w:highlight w:val="green"/>
        </w:rPr>
        <w:t>:</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Datos requeridos: fuentes, tipos y presencia de datos personales o de información sujeta</w:t>
      </w:r>
      <w:r w:rsidRPr="00CA521D">
        <w:rPr>
          <w:b w:val="0"/>
          <w:bCs w:val="0"/>
          <w:color w:val="000000"/>
          <w:highlight w:val="green"/>
        </w:rPr>
        <w:t xml:space="preserve"> </w:t>
      </w:r>
      <w:r w:rsidRPr="00CA521D">
        <w:rPr>
          <w:b w:val="0"/>
          <w:bCs w:val="0"/>
          <w:color w:val="000000"/>
          <w:highlight w:val="green"/>
        </w:rPr>
        <w:t>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sidRPr="00CA521D">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sidRPr="00CA521D">
        <w:rPr>
          <w:b w:val="0"/>
          <w:bCs w:val="0"/>
          <w:color w:val="000000"/>
          <w:highlight w:val="green"/>
        </w:rPr>
        <w:lastRenderedPageBreak/>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5 — </w:t>
      </w:r>
      <w:r w:rsidR="00DE4308" w:rsidRPr="00DE4308">
        <w:rPr>
          <w:rFonts w:ascii="Arial" w:eastAsia="Arial" w:hAnsi="Arial" w:cs="Arial"/>
          <w:b/>
          <w:bCs/>
          <w:color w:val="000000"/>
          <w:highlight w:val="green"/>
        </w:rPr>
        <w:t>Efecto sobre las personas y los procesos</w:t>
      </w:r>
      <w:r w:rsidRPr="00DE4308">
        <w:rPr>
          <w:rFonts w:ascii="Arial" w:eastAsia="Arial" w:hAnsi="Arial" w:cs="Arial"/>
          <w:b/>
          <w:bCs/>
          <w:color w:val="000000"/>
          <w:highlight w:val="green"/>
        </w:rPr>
        <w:t>:</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Efecto del resultado del SBIA en derechos, obligaciones o en la atención de los</w:t>
      </w:r>
      <w:r>
        <w:rPr>
          <w:b w:val="0"/>
          <w:bCs w:val="0"/>
          <w:color w:val="000000"/>
          <w:highlight w:val="green"/>
        </w:rPr>
        <w:t xml:space="preserve"> </w:t>
      </w:r>
      <w:r w:rsidRPr="00DE4308">
        <w:rPr>
          <w:b w:val="0"/>
          <w:bCs w:val="0"/>
          <w:color w:val="000000"/>
          <w:highlight w:val="green"/>
        </w:rPr>
        <w:t>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sidRPr="00DE4308">
        <w:rPr>
          <w:b w:val="0"/>
          <w:bCs w:val="0"/>
          <w:color w:val="000000"/>
          <w:highlight w:val="green"/>
        </w:rPr>
        <w:t>Clasificación de riesgo preliminar sugerida por el propietario del caso de uso conforme al</w:t>
      </w:r>
      <w:r w:rsidRPr="00DE4308">
        <w:rPr>
          <w:b w:val="0"/>
          <w:bCs w:val="0"/>
          <w:color w:val="000000"/>
          <w:highlight w:val="green"/>
        </w:rPr>
        <w:t xml:space="preserve"> </w:t>
      </w:r>
      <w:r w:rsidRPr="00DE4308">
        <w:rPr>
          <w:b w:val="0"/>
          <w:bCs w:val="0"/>
          <w:color w:val="000000"/>
          <w:highlight w:val="green"/>
        </w:rPr>
        <w:t>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sidRPr="00DE4308">
        <w:rPr>
          <w:rFonts w:ascii="Arial" w:eastAsia="Arial" w:hAnsi="Arial" w:cs="Arial"/>
          <w:b/>
          <w:bCs/>
          <w:color w:val="000000"/>
          <w:highlight w:val="green"/>
        </w:rPr>
        <w:t xml:space="preserve">Sección </w:t>
      </w:r>
      <w:r w:rsidR="00DE4308" w:rsidRPr="00DE4308">
        <w:rPr>
          <w:rFonts w:ascii="Arial" w:eastAsia="Arial" w:hAnsi="Arial" w:cs="Arial"/>
          <w:b/>
          <w:bCs/>
          <w:color w:val="000000"/>
          <w:highlight w:val="green"/>
        </w:rPr>
        <w:t>6</w:t>
      </w:r>
      <w:r w:rsidRPr="00DE4308">
        <w:rPr>
          <w:rFonts w:ascii="Arial" w:eastAsia="Arial" w:hAnsi="Arial" w:cs="Arial"/>
          <w:b/>
          <w:bCs/>
          <w:color w:val="000000"/>
          <w:highlight w:val="green"/>
        </w:rPr>
        <w:t xml:space="preserve"> — Firmas:</w:t>
      </w:r>
    </w:p>
    <w:p w14:paraId="76A8D059" w14:textId="77777777" w:rsidR="00863A18" w:rsidRPr="00DE4308" w:rsidRDefault="00863A18" w:rsidP="00DE4308">
      <w:pPr>
        <w:pStyle w:val="Prrafodelista"/>
        <w:numPr>
          <w:ilvl w:val="0"/>
          <w:numId w:val="36"/>
        </w:numPr>
        <w:spacing w:after="40" w:line="276" w:lineRule="auto"/>
        <w:ind w:left="426"/>
        <w:rPr>
          <w:b w:val="0"/>
          <w:bCs w:val="0"/>
          <w:highlight w:val="green"/>
        </w:rPr>
      </w:pPr>
      <w:r w:rsidRPr="00DE4308">
        <w:rPr>
          <w:b w:val="0"/>
          <w:bCs w:val="0"/>
          <w:color w:val="000000"/>
          <w:highlight w:val="green"/>
        </w:rPr>
        <w:t>Firma del propietario del caso de uso.</w:t>
      </w:r>
    </w:p>
    <w:p w14:paraId="454DDEF7" w14:textId="77777777" w:rsidR="00863A18" w:rsidRPr="00DE4308" w:rsidRDefault="00863A18" w:rsidP="00DE4308">
      <w:pPr>
        <w:pStyle w:val="Prrafodelista"/>
        <w:numPr>
          <w:ilvl w:val="0"/>
          <w:numId w:val="36"/>
        </w:numPr>
        <w:spacing w:after="40" w:line="276" w:lineRule="auto"/>
        <w:ind w:left="426"/>
        <w:rPr>
          <w:highlight w:val="green"/>
        </w:rPr>
      </w:pPr>
      <w:r w:rsidRPr="00DE4308">
        <w:rPr>
          <w:b w:val="0"/>
          <w:bCs w:val="0"/>
          <w:color w:val="000000"/>
          <w:highlight w:val="green"/>
        </w:rPr>
        <w:t>Visto bueno del Intendente de la unidad solicitante.</w:t>
      </w:r>
    </w:p>
    <w:p w14:paraId="576F94A7" w14:textId="77777777" w:rsidR="00ED2DC8" w:rsidRPr="00923C59" w:rsidRDefault="00ED2DC8" w:rsidP="00B23382">
      <w:pPr>
        <w:spacing w:after="0" w:line="276" w:lineRule="auto"/>
        <w:rPr>
          <w:rFonts w:ascii="Arial" w:hAnsi="Arial" w:cs="Arial"/>
        </w:rPr>
      </w:pPr>
    </w:p>
    <w:sectPr w:rsidR="00ED2DC8" w:rsidRPr="00923C59"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3EBEC" w14:textId="77777777" w:rsidR="00EE4D0D" w:rsidRDefault="00EE4D0D">
      <w:pPr>
        <w:spacing w:after="0" w:line="240" w:lineRule="auto"/>
      </w:pPr>
      <w:r>
        <w:separator/>
      </w:r>
    </w:p>
  </w:endnote>
  <w:endnote w:type="continuationSeparator" w:id="0">
    <w:p w14:paraId="703BE621" w14:textId="77777777" w:rsidR="00EE4D0D" w:rsidRDefault="00EE4D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072D05" w14:textId="77777777" w:rsidR="00EE4D0D" w:rsidRDefault="00EE4D0D">
      <w:pPr>
        <w:spacing w:after="0" w:line="240" w:lineRule="auto"/>
      </w:pPr>
      <w:r>
        <w:separator/>
      </w:r>
    </w:p>
  </w:footnote>
  <w:footnote w:type="continuationSeparator" w:id="0">
    <w:p w14:paraId="76D306C3" w14:textId="77777777" w:rsidR="00EE4D0D" w:rsidRDefault="00EE4D0D">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5DBC9DF3" w14:textId="77777777" w:rsidR="00594919" w:rsidRDefault="00000000">
      <w:pPr>
        <w:pStyle w:val="Textonotapie"/>
      </w:pPr>
      <w:r>
        <w:rPr>
          <w:rStyle w:val="Refdenotaalpie"/>
        </w:rPr>
        <w:footnoteRef/>
      </w:r>
      <w:r>
        <w:rPr>
          <w:rFonts w:ascii="Arial" w:hAnsi="Arial" w:cs="Arial"/>
        </w:rPr>
        <w:t xml:space="preserve"> En particular, el numeral 28.6 del artículo 28 del RLIA.</w:t>
      </w:r>
    </w:p>
  </w:footnote>
  <w:footnote w:id="3">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4">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5">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6">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7">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8">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9">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10">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1">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2">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3">
    <w:p w14:paraId="5684E7FC" w14:textId="77777777" w:rsidR="00594919" w:rsidRDefault="00000000">
      <w:pPr>
        <w:pStyle w:val="Textonotapie"/>
      </w:pPr>
      <w:r>
        <w:rPr>
          <w:rStyle w:val="Refdenotaalpie"/>
        </w:rPr>
        <w:footnoteRef/>
      </w:r>
      <w:r>
        <w:rPr>
          <w:rFonts w:ascii="Arial" w:hAnsi="Arial" w:cs="Arial"/>
        </w:rPr>
        <w:t xml:space="preserve"> Numeral 28.9 del artículo 28 del RLIA.</w:t>
      </w:r>
    </w:p>
  </w:footnote>
  <w:footnote w:id="14">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41E9A"/>
    <w:rsid w:val="001437F1"/>
    <w:rsid w:val="00153C2B"/>
    <w:rsid w:val="001609F8"/>
    <w:rsid w:val="00164552"/>
    <w:rsid w:val="00166F8B"/>
    <w:rsid w:val="00171767"/>
    <w:rsid w:val="00174519"/>
    <w:rsid w:val="00180A95"/>
    <w:rsid w:val="0018147B"/>
    <w:rsid w:val="0018222F"/>
    <w:rsid w:val="001A5262"/>
    <w:rsid w:val="001B791A"/>
    <w:rsid w:val="001C5C4D"/>
    <w:rsid w:val="001D0B85"/>
    <w:rsid w:val="001E5BAD"/>
    <w:rsid w:val="001F1383"/>
    <w:rsid w:val="001F16B0"/>
    <w:rsid w:val="001F28C5"/>
    <w:rsid w:val="00206379"/>
    <w:rsid w:val="002102ED"/>
    <w:rsid w:val="00215BA9"/>
    <w:rsid w:val="002222E3"/>
    <w:rsid w:val="00226840"/>
    <w:rsid w:val="00236A5F"/>
    <w:rsid w:val="002555BF"/>
    <w:rsid w:val="00261D87"/>
    <w:rsid w:val="0026696B"/>
    <w:rsid w:val="002711BE"/>
    <w:rsid w:val="00272134"/>
    <w:rsid w:val="00274362"/>
    <w:rsid w:val="00275B9B"/>
    <w:rsid w:val="002840F0"/>
    <w:rsid w:val="002950F6"/>
    <w:rsid w:val="002A5658"/>
    <w:rsid w:val="002D136C"/>
    <w:rsid w:val="002D4E18"/>
    <w:rsid w:val="003071B9"/>
    <w:rsid w:val="003173B4"/>
    <w:rsid w:val="003204D8"/>
    <w:rsid w:val="00325777"/>
    <w:rsid w:val="00325F1C"/>
    <w:rsid w:val="00326739"/>
    <w:rsid w:val="003325F7"/>
    <w:rsid w:val="003327C9"/>
    <w:rsid w:val="0033689D"/>
    <w:rsid w:val="00344C8A"/>
    <w:rsid w:val="00352D87"/>
    <w:rsid w:val="003530CE"/>
    <w:rsid w:val="003636BC"/>
    <w:rsid w:val="003665C6"/>
    <w:rsid w:val="00366BA4"/>
    <w:rsid w:val="003758C8"/>
    <w:rsid w:val="003922D5"/>
    <w:rsid w:val="003A6AB9"/>
    <w:rsid w:val="003A7976"/>
    <w:rsid w:val="003B242A"/>
    <w:rsid w:val="003B6E7C"/>
    <w:rsid w:val="003B7D61"/>
    <w:rsid w:val="003C1E3F"/>
    <w:rsid w:val="003E2526"/>
    <w:rsid w:val="003E4730"/>
    <w:rsid w:val="003F591A"/>
    <w:rsid w:val="00444444"/>
    <w:rsid w:val="004503ED"/>
    <w:rsid w:val="0045319E"/>
    <w:rsid w:val="00454C03"/>
    <w:rsid w:val="00462A57"/>
    <w:rsid w:val="00463CDC"/>
    <w:rsid w:val="00467C46"/>
    <w:rsid w:val="0047575A"/>
    <w:rsid w:val="00485890"/>
    <w:rsid w:val="004A50A6"/>
    <w:rsid w:val="004A6881"/>
    <w:rsid w:val="004B3330"/>
    <w:rsid w:val="004C17C6"/>
    <w:rsid w:val="004C4F5D"/>
    <w:rsid w:val="004C7B15"/>
    <w:rsid w:val="004D01A4"/>
    <w:rsid w:val="004E204E"/>
    <w:rsid w:val="004F49BB"/>
    <w:rsid w:val="00502E18"/>
    <w:rsid w:val="0050738A"/>
    <w:rsid w:val="00512CEC"/>
    <w:rsid w:val="00521B40"/>
    <w:rsid w:val="00524301"/>
    <w:rsid w:val="00532CB5"/>
    <w:rsid w:val="00535686"/>
    <w:rsid w:val="00537E02"/>
    <w:rsid w:val="0054144C"/>
    <w:rsid w:val="00553A03"/>
    <w:rsid w:val="00554995"/>
    <w:rsid w:val="00567C78"/>
    <w:rsid w:val="00570612"/>
    <w:rsid w:val="00590BAB"/>
    <w:rsid w:val="00594919"/>
    <w:rsid w:val="005B30EE"/>
    <w:rsid w:val="005C3A70"/>
    <w:rsid w:val="005C4042"/>
    <w:rsid w:val="005C67EA"/>
    <w:rsid w:val="005D216F"/>
    <w:rsid w:val="005D5880"/>
    <w:rsid w:val="005D754C"/>
    <w:rsid w:val="005F24C2"/>
    <w:rsid w:val="005F3265"/>
    <w:rsid w:val="0060099A"/>
    <w:rsid w:val="00603B7D"/>
    <w:rsid w:val="00617198"/>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5082A"/>
    <w:rsid w:val="007536D0"/>
    <w:rsid w:val="007614B5"/>
    <w:rsid w:val="007718AA"/>
    <w:rsid w:val="00771AB8"/>
    <w:rsid w:val="007808CA"/>
    <w:rsid w:val="00790E37"/>
    <w:rsid w:val="007B626B"/>
    <w:rsid w:val="007C4F40"/>
    <w:rsid w:val="007D181A"/>
    <w:rsid w:val="007F4CB9"/>
    <w:rsid w:val="0080359D"/>
    <w:rsid w:val="00807C98"/>
    <w:rsid w:val="0081311B"/>
    <w:rsid w:val="00814A4B"/>
    <w:rsid w:val="008326EA"/>
    <w:rsid w:val="00833450"/>
    <w:rsid w:val="00833CDE"/>
    <w:rsid w:val="00834FEE"/>
    <w:rsid w:val="00836DA1"/>
    <w:rsid w:val="0084436F"/>
    <w:rsid w:val="008540A5"/>
    <w:rsid w:val="00863A18"/>
    <w:rsid w:val="0087077E"/>
    <w:rsid w:val="008776A6"/>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4706"/>
    <w:rsid w:val="00C1489A"/>
    <w:rsid w:val="00C23E72"/>
    <w:rsid w:val="00C34A71"/>
    <w:rsid w:val="00C47FC1"/>
    <w:rsid w:val="00C5632E"/>
    <w:rsid w:val="00C5723D"/>
    <w:rsid w:val="00C603B3"/>
    <w:rsid w:val="00C66B57"/>
    <w:rsid w:val="00C71A9A"/>
    <w:rsid w:val="00C733EA"/>
    <w:rsid w:val="00C736D9"/>
    <w:rsid w:val="00C77327"/>
    <w:rsid w:val="00C817F2"/>
    <w:rsid w:val="00C868D8"/>
    <w:rsid w:val="00C93D4C"/>
    <w:rsid w:val="00CA521D"/>
    <w:rsid w:val="00CB040E"/>
    <w:rsid w:val="00CC6721"/>
    <w:rsid w:val="00CD5098"/>
    <w:rsid w:val="00CD5536"/>
    <w:rsid w:val="00CE10DF"/>
    <w:rsid w:val="00CE3C2A"/>
    <w:rsid w:val="00CE6C00"/>
    <w:rsid w:val="00CF07E5"/>
    <w:rsid w:val="00CF1187"/>
    <w:rsid w:val="00CF4842"/>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67A73"/>
    <w:rsid w:val="00E75696"/>
    <w:rsid w:val="00E810C0"/>
    <w:rsid w:val="00E87621"/>
    <w:rsid w:val="00E9145B"/>
    <w:rsid w:val="00E950CF"/>
    <w:rsid w:val="00EB62D4"/>
    <w:rsid w:val="00EC1C5F"/>
    <w:rsid w:val="00EC21E7"/>
    <w:rsid w:val="00EC2CB2"/>
    <w:rsid w:val="00ED2DC8"/>
    <w:rsid w:val="00ED3F92"/>
    <w:rsid w:val="00ED522E"/>
    <w:rsid w:val="00EE0817"/>
    <w:rsid w:val="00EE4D0D"/>
    <w:rsid w:val="00EF2B54"/>
    <w:rsid w:val="00EF6D32"/>
    <w:rsid w:val="00F0082B"/>
    <w:rsid w:val="00F0441E"/>
    <w:rsid w:val="00F12B33"/>
    <w:rsid w:val="00F2135B"/>
    <w:rsid w:val="00F2227C"/>
    <w:rsid w:val="00F378B6"/>
    <w:rsid w:val="00F45DDD"/>
    <w:rsid w:val="00F80506"/>
    <w:rsid w:val="00F9075F"/>
    <w:rsid w:val="00F91DE2"/>
    <w:rsid w:val="00F931FB"/>
    <w:rsid w:val="00F936FD"/>
    <w:rsid w:val="00FA09F7"/>
    <w:rsid w:val="00FA4DEA"/>
    <w:rsid w:val="00FA5FEB"/>
    <w:rsid w:val="00FB439A"/>
    <w:rsid w:val="00FC0075"/>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9084</TotalTime>
  <Pages>46</Pages>
  <Words>15480</Words>
  <Characters>85145</Characters>
  <Application>Microsoft Office Word</Application>
  <DocSecurity>0</DocSecurity>
  <Lines>709</Lines>
  <Paragraphs>200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213</cp:revision>
  <dcterms:created xsi:type="dcterms:W3CDTF">2026-03-23T21:09:00Z</dcterms:created>
  <dcterms:modified xsi:type="dcterms:W3CDTF">2026-08-27T14:08:00Z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