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C35AD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C35ADE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C35AE0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2C35AE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C35AE0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2C35AE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2C35AE05"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2C35AE06"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adquisición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EA5FC0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2EA5FC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actualizaciones, conforme al numeral 7.11.</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 xml:space="preserve">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w:t>
        <w:lastRenderedPageBreak/>
        <w:t xml:space="preserve">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w:t>
        <w:lastRenderedPageBreak/>
        <w:t xml:space="preserve">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 xml:space="preserve">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3D4C74C1" w14:textId="777777C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3" w14:textId="73D4C0C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5" w14:textId="51C3B1C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7" w14:textId="6A9151C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3D4C74C9" w14:textId="777777C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B" w14:textId="73D4C0C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D" w14:textId="51C3B1C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F" w14:textId="6A9151D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3D4C74D1" w14:textId="777777D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3" w14:textId="73D4C0D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5" w14:textId="51C3B1D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7" w14:textId="6A9151D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3D4C74D9" w14:textId="777777D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B" w14:textId="73D4C0D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D" w14:textId="51C3B1D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F" w14:textId="6A9151E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A1"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443EB5A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de datos sensibles, de datos biométricos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